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205740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231140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71"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3"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FORM 10-Q</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127000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60"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spacing w:after="0" w:line="20" w:lineRule="exact"/>
        <w:rPr>
          <w:sz w:val="24"/>
          <w:szCs w:val="24"/>
          <w:color w:val="auto"/>
        </w:rPr>
      </w:pPr>
    </w:p>
    <w:p>
      <w:pPr>
        <w:ind w:left="460" w:right="460" w:hanging="452"/>
        <w:spacing w:after="0" w:line="237" w:lineRule="auto"/>
        <w:tabs>
          <w:tab w:leader="none" w:pos="460" w:val="left"/>
        </w:tabs>
        <w:numPr>
          <w:ilvl w:val="0"/>
          <w:numId w:val="1"/>
        </w:numPr>
        <w:rPr>
          <w:rFonts w:ascii="MS PGothic" w:cs="MS PGothic" w:eastAsia="MS PGothic" w:hAnsi="MS PGothic"/>
          <w:sz w:val="22"/>
          <w:szCs w:val="22"/>
          <w:color w:val="auto"/>
        </w:rPr>
      </w:pPr>
      <w:r>
        <w:rPr>
          <w:rFonts w:ascii="Arial" w:cs="Arial" w:eastAsia="Arial" w:hAnsi="Arial"/>
          <w:sz w:val="22"/>
          <w:szCs w:val="22"/>
          <w:b w:val="1"/>
          <w:bCs w:val="1"/>
          <w:color w:val="auto"/>
        </w:rPr>
        <w:t>QUARTERLY REPORT PURSUANT TO SECTION 13 OR 15(d) OF THE SECURITIES EXCHANGE ACT OF 1934</w:t>
      </w:r>
    </w:p>
    <w:p>
      <w:pPr>
        <w:spacing w:after="0" w:line="138"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For the quarterly period ended April 30, 2011</w:t>
      </w:r>
    </w:p>
    <w:p>
      <w:pPr>
        <w:spacing w:after="0" w:line="17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or</w:t>
      </w:r>
    </w:p>
    <w:p>
      <w:pPr>
        <w:spacing w:after="0" w:line="199"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21"/>
          <w:szCs w:val="21"/>
          <w:color w:val="auto"/>
        </w:rPr>
      </w:pPr>
      <w:r>
        <w:rPr>
          <w:rFonts w:ascii="Arial" w:cs="Arial" w:eastAsia="Arial" w:hAnsi="Arial"/>
          <w:sz w:val="21"/>
          <w:szCs w:val="21"/>
          <w:b w:val="1"/>
          <w:bCs w:val="1"/>
          <w:color w:val="auto"/>
        </w:rPr>
        <w:t>TRANSITION REPORT PURSUANT TO SECTION 13 or 15(d) OF THE SECURITIES EXCHANGE ACT OF 1934</w:t>
      </w:r>
    </w:p>
    <w:p>
      <w:pPr>
        <w:spacing w:after="0" w:line="190" w:lineRule="exact"/>
        <w:rPr>
          <w:sz w:val="24"/>
          <w:szCs w:val="24"/>
          <w:color w:val="auto"/>
        </w:rPr>
      </w:pPr>
    </w:p>
    <w:p>
      <w:pPr>
        <w:ind w:left="3920"/>
        <w:spacing w:after="0"/>
        <w:tabs>
          <w:tab w:leader="none" w:pos="678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4"/>
          <w:szCs w:val="14"/>
          <w:b w:val="1"/>
          <w:bCs w:val="1"/>
          <w:color w:val="auto"/>
        </w:rPr>
        <w:t>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3954145</wp:posOffset>
            </wp:positionH>
            <wp:positionV relativeFrom="paragraph">
              <wp:posOffset>-10160</wp:posOffset>
            </wp:positionV>
            <wp:extent cx="81724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817245" cy="8890"/>
                    </a:xfrm>
                    <a:prstGeom prst="rect">
                      <a:avLst/>
                    </a:prstGeom>
                    <a:noFill/>
                  </pic:spPr>
                </pic:pic>
              </a:graphicData>
            </a:graphic>
          </wp:anchor>
        </w:drawing>
      </w:r>
    </w:p>
    <w:p>
      <w:pPr>
        <w:spacing w:after="0" w:line="15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Commission file number: 000-30877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118110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7" w:lineRule="exact"/>
        <w:rPr>
          <w:sz w:val="24"/>
          <w:szCs w:val="24"/>
          <w:color w:val="auto"/>
        </w:rPr>
      </w:pPr>
    </w:p>
    <w:p>
      <w:pPr>
        <w:jc w:val="center"/>
        <w:ind w:right="-1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113665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420"/>
          </w:cols>
          <w:pgMar w:left="240" w:top="230" w:right="239" w:bottom="1440" w:gutter="0" w:footer="0" w:header="0"/>
        </w:sectPr>
      </w:pPr>
    </w:p>
    <w:p>
      <w:pPr>
        <w:spacing w:after="0" w:line="286" w:lineRule="exact"/>
        <w:rPr>
          <w:sz w:val="24"/>
          <w:szCs w:val="24"/>
          <w:color w:val="auto"/>
        </w:rPr>
      </w:pPr>
    </w:p>
    <w:p>
      <w:pPr>
        <w:ind w:left="252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2">
            <w:col w:w="7540" w:space="720"/>
            <w:col w:w="3160"/>
          </w:cols>
          <w:pgMar w:left="240" w:top="230" w:right="239" w:bottom="1440" w:gutter="0" w:footer="0" w:header="0"/>
          <w:type w:val="continuous"/>
        </w:sectPr>
      </w:pPr>
    </w:p>
    <w:p>
      <w:pPr>
        <w:ind w:left="2020"/>
        <w:spacing w:after="0"/>
        <w:rPr>
          <w:sz w:val="20"/>
          <w:szCs w:val="20"/>
          <w:color w:val="auto"/>
        </w:rPr>
      </w:pPr>
      <w:r>
        <w:rPr>
          <w:rFonts w:ascii="Arial" w:cs="Arial" w:eastAsia="Arial" w:hAnsi="Arial"/>
          <w:sz w:val="12"/>
          <w:szCs w:val="12"/>
          <w:b w:val="1"/>
          <w:bCs w:val="1"/>
          <w:color w:val="auto"/>
        </w:rPr>
        <w:t>(State or other jurisdiction of</w:t>
      </w:r>
    </w:p>
    <w:p>
      <w:pPr>
        <w:spacing w:after="0" w:line="14" w:lineRule="exact"/>
        <w:rPr>
          <w:sz w:val="24"/>
          <w:szCs w:val="24"/>
          <w:color w:val="auto"/>
        </w:rPr>
      </w:pPr>
    </w:p>
    <w:p>
      <w:pPr>
        <w:ind w:left="1980"/>
        <w:spacing w:after="0"/>
        <w:rPr>
          <w:sz w:val="20"/>
          <w:szCs w:val="20"/>
          <w:color w:val="auto"/>
        </w:rPr>
      </w:pPr>
      <w:r>
        <w:rPr>
          <w:rFonts w:ascii="Arial" w:cs="Arial" w:eastAsia="Arial" w:hAnsi="Arial"/>
          <w:sz w:val="12"/>
          <w:szCs w:val="12"/>
          <w:b w:val="1"/>
          <w:bCs w:val="1"/>
          <w:color w:val="auto"/>
        </w:rPr>
        <w:t>incorporation or organization)</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1" w:lineRule="exact"/>
        <w:rPr>
          <w:sz w:val="24"/>
          <w:szCs w:val="24"/>
          <w:color w:val="auto"/>
        </w:rPr>
      </w:pPr>
    </w:p>
    <w:p>
      <w:pPr>
        <w:sectPr>
          <w:pgSz w:w="11900" w:h="16838" w:orient="portrait"/>
          <w:cols w:equalWidth="0" w:num="2">
            <w:col w:w="7440" w:space="720"/>
            <w:col w:w="3260"/>
          </w:cols>
          <w:pgMar w:left="240" w:top="230" w:right="239" w:bottom="1440" w:gutter="0" w:footer="0" w:header="0"/>
          <w:type w:val="continuous"/>
        </w:sectPr>
      </w:pPr>
    </w:p>
    <w:p>
      <w:pPr>
        <w:jc w:val="center"/>
        <w:spacing w:after="0"/>
        <w:rPr>
          <w:sz w:val="20"/>
          <w:szCs w:val="20"/>
          <w:color w:val="auto"/>
        </w:rPr>
      </w:pPr>
      <w:r>
        <w:rPr>
          <w:rFonts w:ascii="Arial" w:cs="Arial" w:eastAsia="Arial" w:hAnsi="Arial"/>
          <w:sz w:val="16"/>
          <w:szCs w:val="16"/>
          <w:b w:val="1"/>
          <w:bCs w:val="1"/>
          <w:color w:val="auto"/>
        </w:rPr>
        <w:t>Canon’s Court, 22 Victoria Street, Hamilton HM 12, Bermuda</w:t>
      </w:r>
    </w:p>
    <w:p>
      <w:pPr>
        <w:spacing w:after="0" w:line="4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jc w:val="center"/>
        <w:spacing w:after="0"/>
        <w:rPr>
          <w:sz w:val="20"/>
          <w:szCs w:val="20"/>
          <w:color w:val="auto"/>
        </w:rPr>
      </w:pPr>
      <w:r>
        <w:rPr>
          <w:rFonts w:ascii="Arial" w:cs="Arial" w:eastAsia="Arial" w:hAnsi="Arial"/>
          <w:sz w:val="14"/>
          <w:szCs w:val="14"/>
          <w:b w:val="1"/>
          <w:bCs w:val="1"/>
          <w:color w:val="auto"/>
        </w:rPr>
        <w:t>(Address, including Zip Code, of principal executive offices and</w:t>
      </w:r>
    </w:p>
    <w:p>
      <w:pPr>
        <w:jc w:val="center"/>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93980</wp:posOffset>
            </wp:positionV>
            <wp:extent cx="151765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420"/>
          </w:cols>
          <w:pgMar w:left="240" w:top="230" w:right="239" w:bottom="1440" w:gutter="0" w:footer="0" w:header="0"/>
          <w:type w:val="continuous"/>
        </w:sectPr>
      </w:pPr>
    </w:p>
    <w:p>
      <w:pPr>
        <w:spacing w:after="0" w:line="235" w:lineRule="exact"/>
        <w:rPr>
          <w:sz w:val="24"/>
          <w:szCs w:val="24"/>
          <w:color w:val="auto"/>
        </w:rPr>
      </w:pPr>
    </w:p>
    <w:p>
      <w:pPr>
        <w:ind w:right="28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8" w:lineRule="exact"/>
        <w:rPr>
          <w:sz w:val="24"/>
          <w:szCs w:val="24"/>
          <w:color w:val="auto"/>
        </w:rPr>
      </w:pPr>
    </w:p>
    <w:p>
      <w:pPr>
        <w:jc w:val="both"/>
        <w:ind w:right="6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has submitted electronically and posted on its corporate Web site, if any, every Interactive Data File required to be submitted and posted pursuant to Rule 405 of Regulation S-T (§232.405 of this chapter) during the preceding 12 months (or for such shorter period that the registrant was required to submit and post such files).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8" w:lineRule="exact"/>
        <w:rPr>
          <w:sz w:val="24"/>
          <w:szCs w:val="24"/>
          <w:color w:val="auto"/>
        </w:rPr>
      </w:pPr>
    </w:p>
    <w:p>
      <w:pPr>
        <w:ind w:right="220" w:firstLine="456"/>
        <w:spacing w:after="0" w:line="332"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smaller reporting company. See the definitions of “large accelerated filer,” “accelerated filer” and “smaller reporting company” in Rule 12b-2 of the Exchange Act. (Check one):</w:t>
      </w:r>
    </w:p>
    <w:p>
      <w:pPr>
        <w:spacing w:after="0" w:line="93" w:lineRule="exact"/>
        <w:rPr>
          <w:sz w:val="24"/>
          <w:szCs w:val="24"/>
          <w:color w:val="auto"/>
        </w:rPr>
      </w:pPr>
    </w:p>
    <w:tbl>
      <w:tblPr>
        <w:tblLayout w:type="fixed"/>
        <w:tblInd w:w="0" w:type="dxa"/>
        <w:tblCellMar>
          <w:top w:w="0" w:type="dxa"/>
          <w:left w:w="0" w:type="dxa"/>
          <w:bottom w:w="0" w:type="dxa"/>
          <w:right w:w="0" w:type="dxa"/>
        </w:tblCellMar>
      </w:tblPr>
      <w:tr>
        <w:trPr>
          <w:trHeight w:val="275"/>
        </w:trPr>
        <w:tc>
          <w:tcPr>
            <w:tcW w:w="1760" w:type="dxa"/>
            <w:vAlign w:val="bottom"/>
          </w:tcPr>
          <w:p>
            <w:pPr>
              <w:spacing w:after="0"/>
              <w:rPr>
                <w:sz w:val="20"/>
                <w:szCs w:val="20"/>
                <w:color w:val="auto"/>
              </w:rPr>
            </w:pPr>
            <w:r>
              <w:rPr>
                <w:rFonts w:ascii="Arial" w:cs="Arial" w:eastAsia="Arial" w:hAnsi="Arial"/>
                <w:sz w:val="18"/>
                <w:szCs w:val="18"/>
                <w:color w:val="auto"/>
                <w:w w:val="97"/>
              </w:rPr>
              <w:t>Large accelerated filer</w:t>
            </w:r>
          </w:p>
        </w:tc>
        <w:tc>
          <w:tcPr>
            <w:tcW w:w="6760" w:type="dxa"/>
            <w:vAlign w:val="bottom"/>
          </w:tcPr>
          <w:p>
            <w:pPr>
              <w:ind w:left="160"/>
              <w:spacing w:after="0" w:line="181" w:lineRule="exact"/>
              <w:rPr>
                <w:sz w:val="20"/>
                <w:szCs w:val="20"/>
                <w:color w:val="auto"/>
              </w:rPr>
            </w:pPr>
            <w:r>
              <w:rPr>
                <w:rFonts w:ascii="MS PGothic" w:cs="MS PGothic" w:eastAsia="MS PGothic" w:hAnsi="MS PGothic"/>
                <w:sz w:val="18"/>
                <w:szCs w:val="18"/>
                <w:color w:val="auto"/>
              </w:rPr>
              <w:t>☒</w:t>
            </w:r>
          </w:p>
        </w:tc>
        <w:tc>
          <w:tcPr>
            <w:tcW w:w="2500" w:type="dxa"/>
            <w:vAlign w:val="bottom"/>
          </w:tcPr>
          <w:p>
            <w:pPr>
              <w:ind w:left="340"/>
              <w:spacing w:after="0"/>
              <w:rPr>
                <w:sz w:val="20"/>
                <w:szCs w:val="20"/>
                <w:color w:val="auto"/>
              </w:rPr>
            </w:pPr>
            <w:r>
              <w:rPr>
                <w:rFonts w:ascii="Arial" w:cs="Arial" w:eastAsia="Arial" w:hAnsi="Arial"/>
                <w:sz w:val="18"/>
                <w:szCs w:val="18"/>
                <w:color w:val="auto"/>
              </w:rPr>
              <w:t>Accelerated filer</w:t>
            </w:r>
          </w:p>
        </w:tc>
        <w:tc>
          <w:tcPr>
            <w:tcW w:w="400" w:type="dxa"/>
            <w:vAlign w:val="bottom"/>
          </w:tcPr>
          <w:p>
            <w:pPr>
              <w:ind w:left="24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24"/>
        </w:trPr>
        <w:tc>
          <w:tcPr>
            <w:tcW w:w="1760" w:type="dxa"/>
            <w:vAlign w:val="bottom"/>
          </w:tcPr>
          <w:p>
            <w:pPr>
              <w:spacing w:after="0"/>
              <w:rPr>
                <w:sz w:val="20"/>
                <w:szCs w:val="20"/>
                <w:color w:val="auto"/>
              </w:rPr>
            </w:pPr>
            <w:r>
              <w:rPr>
                <w:rFonts w:ascii="Arial" w:cs="Arial" w:eastAsia="Arial" w:hAnsi="Arial"/>
                <w:sz w:val="18"/>
                <w:szCs w:val="18"/>
                <w:color w:val="auto"/>
              </w:rPr>
              <w:t>Non-accelerated filer</w:t>
            </w:r>
          </w:p>
        </w:tc>
        <w:tc>
          <w:tcPr>
            <w:tcW w:w="6760" w:type="dxa"/>
            <w:vAlign w:val="bottom"/>
          </w:tcPr>
          <w:p>
            <w:pPr>
              <w:ind w:left="16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(Do not check if a smaller reporting company)</w:t>
            </w:r>
          </w:p>
        </w:tc>
        <w:tc>
          <w:tcPr>
            <w:tcW w:w="2500" w:type="dxa"/>
            <w:vAlign w:val="bottom"/>
          </w:tcPr>
          <w:p>
            <w:pPr>
              <w:ind w:left="340"/>
              <w:spacing w:after="0"/>
              <w:rPr>
                <w:sz w:val="20"/>
                <w:szCs w:val="20"/>
                <w:color w:val="auto"/>
              </w:rPr>
            </w:pPr>
            <w:r>
              <w:rPr>
                <w:rFonts w:ascii="Arial" w:cs="Arial" w:eastAsia="Arial" w:hAnsi="Arial"/>
                <w:sz w:val="18"/>
                <w:szCs w:val="18"/>
                <w:color w:val="auto"/>
                <w:w w:val="99"/>
              </w:rPr>
              <w:t>Smaller reporting company</w:t>
            </w:r>
          </w:p>
        </w:tc>
        <w:tc>
          <w:tcPr>
            <w:tcW w:w="400" w:type="dxa"/>
            <w:vAlign w:val="bottom"/>
          </w:tcPr>
          <w:p>
            <w:pPr>
              <w:ind w:left="24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78"/>
        </w:trPr>
        <w:tc>
          <w:tcPr>
            <w:tcW w:w="8520" w:type="dxa"/>
            <w:vAlign w:val="bottom"/>
            <w:gridSpan w:val="2"/>
          </w:tcPr>
          <w:p>
            <w:pPr>
              <w:ind w:left="460"/>
              <w:spacing w:after="0"/>
              <w:rPr>
                <w:sz w:val="20"/>
                <w:szCs w:val="20"/>
                <w:color w:val="auto"/>
              </w:rPr>
            </w:pPr>
            <w:r>
              <w:rPr>
                <w:rFonts w:ascii="Arial" w:cs="Arial" w:eastAsia="Arial" w:hAnsi="Arial"/>
                <w:sz w:val="18"/>
                <w:szCs w:val="18"/>
                <w:color w:val="auto"/>
                <w:w w:val="89"/>
              </w:rPr>
              <w:t>Indicate by check mark whether the registrant is a shell company (as defined in Rule 12b-2 of the Exchange Act).</w:t>
            </w:r>
          </w:p>
        </w:tc>
        <w:tc>
          <w:tcPr>
            <w:tcW w:w="2500" w:type="dxa"/>
            <w:vAlign w:val="bottom"/>
          </w:tcPr>
          <w:p>
            <w:pPr>
              <w:ind w:left="8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tc>
        <w:tc>
          <w:tcPr>
            <w:tcW w:w="400" w:type="dxa"/>
            <w:vAlign w:val="bottom"/>
          </w:tcPr>
          <w:p>
            <w:pPr>
              <w:spacing w:after="0"/>
              <w:rPr>
                <w:sz w:val="24"/>
                <w:szCs w:val="24"/>
                <w:color w:val="auto"/>
              </w:rPr>
            </w:pPr>
          </w:p>
        </w:tc>
      </w:tr>
      <w:tr>
        <w:trPr>
          <w:trHeight w:val="358"/>
        </w:trPr>
        <w:tc>
          <w:tcPr>
            <w:tcW w:w="8520" w:type="dxa"/>
            <w:vAlign w:val="bottom"/>
            <w:gridSpan w:val="2"/>
          </w:tcPr>
          <w:p>
            <w:pPr>
              <w:ind w:left="460"/>
              <w:spacing w:after="0"/>
              <w:rPr>
                <w:sz w:val="20"/>
                <w:szCs w:val="20"/>
                <w:color w:val="auto"/>
              </w:rPr>
            </w:pPr>
            <w:r>
              <w:rPr>
                <w:rFonts w:ascii="Arial" w:cs="Arial" w:eastAsia="Arial" w:hAnsi="Arial"/>
                <w:sz w:val="18"/>
                <w:szCs w:val="18"/>
                <w:color w:val="auto"/>
                <w:w w:val="95"/>
              </w:rPr>
              <w:t>The number of common shares of the registrant outstanding as of May 27, 2011 was 611.4 million shares.</w:t>
            </w:r>
          </w:p>
        </w:tc>
        <w:tc>
          <w:tcPr>
            <w:tcW w:w="250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124"/>
        </w:trPr>
        <w:tc>
          <w:tcPr>
            <w:tcW w:w="1760" w:type="dxa"/>
            <w:vAlign w:val="bottom"/>
            <w:tcBorders>
              <w:bottom w:val="single" w:sz="8" w:color="auto"/>
            </w:tcBorders>
          </w:tcPr>
          <w:p>
            <w:pPr>
              <w:spacing w:after="0"/>
              <w:rPr>
                <w:sz w:val="10"/>
                <w:szCs w:val="10"/>
                <w:color w:val="auto"/>
              </w:rPr>
            </w:pPr>
          </w:p>
        </w:tc>
        <w:tc>
          <w:tcPr>
            <w:tcW w:w="6760" w:type="dxa"/>
            <w:vAlign w:val="bottom"/>
            <w:tcBorders>
              <w:bottom w:val="single" w:sz="8" w:color="auto"/>
            </w:tcBorders>
          </w:tcPr>
          <w:p>
            <w:pPr>
              <w:spacing w:after="0"/>
              <w:rPr>
                <w:sz w:val="10"/>
                <w:szCs w:val="10"/>
                <w:color w:val="auto"/>
              </w:rPr>
            </w:pPr>
          </w:p>
        </w:tc>
        <w:tc>
          <w:tcPr>
            <w:tcW w:w="2500" w:type="dxa"/>
            <w:vAlign w:val="bottom"/>
            <w:tcBorders>
              <w:bottom w:val="single" w:sz="8" w:color="auto"/>
            </w:tcBorders>
          </w:tcPr>
          <w:p>
            <w:pPr>
              <w:spacing w:after="0"/>
              <w:rPr>
                <w:sz w:val="10"/>
                <w:szCs w:val="10"/>
                <w:color w:val="auto"/>
              </w:rPr>
            </w:pPr>
          </w:p>
        </w:tc>
        <w:tc>
          <w:tcPr>
            <w:tcW w:w="400" w:type="dxa"/>
            <w:vAlign w:val="bottom"/>
            <w:tcBorders>
              <w:bottom w:val="single" w:sz="8" w:color="auto"/>
            </w:tcBorders>
          </w:tcPr>
          <w:p>
            <w:pPr>
              <w:spacing w:after="0"/>
              <w:rPr>
                <w:sz w:val="10"/>
                <w:szCs w:val="10"/>
                <w:color w:val="auto"/>
              </w:rPr>
            </w:pPr>
          </w:p>
        </w:tc>
      </w:tr>
      <w:tr>
        <w:trPr>
          <w:trHeight w:val="21"/>
        </w:trPr>
        <w:tc>
          <w:tcPr>
            <w:tcW w:w="1760" w:type="dxa"/>
            <w:vAlign w:val="bottom"/>
            <w:tcBorders>
              <w:bottom w:val="single" w:sz="8" w:color="auto"/>
            </w:tcBorders>
          </w:tcPr>
          <w:p>
            <w:pPr>
              <w:spacing w:after="0" w:line="20" w:lineRule="exact"/>
              <w:rPr>
                <w:sz w:val="1"/>
                <w:szCs w:val="1"/>
                <w:color w:val="auto"/>
              </w:rPr>
            </w:pPr>
          </w:p>
        </w:tc>
        <w:tc>
          <w:tcPr>
            <w:tcW w:w="6760" w:type="dxa"/>
            <w:vAlign w:val="bottom"/>
            <w:tcBorders>
              <w:bottom w:val="single" w:sz="8" w:color="auto"/>
            </w:tcBorders>
          </w:tcPr>
          <w:p>
            <w:pPr>
              <w:spacing w:after="0" w:line="20" w:lineRule="exact"/>
              <w:rPr>
                <w:sz w:val="1"/>
                <w:szCs w:val="1"/>
                <w:color w:val="auto"/>
              </w:rPr>
            </w:pPr>
          </w:p>
        </w:tc>
        <w:tc>
          <w:tcPr>
            <w:tcW w:w="2500" w:type="dxa"/>
            <w:vAlign w:val="bottom"/>
            <w:tcBorders>
              <w:bottom w:val="single" w:sz="8" w:color="auto"/>
            </w:tcBorders>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r>
    </w:tbl>
    <w:p>
      <w:pPr>
        <w:sectPr>
          <w:pgSz w:w="11900" w:h="16838" w:orient="portrait"/>
          <w:cols w:equalWidth="0" w:num="1">
            <w:col w:w="11420"/>
          </w:cols>
          <w:pgMar w:left="240" w:top="230" w:right="239" w:bottom="1440" w:gutter="0" w:footer="0" w:header="0"/>
          <w:type w:val="continuous"/>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TABLE OF CONTENTS</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420" w:type="dxa"/>
            <w:vAlign w:val="bottom"/>
            <w:gridSpan w:val="12"/>
            <w:vMerge w:val="restart"/>
          </w:tcPr>
          <w:p>
            <w:pPr>
              <w:jc w:val="center"/>
              <w:ind w:right="2320"/>
              <w:spacing w:after="0"/>
              <w:rPr>
                <w:rFonts w:ascii="Arial" w:cs="Arial" w:eastAsia="Arial" w:hAnsi="Arial"/>
                <w:sz w:val="18"/>
                <w:szCs w:val="18"/>
                <w:b w:val="1"/>
                <w:bCs w:val="1"/>
                <w:color w:val="0000EE"/>
                <w:w w:val="99"/>
              </w:rPr>
            </w:pPr>
            <w:hyperlink w:anchor="page3">
              <w:r>
                <w:rPr>
                  <w:rFonts w:ascii="Arial" w:cs="Arial" w:eastAsia="Arial" w:hAnsi="Arial"/>
                  <w:sz w:val="18"/>
                  <w:szCs w:val="18"/>
                  <w:b w:val="1"/>
                  <w:bCs w:val="1"/>
                  <w:color w:val="0000EE"/>
                  <w:w w:val="99"/>
                </w:rPr>
                <w:t>PART I. FINANCIAL INFORMATION</w:t>
              </w:r>
            </w:hyperlink>
          </w:p>
        </w:tc>
        <w:tc>
          <w:tcPr>
            <w:tcW w:w="2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77"/>
              </w:rPr>
              <w:t>Page</w:t>
            </w:r>
          </w:p>
        </w:tc>
        <w:tc>
          <w:tcPr>
            <w:tcW w:w="0" w:type="dxa"/>
            <w:vAlign w:val="bottom"/>
          </w:tcPr>
          <w:p>
            <w:pPr>
              <w:spacing w:after="0"/>
              <w:rPr>
                <w:sz w:val="1"/>
                <w:szCs w:val="1"/>
                <w:color w:val="auto"/>
              </w:rPr>
            </w:pPr>
          </w:p>
        </w:tc>
      </w:tr>
      <w:tr>
        <w:trPr>
          <w:trHeight w:val="169"/>
        </w:trPr>
        <w:tc>
          <w:tcPr>
            <w:tcW w:w="7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420" w:type="dxa"/>
            <w:vAlign w:val="bottom"/>
            <w:gridSpan w:val="12"/>
            <w:vMerge w:val="continue"/>
          </w:tcPr>
          <w:p>
            <w:pPr>
              <w:spacing w:after="0"/>
              <w:rPr>
                <w:sz w:val="14"/>
                <w:szCs w:val="14"/>
                <w:color w:val="auto"/>
              </w:rPr>
            </w:pPr>
          </w:p>
        </w:tc>
        <w:tc>
          <w:tcPr>
            <w:tcW w:w="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12"/>
        </w:trPr>
        <w:tc>
          <w:tcPr>
            <w:tcW w:w="880" w:type="dxa"/>
            <w:vAlign w:val="bottom"/>
            <w:gridSpan w:val="2"/>
          </w:tcPr>
          <w:p>
            <w:pPr>
              <w:spacing w:after="0"/>
              <w:rPr>
                <w:sz w:val="20"/>
                <w:szCs w:val="20"/>
                <w:color w:val="auto"/>
              </w:rPr>
            </w:pPr>
            <w:r>
              <w:rPr>
                <w:rFonts w:ascii="Arial" w:cs="Arial" w:eastAsia="Arial" w:hAnsi="Arial"/>
                <w:sz w:val="18"/>
                <w:szCs w:val="18"/>
                <w:color w:val="auto"/>
              </w:rPr>
              <w:t>Item 1.</w:t>
            </w:r>
          </w:p>
        </w:tc>
        <w:tc>
          <w:tcPr>
            <w:tcW w:w="3300" w:type="dxa"/>
            <w:vAlign w:val="bottom"/>
            <w:gridSpan w:val="9"/>
          </w:tcPr>
          <w:p>
            <w:pPr>
              <w:spacing w:after="0"/>
              <w:rPr>
                <w:rFonts w:ascii="Arial" w:cs="Arial" w:eastAsia="Arial" w:hAnsi="Arial"/>
                <w:sz w:val="18"/>
                <w:szCs w:val="18"/>
                <w:color w:val="0000EE"/>
              </w:rPr>
            </w:pPr>
            <w:hyperlink w:anchor="page3">
              <w:r>
                <w:rPr>
                  <w:rFonts w:ascii="Arial" w:cs="Arial" w:eastAsia="Arial" w:hAnsi="Arial"/>
                  <w:sz w:val="18"/>
                  <w:szCs w:val="18"/>
                  <w:color w:val="0000EE"/>
                </w:rPr>
                <w:t>Financial Statements:</w:t>
              </w:r>
            </w:hyperlink>
          </w:p>
        </w:tc>
        <w:tc>
          <w:tcPr>
            <w:tcW w:w="2980" w:type="dxa"/>
            <w:vAlign w:val="bottom"/>
            <w:tcBorders>
              <w:top w:val="single" w:sz="8" w:color="0000EE"/>
            </w:tcBorders>
            <w:gridSpan w:val="6"/>
          </w:tcPr>
          <w:p>
            <w:pPr>
              <w:spacing w:after="0"/>
              <w:rPr>
                <w:sz w:val="24"/>
                <w:szCs w:val="24"/>
                <w:color w:val="auto"/>
              </w:rPr>
            </w:pPr>
          </w:p>
        </w:tc>
        <w:tc>
          <w:tcPr>
            <w:tcW w:w="3880" w:type="dxa"/>
            <w:vAlign w:val="bottom"/>
            <w:gridSpan w:val="5"/>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700" w:type="dxa"/>
            <w:vAlign w:val="bottom"/>
            <w:gridSpan w:val="2"/>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160" w:type="dxa"/>
            <w:vAlign w:val="bottom"/>
            <w:gridSpan w:val="20"/>
          </w:tcPr>
          <w:p>
            <w:pPr>
              <w:spacing w:after="0"/>
              <w:rPr>
                <w:rFonts w:ascii="Arial" w:cs="Arial" w:eastAsia="Arial" w:hAnsi="Arial"/>
                <w:sz w:val="18"/>
                <w:szCs w:val="18"/>
                <w:color w:val="0000EE"/>
              </w:rPr>
            </w:pPr>
            <w:hyperlink w:anchor="page3">
              <w:r>
                <w:rPr>
                  <w:rFonts w:ascii="Arial" w:cs="Arial" w:eastAsia="Arial" w:hAnsi="Arial"/>
                  <w:sz w:val="18"/>
                  <w:szCs w:val="18"/>
                  <w:color w:val="0000EE"/>
                </w:rPr>
                <w:t>Unaudited Condensed Consolidated Balance Sheets as of April 30, 2011 and January 29, 2011</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1700" w:type="dxa"/>
            <w:vAlign w:val="bottom"/>
            <w:gridSpan w:val="2"/>
            <w:shd w:val="clear" w:color="auto" w:fill="0000EE"/>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1460" w:type="dxa"/>
            <w:vAlign w:val="bottom"/>
            <w:shd w:val="clear" w:color="auto" w:fill="0000EE"/>
          </w:tcPr>
          <w:p>
            <w:pPr>
              <w:spacing w:after="0" w:line="20" w:lineRule="exact"/>
              <w:rPr>
                <w:sz w:val="1"/>
                <w:szCs w:val="1"/>
                <w:color w:val="auto"/>
              </w:rPr>
            </w:pPr>
          </w:p>
        </w:tc>
        <w:tc>
          <w:tcPr>
            <w:tcW w:w="160" w:type="dxa"/>
            <w:vAlign w:val="bottom"/>
            <w:gridSpan w:val="2"/>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7680" w:type="dxa"/>
            <w:vAlign w:val="bottom"/>
            <w:tcBorders>
              <w:bottom w:val="single" w:sz="8" w:color="0000EE"/>
            </w:tcBorders>
            <w:gridSpan w:val="18"/>
          </w:tcPr>
          <w:p>
            <w:pPr>
              <w:spacing w:after="0"/>
              <w:rPr>
                <w:rFonts w:ascii="Arial" w:cs="Arial" w:eastAsia="Arial" w:hAnsi="Arial"/>
                <w:sz w:val="18"/>
                <w:szCs w:val="18"/>
                <w:color w:val="0000EE"/>
                <w:w w:val="87"/>
              </w:rPr>
            </w:pPr>
            <w:hyperlink w:anchor="page4">
              <w:r>
                <w:rPr>
                  <w:rFonts w:ascii="Arial" w:cs="Arial" w:eastAsia="Arial" w:hAnsi="Arial"/>
                  <w:sz w:val="18"/>
                  <w:szCs w:val="18"/>
                  <w:color w:val="0000EE"/>
                  <w:w w:val="87"/>
                </w:rPr>
                <w:t>Unaudited Condensed Consolidated Statements of Operations for the three months ended April 30, 2011 and</w:t>
              </w:r>
            </w:hyperlink>
          </w:p>
        </w:tc>
        <w:tc>
          <w:tcPr>
            <w:tcW w:w="2480" w:type="dxa"/>
            <w:vAlign w:val="bottom"/>
            <w:gridSpan w:val="2"/>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7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900" w:type="dxa"/>
            <w:vAlign w:val="bottom"/>
            <w:tcBorders>
              <w:bottom w:val="single" w:sz="8" w:color="0000EE"/>
            </w:tcBorders>
            <w:gridSpan w:val="3"/>
          </w:tcPr>
          <w:p>
            <w:pPr>
              <w:spacing w:after="0" w:line="196" w:lineRule="exact"/>
              <w:rPr>
                <w:rFonts w:ascii="Arial" w:cs="Arial" w:eastAsia="Arial" w:hAnsi="Arial"/>
                <w:sz w:val="18"/>
                <w:szCs w:val="18"/>
                <w:color w:val="0000EE"/>
                <w:w w:val="88"/>
              </w:rPr>
            </w:pPr>
            <w:hyperlink w:anchor="page4">
              <w:r>
                <w:rPr>
                  <w:rFonts w:ascii="Arial" w:cs="Arial" w:eastAsia="Arial" w:hAnsi="Arial"/>
                  <w:sz w:val="18"/>
                  <w:szCs w:val="18"/>
                  <w:color w:val="0000EE"/>
                  <w:w w:val="88"/>
                </w:rPr>
                <w:t>May 1, 2010</w:t>
              </w:r>
            </w:hyperlink>
          </w:p>
        </w:tc>
        <w:tc>
          <w:tcPr>
            <w:tcW w:w="9040" w:type="dxa"/>
            <w:vAlign w:val="bottom"/>
            <w:gridSpan w:val="15"/>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304"/>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7700" w:type="dxa"/>
            <w:vAlign w:val="bottom"/>
            <w:tcBorders>
              <w:bottom w:val="single" w:sz="8" w:color="0000EE"/>
            </w:tcBorders>
            <w:gridSpan w:val="19"/>
          </w:tcPr>
          <w:p>
            <w:pPr>
              <w:spacing w:after="0"/>
              <w:rPr>
                <w:rFonts w:ascii="Arial" w:cs="Arial" w:eastAsia="Arial" w:hAnsi="Arial"/>
                <w:sz w:val="18"/>
                <w:szCs w:val="18"/>
                <w:color w:val="0000EE"/>
                <w:w w:val="87"/>
              </w:rPr>
            </w:pPr>
            <w:hyperlink w:anchor="page5">
              <w:r>
                <w:rPr>
                  <w:rFonts w:ascii="Arial" w:cs="Arial" w:eastAsia="Arial" w:hAnsi="Arial"/>
                  <w:sz w:val="18"/>
                  <w:szCs w:val="18"/>
                  <w:color w:val="0000EE"/>
                  <w:w w:val="87"/>
                </w:rPr>
                <w:t>Unaudited Condensed Consolidated Statements of Cash Flows for the three months ended April 30, 2011 and</w:t>
              </w:r>
            </w:hyperlink>
          </w:p>
        </w:tc>
        <w:tc>
          <w:tcPr>
            <w:tcW w:w="24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7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900" w:type="dxa"/>
            <w:vAlign w:val="bottom"/>
            <w:tcBorders>
              <w:bottom w:val="single" w:sz="8" w:color="0000EE"/>
            </w:tcBorders>
            <w:gridSpan w:val="3"/>
          </w:tcPr>
          <w:p>
            <w:pPr>
              <w:spacing w:after="0" w:line="196" w:lineRule="exact"/>
              <w:rPr>
                <w:rFonts w:ascii="Arial" w:cs="Arial" w:eastAsia="Arial" w:hAnsi="Arial"/>
                <w:sz w:val="18"/>
                <w:szCs w:val="18"/>
                <w:color w:val="0000EE"/>
                <w:w w:val="88"/>
              </w:rPr>
            </w:pPr>
            <w:hyperlink w:anchor="page5">
              <w:r>
                <w:rPr>
                  <w:rFonts w:ascii="Arial" w:cs="Arial" w:eastAsia="Arial" w:hAnsi="Arial"/>
                  <w:sz w:val="18"/>
                  <w:szCs w:val="18"/>
                  <w:color w:val="0000EE"/>
                  <w:w w:val="88"/>
                </w:rPr>
                <w:t>May 1, 2010</w:t>
              </w:r>
            </w:hyperlink>
          </w:p>
        </w:tc>
        <w:tc>
          <w:tcPr>
            <w:tcW w:w="9040" w:type="dxa"/>
            <w:vAlign w:val="bottom"/>
            <w:gridSpan w:val="15"/>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304"/>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680" w:type="dxa"/>
            <w:vAlign w:val="bottom"/>
            <w:tcBorders>
              <w:bottom w:val="single" w:sz="8" w:color="0000EE"/>
            </w:tcBorders>
            <w:gridSpan w:val="13"/>
          </w:tcPr>
          <w:p>
            <w:pPr>
              <w:spacing w:after="0"/>
              <w:rPr>
                <w:rFonts w:ascii="Arial" w:cs="Arial" w:eastAsia="Arial" w:hAnsi="Arial"/>
                <w:sz w:val="18"/>
                <w:szCs w:val="18"/>
                <w:color w:val="0000EE"/>
                <w:w w:val="87"/>
              </w:rPr>
            </w:pPr>
            <w:hyperlink w:anchor="page6">
              <w:r>
                <w:rPr>
                  <w:rFonts w:ascii="Arial" w:cs="Arial" w:eastAsia="Arial" w:hAnsi="Arial"/>
                  <w:sz w:val="18"/>
                  <w:szCs w:val="18"/>
                  <w:color w:val="0000EE"/>
                  <w:w w:val="87"/>
                </w:rPr>
                <w:t>Notes to Unaudited Condensed Consolidated Financial Statements</w:t>
              </w:r>
            </w:hyperlink>
          </w:p>
        </w:tc>
        <w:tc>
          <w:tcPr>
            <w:tcW w:w="5480" w:type="dxa"/>
            <w:vAlign w:val="bottom"/>
            <w:gridSpan w:val="7"/>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2.</w:t>
            </w:r>
          </w:p>
        </w:tc>
        <w:tc>
          <w:tcPr>
            <w:tcW w:w="10160" w:type="dxa"/>
            <w:vAlign w:val="bottom"/>
            <w:gridSpan w:val="20"/>
          </w:tcPr>
          <w:p>
            <w:pPr>
              <w:spacing w:after="0"/>
              <w:rPr>
                <w:rFonts w:ascii="Arial" w:cs="Arial" w:eastAsia="Arial" w:hAnsi="Arial"/>
                <w:sz w:val="18"/>
                <w:szCs w:val="18"/>
                <w:color w:val="0000EE"/>
              </w:rPr>
            </w:pPr>
            <w:hyperlink w:anchor="page21">
              <w:r>
                <w:rPr>
                  <w:rFonts w:ascii="Arial" w:cs="Arial" w:eastAsia="Arial" w:hAnsi="Arial"/>
                  <w:sz w:val="18"/>
                  <w:szCs w:val="18"/>
                  <w:color w:val="0000EE"/>
                </w:rPr>
                <w:t>Management’s Discussion and Analysis of Financial Condition and Results of Operations</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20</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3.</w:t>
            </w:r>
          </w:p>
        </w:tc>
        <w:tc>
          <w:tcPr>
            <w:tcW w:w="4260" w:type="dxa"/>
            <w:vAlign w:val="bottom"/>
            <w:tcBorders>
              <w:top w:val="single" w:sz="8" w:color="0000EE"/>
              <w:bottom w:val="single" w:sz="8" w:color="0000EE"/>
            </w:tcBorders>
            <w:gridSpan w:val="12"/>
          </w:tcPr>
          <w:p>
            <w:pPr>
              <w:spacing w:after="0"/>
              <w:rPr>
                <w:rFonts w:ascii="Arial" w:cs="Arial" w:eastAsia="Arial" w:hAnsi="Arial"/>
                <w:sz w:val="18"/>
                <w:szCs w:val="18"/>
                <w:color w:val="0000EE"/>
                <w:w w:val="89"/>
              </w:rPr>
            </w:pPr>
            <w:hyperlink w:anchor="page27">
              <w:r>
                <w:rPr>
                  <w:rFonts w:ascii="Arial" w:cs="Arial" w:eastAsia="Arial" w:hAnsi="Arial"/>
                  <w:sz w:val="18"/>
                  <w:szCs w:val="18"/>
                  <w:color w:val="0000EE"/>
                  <w:w w:val="89"/>
                </w:rPr>
                <w:t>Quantitative and Qualitative Disclosures About Market Risk</w:t>
              </w:r>
            </w:hyperlink>
          </w:p>
        </w:tc>
        <w:tc>
          <w:tcPr>
            <w:tcW w:w="2040" w:type="dxa"/>
            <w:vAlign w:val="bottom"/>
            <w:tcBorders>
              <w:top w:val="single" w:sz="8" w:color="0000EE"/>
            </w:tcBorders>
            <w:gridSpan w:val="4"/>
          </w:tcPr>
          <w:p>
            <w:pPr>
              <w:spacing w:after="0"/>
              <w:rPr>
                <w:sz w:val="24"/>
                <w:szCs w:val="24"/>
                <w:color w:val="auto"/>
              </w:rPr>
            </w:pPr>
          </w:p>
        </w:tc>
        <w:tc>
          <w:tcPr>
            <w:tcW w:w="3860" w:type="dxa"/>
            <w:vAlign w:val="bottom"/>
            <w:gridSpan w:val="4"/>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26</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4.</w:t>
            </w:r>
          </w:p>
        </w:tc>
        <w:tc>
          <w:tcPr>
            <w:tcW w:w="10160" w:type="dxa"/>
            <w:vAlign w:val="bottom"/>
            <w:gridSpan w:val="20"/>
          </w:tcPr>
          <w:p>
            <w:pPr>
              <w:spacing w:after="0"/>
              <w:rPr>
                <w:rFonts w:ascii="Arial" w:cs="Arial" w:eastAsia="Arial" w:hAnsi="Arial"/>
                <w:sz w:val="18"/>
                <w:szCs w:val="18"/>
                <w:color w:val="0000EE"/>
              </w:rPr>
            </w:pPr>
            <w:hyperlink w:anchor="page28">
              <w:r>
                <w:rPr>
                  <w:rFonts w:ascii="Arial" w:cs="Arial" w:eastAsia="Arial" w:hAnsi="Arial"/>
                  <w:sz w:val="18"/>
                  <w:szCs w:val="18"/>
                  <w:color w:val="0000EE"/>
                </w:rPr>
                <w:t>Controls and Procedures</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27</w:t>
            </w:r>
          </w:p>
        </w:tc>
        <w:tc>
          <w:tcPr>
            <w:tcW w:w="0" w:type="dxa"/>
            <w:vAlign w:val="bottom"/>
          </w:tcPr>
          <w:p>
            <w:pPr>
              <w:spacing w:after="0"/>
              <w:rPr>
                <w:sz w:val="1"/>
                <w:szCs w:val="1"/>
                <w:color w:val="auto"/>
              </w:rPr>
            </w:pPr>
          </w:p>
        </w:tc>
      </w:tr>
      <w:tr>
        <w:trPr>
          <w:trHeight w:val="412"/>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380" w:type="dxa"/>
            <w:vAlign w:val="bottom"/>
            <w:tcBorders>
              <w:top w:val="single" w:sz="8" w:color="0000EE"/>
            </w:tcBorders>
          </w:tcPr>
          <w:p>
            <w:pPr>
              <w:spacing w:after="0"/>
              <w:rPr>
                <w:sz w:val="24"/>
                <w:szCs w:val="24"/>
                <w:color w:val="auto"/>
              </w:rPr>
            </w:pPr>
          </w:p>
        </w:tc>
        <w:tc>
          <w:tcPr>
            <w:tcW w:w="280" w:type="dxa"/>
            <w:vAlign w:val="bottom"/>
            <w:tcBorders>
              <w:top w:val="single" w:sz="8" w:color="0000EE"/>
            </w:tcBorders>
          </w:tcPr>
          <w:p>
            <w:pPr>
              <w:spacing w:after="0"/>
              <w:rPr>
                <w:sz w:val="24"/>
                <w:szCs w:val="24"/>
                <w:color w:val="auto"/>
              </w:rPr>
            </w:pPr>
          </w:p>
        </w:tc>
        <w:tc>
          <w:tcPr>
            <w:tcW w:w="240" w:type="dxa"/>
            <w:vAlign w:val="bottom"/>
            <w:tcBorders>
              <w:top w:val="single" w:sz="8" w:color="0000EE"/>
            </w:tcBorders>
          </w:tcPr>
          <w:p>
            <w:pPr>
              <w:spacing w:after="0"/>
              <w:rPr>
                <w:sz w:val="24"/>
                <w:szCs w:val="24"/>
                <w:color w:val="auto"/>
              </w:rPr>
            </w:pPr>
          </w:p>
        </w:tc>
        <w:tc>
          <w:tcPr>
            <w:tcW w:w="180" w:type="dxa"/>
            <w:vAlign w:val="bottom"/>
            <w:tcBorders>
              <w:top w:val="single" w:sz="8" w:color="0000EE"/>
            </w:tcBorders>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1560" w:type="dxa"/>
            <w:vAlign w:val="bottom"/>
          </w:tcPr>
          <w:p>
            <w:pPr>
              <w:spacing w:after="0"/>
              <w:rPr>
                <w:sz w:val="24"/>
                <w:szCs w:val="24"/>
                <w:color w:val="auto"/>
              </w:rPr>
            </w:pPr>
          </w:p>
        </w:tc>
        <w:tc>
          <w:tcPr>
            <w:tcW w:w="6860" w:type="dxa"/>
            <w:vAlign w:val="bottom"/>
            <w:gridSpan w:val="11"/>
          </w:tcPr>
          <w:p>
            <w:pPr>
              <w:jc w:val="center"/>
              <w:ind w:right="3880"/>
              <w:spacing w:after="0"/>
              <w:rPr>
                <w:rFonts w:ascii="Arial" w:cs="Arial" w:eastAsia="Arial" w:hAnsi="Arial"/>
                <w:sz w:val="18"/>
                <w:szCs w:val="18"/>
                <w:b w:val="1"/>
                <w:bCs w:val="1"/>
                <w:color w:val="0000EE"/>
              </w:rPr>
            </w:pPr>
            <w:hyperlink w:anchor="page29">
              <w:r>
                <w:rPr>
                  <w:rFonts w:ascii="Arial" w:cs="Arial" w:eastAsia="Arial" w:hAnsi="Arial"/>
                  <w:sz w:val="18"/>
                  <w:szCs w:val="18"/>
                  <w:b w:val="1"/>
                  <w:bCs w:val="1"/>
                  <w:color w:val="0000EE"/>
                </w:rPr>
                <w:t>PART II. OTHER INFORMATION</w:t>
              </w:r>
            </w:hyperlink>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12"/>
        </w:trPr>
        <w:tc>
          <w:tcPr>
            <w:tcW w:w="880" w:type="dxa"/>
            <w:vAlign w:val="bottom"/>
            <w:gridSpan w:val="2"/>
          </w:tcPr>
          <w:p>
            <w:pPr>
              <w:spacing w:after="0"/>
              <w:rPr>
                <w:sz w:val="20"/>
                <w:szCs w:val="20"/>
                <w:color w:val="auto"/>
              </w:rPr>
            </w:pPr>
            <w:r>
              <w:rPr>
                <w:rFonts w:ascii="Arial" w:cs="Arial" w:eastAsia="Arial" w:hAnsi="Arial"/>
                <w:sz w:val="18"/>
                <w:szCs w:val="18"/>
                <w:color w:val="auto"/>
              </w:rPr>
              <w:t>Item 1.</w:t>
            </w:r>
          </w:p>
        </w:tc>
        <w:tc>
          <w:tcPr>
            <w:tcW w:w="3440" w:type="dxa"/>
            <w:vAlign w:val="bottom"/>
            <w:gridSpan w:val="10"/>
          </w:tcPr>
          <w:p>
            <w:pPr>
              <w:spacing w:after="0"/>
              <w:rPr>
                <w:rFonts w:ascii="Arial" w:cs="Arial" w:eastAsia="Arial" w:hAnsi="Arial"/>
                <w:sz w:val="18"/>
                <w:szCs w:val="18"/>
                <w:color w:val="0000EE"/>
              </w:rPr>
            </w:pPr>
            <w:hyperlink w:anchor="page29">
              <w:r>
                <w:rPr>
                  <w:rFonts w:ascii="Arial" w:cs="Arial" w:eastAsia="Arial" w:hAnsi="Arial"/>
                  <w:sz w:val="18"/>
                  <w:szCs w:val="18"/>
                  <w:color w:val="0000EE"/>
                </w:rPr>
                <w:t>Legal Proceedings</w:t>
              </w:r>
            </w:hyperlink>
          </w:p>
        </w:tc>
        <w:tc>
          <w:tcPr>
            <w:tcW w:w="2700" w:type="dxa"/>
            <w:vAlign w:val="bottom"/>
            <w:tcBorders>
              <w:top w:val="single" w:sz="8" w:color="0000EE"/>
            </w:tcBorders>
            <w:gridSpan w:val="4"/>
          </w:tcPr>
          <w:p>
            <w:pPr>
              <w:spacing w:after="0"/>
              <w:rPr>
                <w:sz w:val="24"/>
                <w:szCs w:val="24"/>
                <w:color w:val="auto"/>
              </w:rPr>
            </w:pPr>
          </w:p>
        </w:tc>
        <w:tc>
          <w:tcPr>
            <w:tcW w:w="4020" w:type="dxa"/>
            <w:vAlign w:val="bottom"/>
            <w:gridSpan w:val="6"/>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28</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1A.</w:t>
            </w:r>
          </w:p>
        </w:tc>
        <w:tc>
          <w:tcPr>
            <w:tcW w:w="1300" w:type="dxa"/>
            <w:vAlign w:val="bottom"/>
            <w:tcBorders>
              <w:top w:val="single" w:sz="8" w:color="0000EE"/>
            </w:tcBorders>
            <w:gridSpan w:val="6"/>
          </w:tcPr>
          <w:p>
            <w:pPr>
              <w:spacing w:after="0"/>
              <w:rPr>
                <w:rFonts w:ascii="Arial" w:cs="Arial" w:eastAsia="Arial" w:hAnsi="Arial"/>
                <w:sz w:val="18"/>
                <w:szCs w:val="18"/>
                <w:color w:val="0000EE"/>
              </w:rPr>
            </w:pPr>
            <w:hyperlink w:anchor="page29">
              <w:r>
                <w:rPr>
                  <w:rFonts w:ascii="Arial" w:cs="Arial" w:eastAsia="Arial" w:hAnsi="Arial"/>
                  <w:sz w:val="18"/>
                  <w:szCs w:val="18"/>
                  <w:color w:val="0000EE"/>
                </w:rPr>
                <w:t>Risk Factors</w:t>
              </w:r>
            </w:hyperlink>
          </w:p>
        </w:tc>
        <w:tc>
          <w:tcPr>
            <w:tcW w:w="8860" w:type="dxa"/>
            <w:vAlign w:val="bottom"/>
            <w:gridSpan w:val="14"/>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28</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520" w:type="dxa"/>
            <w:vAlign w:val="bottom"/>
            <w:gridSpan w:val="2"/>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3360" w:type="dxa"/>
            <w:vAlign w:val="bottom"/>
            <w:gridSpan w:val="7"/>
          </w:tcPr>
          <w:p>
            <w:pPr>
              <w:spacing w:after="0" w:line="20" w:lineRule="exact"/>
              <w:rPr>
                <w:sz w:val="1"/>
                <w:szCs w:val="1"/>
                <w:color w:val="auto"/>
              </w:rPr>
            </w:pPr>
          </w:p>
        </w:tc>
        <w:tc>
          <w:tcPr>
            <w:tcW w:w="5920" w:type="dxa"/>
            <w:vAlign w:val="bottom"/>
            <w:gridSpan w:val="9"/>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2.</w:t>
            </w:r>
          </w:p>
        </w:tc>
        <w:tc>
          <w:tcPr>
            <w:tcW w:w="10160" w:type="dxa"/>
            <w:vAlign w:val="bottom"/>
            <w:gridSpan w:val="20"/>
          </w:tcPr>
          <w:p>
            <w:pPr>
              <w:spacing w:after="0"/>
              <w:rPr>
                <w:rFonts w:ascii="Arial" w:cs="Arial" w:eastAsia="Arial" w:hAnsi="Arial"/>
                <w:sz w:val="18"/>
                <w:szCs w:val="18"/>
                <w:color w:val="0000EE"/>
              </w:rPr>
            </w:pPr>
            <w:hyperlink w:anchor="page42">
              <w:r>
                <w:rPr>
                  <w:rFonts w:ascii="Arial" w:cs="Arial" w:eastAsia="Arial" w:hAnsi="Arial"/>
                  <w:sz w:val="18"/>
                  <w:szCs w:val="18"/>
                  <w:color w:val="0000EE"/>
                </w:rPr>
                <w:t>Unregistered Sales of Equity Securities and Use of Proceeds</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41</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6.</w:t>
            </w:r>
          </w:p>
        </w:tc>
        <w:tc>
          <w:tcPr>
            <w:tcW w:w="4240" w:type="dxa"/>
            <w:vAlign w:val="bottom"/>
            <w:tcBorders>
              <w:top w:val="single" w:sz="8" w:color="0000EE"/>
            </w:tcBorders>
            <w:gridSpan w:val="11"/>
          </w:tcPr>
          <w:p>
            <w:pPr>
              <w:spacing w:after="0"/>
              <w:rPr>
                <w:rFonts w:ascii="Arial" w:cs="Arial" w:eastAsia="Arial" w:hAnsi="Arial"/>
                <w:sz w:val="18"/>
                <w:szCs w:val="18"/>
                <w:color w:val="0000EE"/>
              </w:rPr>
            </w:pPr>
            <w:hyperlink w:anchor="page42">
              <w:r>
                <w:rPr>
                  <w:rFonts w:ascii="Arial" w:cs="Arial" w:eastAsia="Arial" w:hAnsi="Arial"/>
                  <w:sz w:val="18"/>
                  <w:szCs w:val="18"/>
                  <w:color w:val="0000EE"/>
                </w:rPr>
                <w:t>Exhibits</w:t>
              </w:r>
            </w:hyperlink>
          </w:p>
        </w:tc>
        <w:tc>
          <w:tcPr>
            <w:tcW w:w="5920" w:type="dxa"/>
            <w:vAlign w:val="bottom"/>
            <w:gridSpan w:val="9"/>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41</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rFonts w:ascii="Arial" w:cs="Arial" w:eastAsia="Arial" w:hAnsi="Arial"/>
                <w:sz w:val="18"/>
                <w:szCs w:val="18"/>
                <w:color w:val="0000EE"/>
                <w:w w:val="99"/>
              </w:rPr>
            </w:pPr>
            <w:hyperlink w:anchor="page43">
              <w:r>
                <w:rPr>
                  <w:rFonts w:ascii="Arial" w:cs="Arial" w:eastAsia="Arial" w:hAnsi="Arial"/>
                  <w:sz w:val="18"/>
                  <w:szCs w:val="18"/>
                  <w:color w:val="0000EE"/>
                  <w:w w:val="99"/>
                </w:rPr>
                <w:t>Signatures</w:t>
              </w:r>
            </w:hyperlink>
          </w:p>
        </w:tc>
        <w:tc>
          <w:tcPr>
            <w:tcW w:w="8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380" w:type="dxa"/>
            <w:vAlign w:val="bottom"/>
            <w:tcBorders>
              <w:top w:val="single" w:sz="8" w:color="0000EE"/>
            </w:tcBorders>
          </w:tcPr>
          <w:p>
            <w:pPr>
              <w:spacing w:after="0"/>
              <w:rPr>
                <w:sz w:val="24"/>
                <w:szCs w:val="24"/>
                <w:color w:val="auto"/>
              </w:rPr>
            </w:pPr>
          </w:p>
        </w:tc>
        <w:tc>
          <w:tcPr>
            <w:tcW w:w="2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5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4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60" w:type="dxa"/>
            <w:vAlign w:val="bottom"/>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42</w:t>
            </w:r>
          </w:p>
        </w:tc>
        <w:tc>
          <w:tcPr>
            <w:tcW w:w="0" w:type="dxa"/>
            <w:vAlign w:val="bottom"/>
          </w:tcPr>
          <w:p>
            <w:pPr>
              <w:spacing w:after="0"/>
              <w:rPr>
                <w:sz w:val="1"/>
                <w:szCs w:val="1"/>
                <w:color w:val="auto"/>
              </w:rPr>
            </w:pPr>
          </w:p>
        </w:tc>
      </w:tr>
      <w:tr>
        <w:trPr>
          <w:trHeight w:val="20"/>
        </w:trPr>
        <w:tc>
          <w:tcPr>
            <w:tcW w:w="740" w:type="dxa"/>
            <w:vAlign w:val="bottom"/>
            <w:shd w:val="clear" w:color="auto" w:fill="0000EE"/>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10080" w:type="dxa"/>
            <w:vAlign w:val="bottom"/>
            <w:gridSpan w:val="19"/>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11040" w:type="dxa"/>
            <w:vAlign w:val="bottom"/>
            <w:gridSpan w:val="22"/>
          </w:tcPr>
          <w:p>
            <w:pPr>
              <w:spacing w:after="0"/>
              <w:rPr>
                <w:rFonts w:ascii="Arial" w:cs="Arial" w:eastAsia="Arial" w:hAnsi="Arial"/>
                <w:sz w:val="18"/>
                <w:szCs w:val="18"/>
                <w:color w:val="0000EE"/>
              </w:rPr>
            </w:pPr>
            <w:hyperlink w:anchor="page44">
              <w:r>
                <w:rPr>
                  <w:rFonts w:ascii="Arial" w:cs="Arial" w:eastAsia="Arial" w:hAnsi="Arial"/>
                  <w:sz w:val="18"/>
                  <w:szCs w:val="18"/>
                  <w:color w:val="0000EE"/>
                </w:rPr>
                <w:t>Exhibit Index</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43</w:t>
            </w:r>
          </w:p>
        </w:tc>
        <w:tc>
          <w:tcPr>
            <w:tcW w:w="0" w:type="dxa"/>
            <w:vAlign w:val="bottom"/>
          </w:tcPr>
          <w:p>
            <w:pPr>
              <w:spacing w:after="0"/>
              <w:rPr>
                <w:sz w:val="1"/>
                <w:szCs w:val="1"/>
                <w:color w:val="auto"/>
              </w:rPr>
            </w:pPr>
          </w:p>
        </w:tc>
      </w:tr>
      <w:tr>
        <w:trPr>
          <w:trHeight w:val="383"/>
        </w:trPr>
        <w:tc>
          <w:tcPr>
            <w:tcW w:w="74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6060" w:type="dxa"/>
            <w:vAlign w:val="bottom"/>
            <w:gridSpan w:val="13"/>
          </w:tcPr>
          <w:p>
            <w:pPr>
              <w:jc w:val="right"/>
              <w:ind w:right="1260"/>
              <w:spacing w:after="0"/>
              <w:rPr>
                <w:sz w:val="20"/>
                <w:szCs w:val="20"/>
                <w:color w:val="auto"/>
              </w:rPr>
            </w:pPr>
            <w:r>
              <w:rPr>
                <w:rFonts w:ascii="Arial" w:cs="Arial" w:eastAsia="Arial" w:hAnsi="Arial"/>
                <w:sz w:val="18"/>
                <w:szCs w:val="18"/>
                <w:color w:val="auto"/>
              </w:rPr>
              <w:t>1</w:t>
            </w: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20"/>
          </w:cols>
          <w:pgMar w:left="240" w:top="459" w:right="33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I: FINANCIAL INFORMATION</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gridSpan w:val="2"/>
          </w:tcPr>
          <w:p>
            <w:pPr>
              <w:ind w:left="40"/>
              <w:spacing w:after="0"/>
              <w:rPr>
                <w:sz w:val="20"/>
                <w:szCs w:val="20"/>
                <w:color w:val="auto"/>
              </w:rPr>
            </w:pPr>
            <w:r>
              <w:rPr>
                <w:rFonts w:ascii="Arial" w:cs="Arial" w:eastAsia="Arial" w:hAnsi="Arial"/>
                <w:sz w:val="14"/>
                <w:szCs w:val="14"/>
                <w:b w:val="1"/>
                <w:bCs w:val="1"/>
                <w:color w:val="auto"/>
              </w:rPr>
              <w:t>April 30,</w:t>
            </w:r>
          </w:p>
        </w:tc>
        <w:tc>
          <w:tcPr>
            <w:tcW w:w="140" w:type="dxa"/>
            <w:vAlign w:val="bottom"/>
          </w:tcPr>
          <w:p>
            <w:pPr>
              <w:spacing w:after="0"/>
              <w:rPr>
                <w:sz w:val="14"/>
                <w:szCs w:val="14"/>
                <w:color w:val="auto"/>
              </w:rPr>
            </w:pPr>
          </w:p>
        </w:tc>
        <w:tc>
          <w:tcPr>
            <w:tcW w:w="900" w:type="dxa"/>
            <w:vAlign w:val="bottom"/>
            <w:gridSpan w:val="3"/>
          </w:tcPr>
          <w:p>
            <w:pPr>
              <w:ind w:left="60"/>
              <w:spacing w:after="0"/>
              <w:rPr>
                <w:sz w:val="20"/>
                <w:szCs w:val="20"/>
                <w:color w:val="auto"/>
              </w:rPr>
            </w:pPr>
            <w:r>
              <w:rPr>
                <w:rFonts w:ascii="Arial" w:cs="Arial" w:eastAsia="Arial" w:hAnsi="Arial"/>
                <w:sz w:val="14"/>
                <w:szCs w:val="14"/>
                <w:b w:val="1"/>
                <w:bCs w:val="1"/>
                <w:color w:val="auto"/>
              </w:rPr>
              <w:t>January 29,</w:t>
            </w:r>
          </w:p>
        </w:tc>
        <w:tc>
          <w:tcPr>
            <w:tcW w:w="0" w:type="dxa"/>
            <w:vAlign w:val="bottom"/>
          </w:tcPr>
          <w:p>
            <w:pPr>
              <w:spacing w:after="0"/>
              <w:rPr>
                <w:sz w:val="1"/>
                <w:szCs w:val="1"/>
                <w:color w:val="auto"/>
              </w:rPr>
            </w:pPr>
          </w:p>
        </w:tc>
      </w:tr>
      <w:tr>
        <w:trPr>
          <w:trHeight w:val="161"/>
        </w:trPr>
        <w:tc>
          <w:tcPr>
            <w:tcW w:w="94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2011</w:t>
            </w:r>
          </w:p>
        </w:tc>
        <w:tc>
          <w:tcPr>
            <w:tcW w:w="1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2011</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9420" w:type="dxa"/>
            <w:vAlign w:val="bottom"/>
            <w:shd w:val="clear" w:color="auto" w:fill="CCEEFF"/>
          </w:tcPr>
          <w:p>
            <w:pPr>
              <w:ind w:left="4280"/>
              <w:spacing w:after="0"/>
              <w:rPr>
                <w:sz w:val="20"/>
                <w:szCs w:val="20"/>
                <w:color w:val="auto"/>
              </w:rPr>
            </w:pPr>
            <w:r>
              <w:rPr>
                <w:rFonts w:ascii="Arial" w:cs="Arial" w:eastAsia="Arial" w:hAnsi="Arial"/>
                <w:sz w:val="18"/>
                <w:szCs w:val="18"/>
                <w:b w:val="1"/>
                <w:bCs w:val="1"/>
                <w:color w:val="auto"/>
              </w:rPr>
              <w:t>ASSETS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tcPr>
          <w:p>
            <w:pPr>
              <w:spacing w:after="0"/>
              <w:rPr>
                <w:sz w:val="20"/>
                <w:szCs w:val="20"/>
                <w:color w:val="auto"/>
              </w:rPr>
            </w:pPr>
            <w:r>
              <w:rPr>
                <w:rFonts w:ascii="Arial" w:cs="Arial" w:eastAsia="Arial" w:hAnsi="Arial"/>
                <w:sz w:val="18"/>
                <w:szCs w:val="18"/>
                <w:color w:val="auto"/>
              </w:rPr>
              <w:t>Current assets:</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Cash and cash equivalents</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782,401</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1,847,074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tcPr>
          <w:p>
            <w:pPr>
              <w:ind w:left="440"/>
              <w:spacing w:after="0"/>
              <w:rPr>
                <w:sz w:val="20"/>
                <w:szCs w:val="20"/>
                <w:color w:val="auto"/>
              </w:rPr>
            </w:pPr>
            <w:r>
              <w:rPr>
                <w:rFonts w:ascii="Arial" w:cs="Arial" w:eastAsia="Arial" w:hAnsi="Arial"/>
                <w:sz w:val="18"/>
                <w:szCs w:val="18"/>
                <w:color w:val="auto"/>
              </w:rPr>
              <w:t>Short-term investments</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w w:val="84"/>
              </w:rPr>
              <w:t>1,485,438</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1,082,956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Accounts receivable, net</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425,468</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459,406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tcPr>
          <w:p>
            <w:pPr>
              <w:ind w:left="440"/>
              <w:spacing w:after="0"/>
              <w:rPr>
                <w:sz w:val="20"/>
                <w:szCs w:val="20"/>
                <w:color w:val="auto"/>
              </w:rPr>
            </w:pPr>
            <w:r>
              <w:rPr>
                <w:rFonts w:ascii="Arial" w:cs="Arial" w:eastAsia="Arial" w:hAnsi="Arial"/>
                <w:sz w:val="18"/>
                <w:szCs w:val="18"/>
                <w:color w:val="auto"/>
              </w:rPr>
              <w:t>Inventories</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299,108</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245,448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Prepaid expenses and other current assets</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69,336</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66,945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9420" w:type="dxa"/>
            <w:vAlign w:val="bottom"/>
          </w:tcPr>
          <w:p>
            <w:pPr>
              <w:ind w:left="440"/>
              <w:spacing w:after="0"/>
              <w:rPr>
                <w:sz w:val="20"/>
                <w:szCs w:val="20"/>
                <w:color w:val="auto"/>
              </w:rPr>
            </w:pPr>
            <w:r>
              <w:rPr>
                <w:rFonts w:ascii="Arial" w:cs="Arial" w:eastAsia="Arial" w:hAnsi="Arial"/>
                <w:sz w:val="18"/>
                <w:szCs w:val="18"/>
                <w:color w:val="auto"/>
              </w:rPr>
              <w:t>Deferred income taxes</w:t>
            </w: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10,818</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10,818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current assets</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3,072,569</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3,712,647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354,483</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358,440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26,070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26,226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tcPr>
          <w:p>
            <w:pPr>
              <w:spacing w:after="0"/>
              <w:rPr>
                <w:sz w:val="20"/>
                <w:szCs w:val="20"/>
                <w:color w:val="auto"/>
              </w:rPr>
            </w:pPr>
            <w:r>
              <w:rPr>
                <w:rFonts w:ascii="Arial" w:cs="Arial" w:eastAsia="Arial" w:hAnsi="Arial"/>
                <w:sz w:val="18"/>
                <w:szCs w:val="18"/>
                <w:color w:val="auto"/>
              </w:rPr>
              <w:t>Goodwill</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w w:val="84"/>
              </w:rPr>
              <w:t>2,006,473</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2,004,833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spacing w:after="0"/>
              <w:rPr>
                <w:sz w:val="20"/>
                <w:szCs w:val="20"/>
                <w:color w:val="auto"/>
              </w:rPr>
            </w:pPr>
            <w:r>
              <w:rPr>
                <w:rFonts w:ascii="Arial" w:cs="Arial" w:eastAsia="Arial" w:hAnsi="Arial"/>
                <w:sz w:val="18"/>
                <w:szCs w:val="18"/>
                <w:color w:val="auto"/>
              </w:rPr>
              <w:t>Acquired intangible assets, net</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123,869</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124,631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942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109,143</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111,380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assets</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5,692,607</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6,338,157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420" w:type="dxa"/>
            <w:vAlign w:val="bottom"/>
            <w:vMerge w:val="restart"/>
          </w:tcPr>
          <w:p>
            <w:pPr>
              <w:ind w:left="2700"/>
              <w:spacing w:after="0"/>
              <w:rPr>
                <w:sz w:val="20"/>
                <w:szCs w:val="20"/>
                <w:color w:val="auto"/>
              </w:rPr>
            </w:pPr>
            <w:r>
              <w:rPr>
                <w:rFonts w:ascii="Arial" w:cs="Arial" w:eastAsia="Arial" w:hAnsi="Arial"/>
                <w:sz w:val="18"/>
                <w:szCs w:val="18"/>
                <w:b w:val="1"/>
                <w:bCs w:val="1"/>
                <w:color w:val="auto"/>
              </w:rPr>
              <w:t>LIABILITIES AND SHAREHOLDERS’ EQUITY</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9420" w:type="dxa"/>
            <w:vAlign w:val="bottom"/>
            <w:vMerge w:val="continue"/>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9420" w:type="dxa"/>
            <w:vAlign w:val="bottom"/>
            <w:shd w:val="clear" w:color="auto" w:fill="CCEEFF"/>
          </w:tcPr>
          <w:p>
            <w:pPr>
              <w:spacing w:after="0"/>
              <w:rPr>
                <w:sz w:val="20"/>
                <w:szCs w:val="20"/>
                <w:color w:val="auto"/>
              </w:rPr>
            </w:pPr>
            <w:r>
              <w:rPr>
                <w:rFonts w:ascii="Arial" w:cs="Arial" w:eastAsia="Arial" w:hAnsi="Arial"/>
                <w:sz w:val="18"/>
                <w:szCs w:val="18"/>
                <w:color w:val="auto"/>
              </w:rPr>
              <w:t>Current liabilities: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tcPr>
          <w:p>
            <w:pPr>
              <w:ind w:left="440"/>
              <w:spacing w:after="0"/>
              <w:rPr>
                <w:sz w:val="20"/>
                <w:szCs w:val="20"/>
                <w:color w:val="auto"/>
              </w:rPr>
            </w:pPr>
            <w:r>
              <w:rPr>
                <w:rFonts w:ascii="Arial" w:cs="Arial" w:eastAsia="Arial" w:hAnsi="Arial"/>
                <w:sz w:val="18"/>
                <w:szCs w:val="18"/>
                <w:color w:val="auto"/>
              </w:rPr>
              <w:t>Accounts payable</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321,687</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332,007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Accrued liabilities</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79,193</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85,994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tcPr>
          <w:p>
            <w:pPr>
              <w:ind w:left="440"/>
              <w:spacing w:after="0"/>
              <w:rPr>
                <w:sz w:val="20"/>
                <w:szCs w:val="20"/>
                <w:color w:val="auto"/>
              </w:rPr>
            </w:pPr>
            <w:r>
              <w:rPr>
                <w:rFonts w:ascii="Arial" w:cs="Arial" w:eastAsia="Arial" w:hAnsi="Arial"/>
                <w:sz w:val="18"/>
                <w:szCs w:val="18"/>
                <w:color w:val="auto"/>
              </w:rPr>
              <w:t>Accrued employee compensation</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131,644</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146,524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Deferred income</w:t>
            </w: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80,890</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76,161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9420" w:type="dxa"/>
            <w:vAlign w:val="bottom"/>
          </w:tcPr>
          <w:p>
            <w:pPr>
              <w:ind w:left="880"/>
              <w:spacing w:after="0"/>
              <w:rPr>
                <w:sz w:val="20"/>
                <w:szCs w:val="20"/>
                <w:color w:val="auto"/>
              </w:rPr>
            </w:pPr>
            <w:r>
              <w:rPr>
                <w:rFonts w:ascii="Arial" w:cs="Arial" w:eastAsia="Arial" w:hAnsi="Arial"/>
                <w:sz w:val="18"/>
                <w:szCs w:val="18"/>
                <w:color w:val="auto"/>
              </w:rPr>
              <w:t>Total current liabilities</w:t>
            </w:r>
          </w:p>
        </w:tc>
        <w:tc>
          <w:tcPr>
            <w:tcW w:w="100" w:type="dxa"/>
            <w:vAlign w:val="bottom"/>
          </w:tcPr>
          <w:p>
            <w:pPr>
              <w:spacing w:after="0"/>
              <w:rPr>
                <w:sz w:val="19"/>
                <w:szCs w:val="19"/>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613,414</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640,686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9420" w:type="dxa"/>
            <w:vAlign w:val="bottom"/>
            <w:shd w:val="clear" w:color="auto" w:fill="CCEEFF"/>
          </w:tcPr>
          <w:p>
            <w:pPr>
              <w:spacing w:after="0"/>
              <w:rPr>
                <w:sz w:val="20"/>
                <w:szCs w:val="20"/>
                <w:color w:val="auto"/>
              </w:rPr>
            </w:pPr>
            <w:r>
              <w:rPr>
                <w:rFonts w:ascii="Arial" w:cs="Arial" w:eastAsia="Arial" w:hAnsi="Arial"/>
                <w:sz w:val="18"/>
                <w:szCs w:val="18"/>
                <w:color w:val="auto"/>
              </w:rPr>
              <w:t>Non-current income taxes payable</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138,767</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136,262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9420" w:type="dxa"/>
            <w:vAlign w:val="bottom"/>
          </w:tcPr>
          <w:p>
            <w:pPr>
              <w:spacing w:after="0"/>
              <w:rPr>
                <w:sz w:val="20"/>
                <w:szCs w:val="20"/>
                <w:color w:val="auto"/>
              </w:rPr>
            </w:pPr>
            <w:r>
              <w:rPr>
                <w:rFonts w:ascii="Arial" w:cs="Arial" w:eastAsia="Arial" w:hAnsi="Arial"/>
                <w:sz w:val="18"/>
                <w:szCs w:val="18"/>
                <w:color w:val="auto"/>
              </w:rPr>
              <w:t>Other long-term liabilities</w:t>
            </w: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37,022</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39,340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liabilities</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789,203</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816,288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tcPr>
          <w:p>
            <w:pPr>
              <w:spacing w:after="0"/>
              <w:rPr>
                <w:sz w:val="20"/>
                <w:szCs w:val="20"/>
                <w:color w:val="auto"/>
              </w:rPr>
            </w:pPr>
            <w:r>
              <w:rPr>
                <w:rFonts w:ascii="Arial" w:cs="Arial" w:eastAsia="Arial" w:hAnsi="Arial"/>
                <w:sz w:val="18"/>
                <w:szCs w:val="18"/>
                <w:color w:val="auto"/>
              </w:rPr>
              <w:t>Commitments and contingencies (Note 9)</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tcPr>
          <w:p>
            <w:pPr>
              <w:ind w:left="440"/>
              <w:spacing w:after="0"/>
              <w:rPr>
                <w:sz w:val="20"/>
                <w:szCs w:val="20"/>
                <w:color w:val="auto"/>
              </w:rPr>
            </w:pPr>
            <w:r>
              <w:rPr>
                <w:rFonts w:ascii="Arial" w:cs="Arial" w:eastAsia="Arial" w:hAnsi="Arial"/>
                <w:sz w:val="18"/>
                <w:szCs w:val="18"/>
                <w:color w:val="auto"/>
              </w:rPr>
              <w:t>Common stock</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1,218</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1,317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Additional paid-in capital</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4,034,873</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4,805,588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tcPr>
          <w:p>
            <w:pPr>
              <w:ind w:left="440"/>
              <w:spacing w:after="0"/>
              <w:rPr>
                <w:sz w:val="20"/>
                <w:szCs w:val="20"/>
                <w:color w:val="auto"/>
              </w:rPr>
            </w:pPr>
            <w:r>
              <w:rPr>
                <w:rFonts w:ascii="Arial" w:cs="Arial" w:eastAsia="Arial" w:hAnsi="Arial"/>
                <w:sz w:val="18"/>
                <w:szCs w:val="18"/>
                <w:color w:val="auto"/>
              </w:rPr>
              <w:t>Accumulated other comprehensive income</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6,580</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1,092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Retained earnings</w:t>
            </w: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860,733</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713,872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9420" w:type="dxa"/>
            <w:vAlign w:val="bottom"/>
          </w:tcPr>
          <w:p>
            <w:pPr>
              <w:ind w:left="880"/>
              <w:spacing w:after="0"/>
              <w:rPr>
                <w:sz w:val="20"/>
                <w:szCs w:val="20"/>
                <w:color w:val="auto"/>
              </w:rPr>
            </w:pPr>
            <w:r>
              <w:rPr>
                <w:rFonts w:ascii="Arial" w:cs="Arial" w:eastAsia="Arial" w:hAnsi="Arial"/>
                <w:sz w:val="18"/>
                <w:szCs w:val="18"/>
                <w:color w:val="auto"/>
              </w:rPr>
              <w:t>Total shareholders’ equity</w:t>
            </w: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4,903,404</w:t>
            </w:r>
          </w:p>
        </w:tc>
        <w:tc>
          <w:tcPr>
            <w:tcW w:w="1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5,521,869</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liabilities and shareholders’ equity</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5,692,607</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6,338,157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16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459" w:right="2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left="260" w:right="2520"/>
        <w:spacing w:after="0" w:line="262" w:lineRule="auto"/>
        <w:rPr>
          <w:sz w:val="20"/>
          <w:szCs w:val="20"/>
          <w:color w:val="auto"/>
        </w:rPr>
      </w:pPr>
      <w:r>
        <w:rPr>
          <w:rFonts w:ascii="Arial" w:cs="Arial" w:eastAsia="Arial" w:hAnsi="Arial"/>
          <w:sz w:val="18"/>
          <w:szCs w:val="18"/>
          <w:b w:val="1"/>
          <w:bCs w:val="1"/>
          <w:color w:val="auto"/>
        </w:rPr>
        <w:t>MARVELL TECHNOLOGY GROUP LTD. UNAUDITED CONDENSED CONSOLIDATED STATEMENTS OF OPERATIONS (In thousands, except per share amounts)</w:t>
      </w:r>
    </w:p>
    <w:p>
      <w:pPr>
        <w:spacing w:after="0" w:line="17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500" w:type="dxa"/>
            <w:vAlign w:val="bottom"/>
          </w:tcPr>
          <w:p>
            <w:pPr>
              <w:spacing w:after="0"/>
              <w:rPr>
                <w:sz w:val="14"/>
                <w:szCs w:val="14"/>
                <w:color w:val="auto"/>
              </w:rPr>
            </w:pPr>
          </w:p>
        </w:tc>
        <w:tc>
          <w:tcPr>
            <w:tcW w:w="3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680" w:type="dxa"/>
            <w:vAlign w:val="bottom"/>
            <w:gridSpan w:val="6"/>
          </w:tcPr>
          <w:p>
            <w:pPr>
              <w:jc w:val="right"/>
              <w:ind w:right="340"/>
              <w:spacing w:after="0"/>
              <w:rPr>
                <w:sz w:val="20"/>
                <w:szCs w:val="20"/>
                <w:color w:val="auto"/>
              </w:rPr>
            </w:pPr>
            <w:r>
              <w:rPr>
                <w:rFonts w:ascii="Arial" w:cs="Arial" w:eastAsia="Arial" w:hAnsi="Arial"/>
                <w:sz w:val="14"/>
                <w:szCs w:val="14"/>
                <w:b w:val="1"/>
                <w:bCs w:val="1"/>
                <w:color w:val="auto"/>
                <w:w w:val="95"/>
              </w:rPr>
              <w:t>Three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500" w:type="dxa"/>
            <w:vAlign w:val="bottom"/>
          </w:tcPr>
          <w:p>
            <w:pPr>
              <w:spacing w:after="0"/>
              <w:rPr>
                <w:sz w:val="11"/>
                <w:szCs w:val="11"/>
                <w:color w:val="auto"/>
              </w:rPr>
            </w:pPr>
          </w:p>
        </w:tc>
        <w:tc>
          <w:tcPr>
            <w:tcW w:w="3120" w:type="dxa"/>
            <w:vAlign w:val="bottom"/>
          </w:tcPr>
          <w:p>
            <w:pPr>
              <w:spacing w:after="0"/>
              <w:rPr>
                <w:sz w:val="11"/>
                <w:szCs w:val="11"/>
                <w:color w:val="auto"/>
              </w:rPr>
            </w:pPr>
          </w:p>
        </w:tc>
        <w:tc>
          <w:tcPr>
            <w:tcW w:w="860" w:type="dxa"/>
            <w:vAlign w:val="bottom"/>
            <w:tcBorders>
              <w:top w:val="single" w:sz="8" w:color="auto"/>
            </w:tcBorders>
            <w:gridSpan w:val="3"/>
          </w:tcPr>
          <w:p>
            <w:pPr>
              <w:jc w:val="right"/>
              <w:ind w:right="260"/>
              <w:spacing w:after="0" w:line="129" w:lineRule="exact"/>
              <w:rPr>
                <w:sz w:val="20"/>
                <w:szCs w:val="20"/>
                <w:color w:val="auto"/>
              </w:rPr>
            </w:pPr>
            <w:r>
              <w:rPr>
                <w:rFonts w:ascii="Arial" w:cs="Arial" w:eastAsia="Arial" w:hAnsi="Arial"/>
                <w:sz w:val="14"/>
                <w:szCs w:val="14"/>
                <w:b w:val="1"/>
                <w:bCs w:val="1"/>
                <w:color w:val="auto"/>
              </w:rPr>
              <w:t>April 30,</w:t>
            </w:r>
          </w:p>
        </w:tc>
        <w:tc>
          <w:tcPr>
            <w:tcW w:w="14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ind w:right="54"/>
              <w:spacing w:after="0" w:line="129" w:lineRule="exact"/>
              <w:rPr>
                <w:sz w:val="20"/>
                <w:szCs w:val="20"/>
                <w:color w:val="auto"/>
              </w:rPr>
            </w:pPr>
            <w:r>
              <w:rPr>
                <w:rFonts w:ascii="Arial" w:cs="Arial" w:eastAsia="Arial" w:hAnsi="Arial"/>
                <w:sz w:val="14"/>
                <w:szCs w:val="14"/>
                <w:b w:val="1"/>
                <w:bCs w:val="1"/>
                <w:color w:val="auto"/>
                <w:w w:val="98"/>
              </w:rPr>
              <w:t>May 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500" w:type="dxa"/>
            <w:vAlign w:val="bottom"/>
          </w:tcPr>
          <w:p>
            <w:pPr>
              <w:spacing w:after="0"/>
              <w:rPr>
                <w:sz w:val="14"/>
                <w:szCs w:val="14"/>
                <w:color w:val="auto"/>
              </w:rPr>
            </w:pPr>
          </w:p>
        </w:tc>
        <w:tc>
          <w:tcPr>
            <w:tcW w:w="31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4"/>
              <w:spacing w:after="0"/>
              <w:rPr>
                <w:sz w:val="20"/>
                <w:szCs w:val="20"/>
                <w:color w:val="auto"/>
              </w:rPr>
            </w:pPr>
            <w:r>
              <w:rPr>
                <w:rFonts w:ascii="Arial" w:cs="Arial" w:eastAsia="Arial" w:hAnsi="Arial"/>
                <w:sz w:val="14"/>
                <w:szCs w:val="14"/>
                <w:b w:val="1"/>
                <w:bCs w:val="1"/>
                <w:color w:val="auto"/>
              </w:rPr>
              <w:t>2011</w:t>
            </w:r>
          </w:p>
        </w:tc>
        <w:tc>
          <w:tcPr>
            <w:tcW w:w="1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4"/>
              <w:spacing w:after="0"/>
              <w:rPr>
                <w:sz w:val="20"/>
                <w:szCs w:val="20"/>
                <w:color w:val="auto"/>
              </w:rPr>
            </w:pPr>
            <w:r>
              <w:rPr>
                <w:rFonts w:ascii="Arial" w:cs="Arial" w:eastAsia="Arial" w:hAnsi="Arial"/>
                <w:sz w:val="14"/>
                <w:szCs w:val="14"/>
                <w:b w:val="1"/>
                <w:bCs w:val="1"/>
                <w:color w:val="auto"/>
              </w:rPr>
              <w:t>2010</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50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3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802,402</w:t>
            </w:r>
          </w:p>
        </w:tc>
        <w:tc>
          <w:tcPr>
            <w:tcW w:w="180" w:type="dxa"/>
            <w:vAlign w:val="bottom"/>
            <w:shd w:val="clear" w:color="auto" w:fill="CCEEFF"/>
          </w:tcPr>
          <w:p>
            <w:pPr>
              <w:spacing w:after="0"/>
              <w:rPr>
                <w:sz w:val="18"/>
                <w:szCs w:val="18"/>
                <w:color w:val="auto"/>
              </w:rPr>
            </w:pPr>
          </w:p>
        </w:tc>
        <w:tc>
          <w:tcPr>
            <w:tcW w:w="2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6"/>
              </w:rPr>
              <w:t>855,579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3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3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334,475</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6"/>
              </w:rPr>
              <w:t>343,985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3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242,537</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w w:val="86"/>
              </w:rPr>
              <w:t>219,111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3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38,152</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38,423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3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24,784</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rPr>
              <w:t>23,108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of acquired intangible assets</w:t>
            </w:r>
          </w:p>
        </w:tc>
        <w:tc>
          <w:tcPr>
            <w:tcW w:w="31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14,341</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22,549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6500" w:type="dxa"/>
            <w:vAlign w:val="bottom"/>
          </w:tcPr>
          <w:p>
            <w:pPr>
              <w:ind w:left="860"/>
              <w:spacing w:after="0"/>
              <w:rPr>
                <w:sz w:val="20"/>
                <w:szCs w:val="20"/>
                <w:color w:val="auto"/>
              </w:rPr>
            </w:pPr>
            <w:r>
              <w:rPr>
                <w:rFonts w:ascii="Arial" w:cs="Arial" w:eastAsia="Arial" w:hAnsi="Arial"/>
                <w:sz w:val="18"/>
                <w:szCs w:val="18"/>
                <w:color w:val="auto"/>
              </w:rPr>
              <w:t>Total operating costs and expenses</w:t>
            </w:r>
          </w:p>
        </w:tc>
        <w:tc>
          <w:tcPr>
            <w:tcW w:w="312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654,289</w:t>
            </w:r>
          </w:p>
        </w:tc>
        <w:tc>
          <w:tcPr>
            <w:tcW w:w="1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647,176</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3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148,113</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6"/>
              </w:rPr>
              <w:t>208,403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tcPr>
          <w:p>
            <w:pPr>
              <w:spacing w:after="0"/>
              <w:rPr>
                <w:sz w:val="20"/>
                <w:szCs w:val="20"/>
                <w:color w:val="auto"/>
              </w:rPr>
            </w:pPr>
            <w:r>
              <w:rPr>
                <w:rFonts w:ascii="Arial" w:cs="Arial" w:eastAsia="Arial" w:hAnsi="Arial"/>
                <w:sz w:val="18"/>
                <w:szCs w:val="18"/>
                <w:color w:val="auto"/>
              </w:rPr>
              <w:t>Interest and other income (expense), net</w:t>
            </w:r>
          </w:p>
        </w:tc>
        <w:tc>
          <w:tcPr>
            <w:tcW w:w="3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rPr>
              <w:t>(27)</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2"/>
          </w:tcPr>
          <w:p>
            <w:pPr>
              <w:jc w:val="right"/>
              <w:ind w:right="40"/>
              <w:spacing w:after="0"/>
              <w:rPr>
                <w:sz w:val="20"/>
                <w:szCs w:val="20"/>
                <w:color w:val="auto"/>
              </w:rPr>
            </w:pPr>
            <w:r>
              <w:rPr>
                <w:rFonts w:ascii="Arial" w:cs="Arial" w:eastAsia="Arial" w:hAnsi="Arial"/>
                <w:sz w:val="18"/>
                <w:szCs w:val="18"/>
                <w:color w:val="auto"/>
              </w:rPr>
              <w:t>(3,701)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3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(191)</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(51)</w:t>
            </w:r>
          </w:p>
        </w:tc>
        <w:tc>
          <w:tcPr>
            <w:tcW w:w="0" w:type="dxa"/>
            <w:vAlign w:val="bottom"/>
          </w:tcPr>
          <w:p>
            <w:pPr>
              <w:spacing w:after="0"/>
              <w:rPr>
                <w:sz w:val="1"/>
                <w:szCs w:val="1"/>
                <w:color w:val="auto"/>
              </w:rPr>
            </w:pPr>
          </w:p>
        </w:tc>
      </w:tr>
      <w:tr>
        <w:trPr>
          <w:trHeight w:val="221"/>
        </w:trPr>
        <w:tc>
          <w:tcPr>
            <w:tcW w:w="6520" w:type="dxa"/>
            <w:vAlign w:val="bottom"/>
            <w:gridSpan w:val="2"/>
          </w:tcPr>
          <w:p>
            <w:pPr>
              <w:spacing w:after="0"/>
              <w:rPr>
                <w:sz w:val="20"/>
                <w:szCs w:val="20"/>
                <w:color w:val="auto"/>
              </w:rPr>
            </w:pPr>
            <w:r>
              <w:rPr>
                <w:rFonts w:ascii="Arial" w:cs="Arial" w:eastAsia="Arial" w:hAnsi="Arial"/>
                <w:sz w:val="18"/>
                <w:szCs w:val="18"/>
                <w:color w:val="auto"/>
              </w:rPr>
              <w:t>Income before income taxes</w:t>
            </w:r>
          </w:p>
        </w:tc>
        <w:tc>
          <w:tcPr>
            <w:tcW w:w="31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6"/>
              </w:rPr>
              <w:t>147,895</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6"/>
              </w:rPr>
              <w:t>204,651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650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3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1,034</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(1,116)</w:t>
            </w:r>
          </w:p>
        </w:tc>
        <w:tc>
          <w:tcPr>
            <w:tcW w:w="0" w:type="dxa"/>
            <w:vAlign w:val="bottom"/>
          </w:tcPr>
          <w:p>
            <w:pPr>
              <w:spacing w:after="0"/>
              <w:rPr>
                <w:sz w:val="1"/>
                <w:szCs w:val="1"/>
                <w:color w:val="auto"/>
              </w:rPr>
            </w:pPr>
          </w:p>
        </w:tc>
      </w:tr>
      <w:tr>
        <w:trPr>
          <w:trHeight w:val="20"/>
        </w:trPr>
        <w:tc>
          <w:tcPr>
            <w:tcW w:w="6520" w:type="dxa"/>
            <w:vAlign w:val="bottom"/>
            <w:gridSpan w:val="2"/>
            <w:vMerge w:val="restart"/>
          </w:tcPr>
          <w:p>
            <w:pPr>
              <w:spacing w:after="0"/>
              <w:rPr>
                <w:sz w:val="20"/>
                <w:szCs w:val="20"/>
                <w:color w:val="auto"/>
              </w:rPr>
            </w:pPr>
            <w:r>
              <w:rPr>
                <w:rFonts w:ascii="Arial" w:cs="Arial" w:eastAsia="Arial" w:hAnsi="Arial"/>
                <w:sz w:val="18"/>
                <w:szCs w:val="18"/>
                <w:color w:val="auto"/>
              </w:rPr>
              <w:t>Net income</w:t>
            </w:r>
          </w:p>
        </w:tc>
        <w:tc>
          <w:tcPr>
            <w:tcW w:w="3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6520" w:type="dxa"/>
            <w:vAlign w:val="bottom"/>
            <w:gridSpan w:val="2"/>
            <w:vMerge w:val="continue"/>
          </w:tcPr>
          <w:p>
            <w:pPr>
              <w:spacing w:after="0"/>
              <w:rPr>
                <w:sz w:val="19"/>
                <w:szCs w:val="19"/>
                <w:color w:val="auto"/>
              </w:rPr>
            </w:pPr>
          </w:p>
        </w:tc>
        <w:tc>
          <w:tcPr>
            <w:tcW w:w="32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146,861</w:t>
            </w:r>
          </w:p>
        </w:tc>
        <w:tc>
          <w:tcPr>
            <w:tcW w:w="180" w:type="dxa"/>
            <w:vAlign w:val="bottom"/>
          </w:tcPr>
          <w:p>
            <w:pPr>
              <w:spacing w:after="0"/>
              <w:rPr>
                <w:sz w:val="19"/>
                <w:szCs w:val="19"/>
                <w:color w:val="auto"/>
              </w:rPr>
            </w:pPr>
          </w:p>
        </w:tc>
        <w:tc>
          <w:tcPr>
            <w:tcW w:w="240" w:type="dxa"/>
            <w:vAlign w:val="bottom"/>
            <w:gridSpan w:val="2"/>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w w:val="86"/>
              </w:rPr>
              <w:t>205,767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500" w:type="dxa"/>
            <w:vAlign w:val="bottom"/>
          </w:tcPr>
          <w:p>
            <w:pPr>
              <w:spacing w:after="0" w:line="20" w:lineRule="exact"/>
              <w:rPr>
                <w:sz w:val="1"/>
                <w:szCs w:val="1"/>
                <w:color w:val="auto"/>
              </w:rPr>
            </w:pPr>
          </w:p>
        </w:tc>
        <w:tc>
          <w:tcPr>
            <w:tcW w:w="3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6500" w:type="dxa"/>
            <w:vAlign w:val="bottom"/>
            <w:shd w:val="clear" w:color="auto" w:fill="CCEEFF"/>
          </w:tcPr>
          <w:p>
            <w:pPr>
              <w:spacing w:after="0"/>
              <w:rPr>
                <w:sz w:val="20"/>
                <w:szCs w:val="20"/>
                <w:color w:val="auto"/>
              </w:rPr>
            </w:pPr>
            <w:r>
              <w:rPr>
                <w:rFonts w:ascii="Arial" w:cs="Arial" w:eastAsia="Arial" w:hAnsi="Arial"/>
                <w:sz w:val="18"/>
                <w:szCs w:val="18"/>
                <w:color w:val="auto"/>
              </w:rPr>
              <w:t>Net income per share:</w:t>
            </w:r>
          </w:p>
        </w:tc>
        <w:tc>
          <w:tcPr>
            <w:tcW w:w="3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00" w:type="dxa"/>
            <w:vAlign w:val="bottom"/>
          </w:tcPr>
          <w:p>
            <w:pPr>
              <w:ind w:left="420"/>
              <w:spacing w:after="0"/>
              <w:rPr>
                <w:sz w:val="20"/>
                <w:szCs w:val="20"/>
                <w:color w:val="auto"/>
              </w:rPr>
            </w:pPr>
            <w:r>
              <w:rPr>
                <w:rFonts w:ascii="Arial" w:cs="Arial" w:eastAsia="Arial" w:hAnsi="Arial"/>
                <w:sz w:val="18"/>
                <w:szCs w:val="18"/>
                <w:color w:val="auto"/>
              </w:rPr>
              <w:t>Basic</w:t>
            </w:r>
          </w:p>
        </w:tc>
        <w:tc>
          <w:tcPr>
            <w:tcW w:w="3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0.23</w:t>
            </w:r>
          </w:p>
        </w:tc>
        <w:tc>
          <w:tcPr>
            <w:tcW w:w="180" w:type="dxa"/>
            <w:vAlign w:val="bottom"/>
          </w:tcPr>
          <w:p>
            <w:pPr>
              <w:spacing w:after="0"/>
              <w:rPr>
                <w:sz w:val="18"/>
                <w:szCs w:val="18"/>
                <w:color w:val="auto"/>
              </w:rPr>
            </w:pPr>
          </w:p>
        </w:tc>
        <w:tc>
          <w:tcPr>
            <w:tcW w:w="2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rPr>
              <w:t>0.32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500" w:type="dxa"/>
            <w:vAlign w:val="bottom"/>
          </w:tcPr>
          <w:p>
            <w:pPr>
              <w:spacing w:after="0" w:line="20" w:lineRule="exact"/>
              <w:rPr>
                <w:sz w:val="1"/>
                <w:szCs w:val="1"/>
                <w:color w:val="auto"/>
              </w:rPr>
            </w:pPr>
          </w:p>
        </w:tc>
        <w:tc>
          <w:tcPr>
            <w:tcW w:w="3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6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Diluted</w:t>
            </w:r>
          </w:p>
        </w:tc>
        <w:tc>
          <w:tcPr>
            <w:tcW w:w="3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0.22</w:t>
            </w:r>
          </w:p>
        </w:tc>
        <w:tc>
          <w:tcPr>
            <w:tcW w:w="180" w:type="dxa"/>
            <w:vAlign w:val="bottom"/>
            <w:shd w:val="clear" w:color="auto" w:fill="CCEEFF"/>
          </w:tcPr>
          <w:p>
            <w:pPr>
              <w:spacing w:after="0"/>
              <w:rPr>
                <w:sz w:val="18"/>
                <w:szCs w:val="18"/>
                <w:color w:val="auto"/>
              </w:rPr>
            </w:pPr>
          </w:p>
        </w:tc>
        <w:tc>
          <w:tcPr>
            <w:tcW w:w="2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0.30</w:t>
            </w:r>
          </w:p>
        </w:tc>
        <w:tc>
          <w:tcPr>
            <w:tcW w:w="0" w:type="dxa"/>
            <w:vAlign w:val="bottom"/>
          </w:tcPr>
          <w:p>
            <w:pPr>
              <w:spacing w:after="0"/>
              <w:rPr>
                <w:sz w:val="1"/>
                <w:szCs w:val="1"/>
                <w:color w:val="auto"/>
              </w:rPr>
            </w:pPr>
          </w:p>
        </w:tc>
      </w:tr>
      <w:tr>
        <w:trPr>
          <w:trHeight w:val="20"/>
        </w:trPr>
        <w:tc>
          <w:tcPr>
            <w:tcW w:w="6520" w:type="dxa"/>
            <w:vAlign w:val="bottom"/>
            <w:gridSpan w:val="2"/>
            <w:vMerge w:val="restart"/>
          </w:tcPr>
          <w:p>
            <w:pPr>
              <w:spacing w:after="0"/>
              <w:rPr>
                <w:sz w:val="20"/>
                <w:szCs w:val="20"/>
                <w:color w:val="auto"/>
              </w:rPr>
            </w:pPr>
            <w:r>
              <w:rPr>
                <w:rFonts w:ascii="Arial" w:cs="Arial" w:eastAsia="Arial" w:hAnsi="Arial"/>
                <w:sz w:val="18"/>
                <w:szCs w:val="18"/>
                <w:color w:val="auto"/>
              </w:rPr>
              <w:t>Weighted average shares:</w:t>
            </w:r>
          </w:p>
        </w:tc>
        <w:tc>
          <w:tcPr>
            <w:tcW w:w="3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6520" w:type="dxa"/>
            <w:vAlign w:val="bottom"/>
            <w:gridSpan w:val="2"/>
            <w:vMerge w:val="continue"/>
          </w:tcPr>
          <w:p>
            <w:pPr>
              <w:spacing w:after="0"/>
              <w:rPr>
                <w:sz w:val="18"/>
                <w:szCs w:val="18"/>
                <w:color w:val="auto"/>
              </w:rPr>
            </w:pPr>
          </w:p>
        </w:tc>
        <w:tc>
          <w:tcPr>
            <w:tcW w:w="3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6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Basic</w:t>
            </w:r>
          </w:p>
        </w:tc>
        <w:tc>
          <w:tcPr>
            <w:tcW w:w="31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638,946</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640,926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500" w:type="dxa"/>
            <w:vAlign w:val="bottom"/>
            <w:vMerge w:val="restart"/>
          </w:tcPr>
          <w:p>
            <w:pPr>
              <w:ind w:left="420"/>
              <w:spacing w:after="0"/>
              <w:rPr>
                <w:sz w:val="20"/>
                <w:szCs w:val="20"/>
                <w:color w:val="auto"/>
              </w:rPr>
            </w:pPr>
            <w:r>
              <w:rPr>
                <w:rFonts w:ascii="Arial" w:cs="Arial" w:eastAsia="Arial" w:hAnsi="Arial"/>
                <w:sz w:val="18"/>
                <w:szCs w:val="18"/>
                <w:color w:val="auto"/>
              </w:rPr>
              <w:t>Diluted</w:t>
            </w:r>
          </w:p>
        </w:tc>
        <w:tc>
          <w:tcPr>
            <w:tcW w:w="3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20" w:type="dxa"/>
            <w:vAlign w:val="bottom"/>
          </w:tcPr>
          <w:p>
            <w:pPr>
              <w:spacing w:after="0"/>
              <w:rPr>
                <w:sz w:val="18"/>
                <w:szCs w:val="18"/>
                <w:color w:val="auto"/>
              </w:rPr>
            </w:pPr>
          </w:p>
        </w:tc>
        <w:tc>
          <w:tcPr>
            <w:tcW w:w="6500" w:type="dxa"/>
            <w:vAlign w:val="bottom"/>
            <w:vMerge w:val="continue"/>
          </w:tcPr>
          <w:p>
            <w:pPr>
              <w:spacing w:after="0"/>
              <w:rPr>
                <w:sz w:val="18"/>
                <w:szCs w:val="18"/>
                <w:color w:val="auto"/>
              </w:rPr>
            </w:pPr>
          </w:p>
        </w:tc>
        <w:tc>
          <w:tcPr>
            <w:tcW w:w="3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657,140</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w w:val="86"/>
              </w:rPr>
              <w:t>678,059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500" w:type="dxa"/>
            <w:vAlign w:val="bottom"/>
          </w:tcPr>
          <w:p>
            <w:pPr>
              <w:spacing w:after="0" w:line="20" w:lineRule="exact"/>
              <w:rPr>
                <w:sz w:val="1"/>
                <w:szCs w:val="1"/>
                <w:color w:val="auto"/>
              </w:rPr>
            </w:pPr>
          </w:p>
        </w:tc>
        <w:tc>
          <w:tcPr>
            <w:tcW w:w="3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16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459" w:right="23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line="270" w:lineRule="auto"/>
        <w:rPr>
          <w:sz w:val="20"/>
          <w:szCs w:val="20"/>
          <w:color w:val="auto"/>
        </w:rPr>
      </w:pPr>
      <w:r>
        <w:rPr>
          <w:rFonts w:ascii="Arial" w:cs="Arial" w:eastAsia="Arial" w:hAnsi="Arial"/>
          <w:sz w:val="18"/>
          <w:szCs w:val="18"/>
          <w:b w:val="1"/>
          <w:bCs w:val="1"/>
          <w:color w:val="auto"/>
        </w:rPr>
        <w:t>MARVELL TECHNOLOGY GROUP LTD. UNAUDITED CONDENSED CONSOLIDATED STATEMENTS OF CASH FLOWS (in thousands)</w:t>
      </w:r>
    </w:p>
    <w:p>
      <w:pPr>
        <w:spacing w:after="0" w:line="38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66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100" w:type="dxa"/>
            <w:vAlign w:val="bottom"/>
            <w:gridSpan w:val="5"/>
          </w:tcPr>
          <w:p>
            <w:pPr>
              <w:jc w:val="right"/>
              <w:ind w:right="54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660" w:type="dxa"/>
            <w:vAlign w:val="bottom"/>
          </w:tcPr>
          <w:p>
            <w:pPr>
              <w:spacing w:after="0"/>
              <w:rPr>
                <w:sz w:val="11"/>
                <w:szCs w:val="11"/>
                <w:color w:val="auto"/>
              </w:rPr>
            </w:pPr>
          </w:p>
        </w:tc>
        <w:tc>
          <w:tcPr>
            <w:tcW w:w="154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1200" w:type="dxa"/>
            <w:vAlign w:val="bottom"/>
            <w:tcBorders>
              <w:top w:val="single" w:sz="8" w:color="auto"/>
            </w:tcBorders>
            <w:gridSpan w:val="2"/>
          </w:tcPr>
          <w:p>
            <w:pPr>
              <w:jc w:val="right"/>
              <w:ind w:right="620"/>
              <w:spacing w:after="0" w:line="129" w:lineRule="exact"/>
              <w:rPr>
                <w:sz w:val="20"/>
                <w:szCs w:val="20"/>
                <w:color w:val="auto"/>
              </w:rPr>
            </w:pPr>
            <w:r>
              <w:rPr>
                <w:rFonts w:ascii="Arial" w:cs="Arial" w:eastAsia="Arial" w:hAnsi="Arial"/>
                <w:sz w:val="14"/>
                <w:szCs w:val="14"/>
                <w:b w:val="1"/>
                <w:bCs w:val="1"/>
                <w:color w:val="auto"/>
              </w:rPr>
              <w:t>April 30,</w:t>
            </w:r>
          </w:p>
        </w:tc>
        <w:tc>
          <w:tcPr>
            <w:tcW w:w="8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right"/>
              <w:ind w:right="113"/>
              <w:spacing w:after="0" w:line="129" w:lineRule="exact"/>
              <w:rPr>
                <w:sz w:val="20"/>
                <w:szCs w:val="20"/>
                <w:color w:val="auto"/>
              </w:rPr>
            </w:pPr>
            <w:r>
              <w:rPr>
                <w:rFonts w:ascii="Arial" w:cs="Arial" w:eastAsia="Arial" w:hAnsi="Arial"/>
                <w:sz w:val="14"/>
                <w:szCs w:val="14"/>
                <w:b w:val="1"/>
                <w:bCs w:val="1"/>
                <w:color w:val="auto"/>
              </w:rPr>
              <w:t>May 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66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right"/>
              <w:ind w:right="214"/>
              <w:spacing w:after="0"/>
              <w:rPr>
                <w:sz w:val="20"/>
                <w:szCs w:val="20"/>
                <w:color w:val="auto"/>
              </w:rPr>
            </w:pPr>
            <w:r>
              <w:rPr>
                <w:rFonts w:ascii="Arial" w:cs="Arial" w:eastAsia="Arial" w:hAnsi="Arial"/>
                <w:sz w:val="14"/>
                <w:szCs w:val="14"/>
                <w:b w:val="1"/>
                <w:bCs w:val="1"/>
                <w:color w:val="auto"/>
              </w:rPr>
              <w:t>2011</w:t>
            </w:r>
          </w:p>
        </w:tc>
        <w:tc>
          <w:tcPr>
            <w:tcW w:w="4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2010</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6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Cash flows from operating activities:</w:t>
            </w:r>
          </w:p>
        </w:tc>
        <w:tc>
          <w:tcPr>
            <w:tcW w:w="1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tcPr>
          <w:p>
            <w:pPr>
              <w:ind w:left="420"/>
              <w:spacing w:after="0"/>
              <w:rPr>
                <w:sz w:val="20"/>
                <w:szCs w:val="20"/>
                <w:color w:val="auto"/>
              </w:rPr>
            </w:pPr>
            <w:r>
              <w:rPr>
                <w:rFonts w:ascii="Arial" w:cs="Arial" w:eastAsia="Arial" w:hAnsi="Arial"/>
                <w:sz w:val="18"/>
                <w:szCs w:val="18"/>
                <w:color w:val="auto"/>
              </w:rPr>
              <w:t>Net income</w:t>
            </w:r>
          </w:p>
        </w:tc>
        <w:tc>
          <w:tcPr>
            <w:tcW w:w="16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1200" w:type="dxa"/>
            <w:vAlign w:val="bottom"/>
            <w:gridSpan w:val="2"/>
          </w:tcPr>
          <w:p>
            <w:pPr>
              <w:jc w:val="right"/>
              <w:ind w:right="440"/>
              <w:spacing w:after="0"/>
              <w:rPr>
                <w:sz w:val="20"/>
                <w:szCs w:val="20"/>
                <w:color w:val="auto"/>
              </w:rPr>
            </w:pPr>
            <w:r>
              <w:rPr>
                <w:rFonts w:ascii="Arial" w:cs="Arial" w:eastAsia="Arial" w:hAnsi="Arial"/>
                <w:sz w:val="18"/>
                <w:szCs w:val="18"/>
                <w:color w:val="auto"/>
              </w:rPr>
              <w:t>146,861</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205,767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1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tcPr>
          <w:p>
            <w:pPr>
              <w:ind w:left="860"/>
              <w:spacing w:after="0"/>
              <w:rPr>
                <w:sz w:val="20"/>
                <w:szCs w:val="20"/>
                <w:color w:val="auto"/>
              </w:rPr>
            </w:pPr>
            <w:r>
              <w:rPr>
                <w:rFonts w:ascii="Arial" w:cs="Arial" w:eastAsia="Arial" w:hAnsi="Arial"/>
                <w:sz w:val="18"/>
                <w:szCs w:val="18"/>
                <w:color w:val="auto"/>
              </w:rPr>
              <w:t>Depreciation and amortization</w:t>
            </w:r>
          </w:p>
        </w:tc>
        <w:tc>
          <w:tcPr>
            <w:tcW w:w="1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40"/>
              <w:spacing w:after="0"/>
              <w:rPr>
                <w:sz w:val="20"/>
                <w:szCs w:val="20"/>
                <w:color w:val="auto"/>
              </w:rPr>
            </w:pPr>
            <w:r>
              <w:rPr>
                <w:rFonts w:ascii="Arial" w:cs="Arial" w:eastAsia="Arial" w:hAnsi="Arial"/>
                <w:sz w:val="18"/>
                <w:szCs w:val="18"/>
                <w:color w:val="auto"/>
              </w:rPr>
              <w:t>24,037</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23,078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shd w:val="clear" w:color="auto" w:fill="CCEEFF"/>
          </w:tcPr>
          <w:p>
            <w:pPr>
              <w:ind w:left="860"/>
              <w:spacing w:after="0"/>
              <w:rPr>
                <w:sz w:val="20"/>
                <w:szCs w:val="20"/>
                <w:color w:val="auto"/>
              </w:rPr>
            </w:pPr>
            <w:r>
              <w:rPr>
                <w:rFonts w:ascii="Arial" w:cs="Arial" w:eastAsia="Arial" w:hAnsi="Arial"/>
                <w:sz w:val="18"/>
                <w:szCs w:val="18"/>
                <w:color w:val="auto"/>
              </w:rPr>
              <w:t>Stock-based compensation</w:t>
            </w:r>
          </w:p>
        </w:tc>
        <w:tc>
          <w:tcPr>
            <w:tcW w:w="1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27,480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26,896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tcPr>
          <w:p>
            <w:pPr>
              <w:ind w:left="860"/>
              <w:spacing w:after="0"/>
              <w:rPr>
                <w:sz w:val="20"/>
                <w:szCs w:val="20"/>
                <w:color w:val="auto"/>
              </w:rPr>
            </w:pPr>
            <w:r>
              <w:rPr>
                <w:rFonts w:ascii="Arial" w:cs="Arial" w:eastAsia="Arial" w:hAnsi="Arial"/>
                <w:sz w:val="18"/>
                <w:szCs w:val="18"/>
                <w:color w:val="auto"/>
              </w:rPr>
              <w:t>Amortization of acquired intangible assets</w:t>
            </w:r>
          </w:p>
        </w:tc>
        <w:tc>
          <w:tcPr>
            <w:tcW w:w="1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40"/>
              <w:spacing w:after="0"/>
              <w:rPr>
                <w:sz w:val="20"/>
                <w:szCs w:val="20"/>
                <w:color w:val="auto"/>
              </w:rPr>
            </w:pPr>
            <w:r>
              <w:rPr>
                <w:rFonts w:ascii="Arial" w:cs="Arial" w:eastAsia="Arial" w:hAnsi="Arial"/>
                <w:sz w:val="18"/>
                <w:szCs w:val="18"/>
                <w:color w:val="auto"/>
              </w:rPr>
              <w:t>14,341</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22,549</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19"/>
                <w:szCs w:val="19"/>
                <w:color w:val="auto"/>
              </w:rPr>
            </w:pPr>
          </w:p>
        </w:tc>
        <w:tc>
          <w:tcPr>
            <w:tcW w:w="7660" w:type="dxa"/>
            <w:vAlign w:val="bottom"/>
            <w:shd w:val="clear" w:color="auto" w:fill="CCEEFF"/>
          </w:tcPr>
          <w:p>
            <w:pPr>
              <w:ind w:left="860"/>
              <w:spacing w:after="0"/>
              <w:rPr>
                <w:sz w:val="20"/>
                <w:szCs w:val="20"/>
                <w:color w:val="auto"/>
              </w:rPr>
            </w:pPr>
            <w:r>
              <w:rPr>
                <w:rFonts w:ascii="Arial" w:cs="Arial" w:eastAsia="Arial" w:hAnsi="Arial"/>
                <w:sz w:val="18"/>
                <w:szCs w:val="18"/>
                <w:color w:val="auto"/>
              </w:rPr>
              <w:t>Other (income) expense, net</w:t>
            </w:r>
          </w:p>
        </w:tc>
        <w:tc>
          <w:tcPr>
            <w:tcW w:w="15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20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3,854</w:t>
            </w:r>
          </w:p>
        </w:tc>
        <w:tc>
          <w:tcPr>
            <w:tcW w:w="80" w:type="dxa"/>
            <w:vAlign w:val="bottom"/>
            <w:shd w:val="clear" w:color="auto" w:fill="CCEEFF"/>
          </w:tcPr>
          <w:p>
            <w:pPr>
              <w:spacing w:after="0"/>
              <w:rPr>
                <w:sz w:val="19"/>
                <w:szCs w:val="19"/>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2,035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tcPr>
          <w:p>
            <w:pPr>
              <w:ind w:left="860"/>
              <w:spacing w:after="0"/>
              <w:rPr>
                <w:sz w:val="20"/>
                <w:szCs w:val="20"/>
                <w:color w:val="auto"/>
              </w:rPr>
            </w:pPr>
            <w:r>
              <w:rPr>
                <w:rFonts w:ascii="Arial" w:cs="Arial" w:eastAsia="Arial" w:hAnsi="Arial"/>
                <w:sz w:val="18"/>
                <w:szCs w:val="18"/>
                <w:color w:val="auto"/>
              </w:rPr>
              <w:t>Fair market value adjustment to acquired inventory sold</w:t>
            </w:r>
          </w:p>
        </w:tc>
        <w:tc>
          <w:tcPr>
            <w:tcW w:w="1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(942)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shd w:val="clear" w:color="auto" w:fill="CCEEFF"/>
          </w:tcPr>
          <w:p>
            <w:pPr>
              <w:ind w:left="860"/>
              <w:spacing w:after="0"/>
              <w:rPr>
                <w:sz w:val="20"/>
                <w:szCs w:val="20"/>
                <w:color w:val="auto"/>
              </w:rPr>
            </w:pPr>
            <w:r>
              <w:rPr>
                <w:rFonts w:ascii="Arial" w:cs="Arial" w:eastAsia="Arial" w:hAnsi="Arial"/>
                <w:sz w:val="18"/>
                <w:szCs w:val="18"/>
                <w:color w:val="auto"/>
              </w:rPr>
              <w:t>Excess tax benefits from stock-based compensation</w:t>
            </w:r>
          </w:p>
        </w:tc>
        <w:tc>
          <w:tcPr>
            <w:tcW w:w="1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(3)</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(185)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tcPr>
          <w:p>
            <w:pPr>
              <w:ind w:left="860"/>
              <w:spacing w:after="0"/>
              <w:rPr>
                <w:sz w:val="20"/>
                <w:szCs w:val="20"/>
                <w:color w:val="auto"/>
              </w:rPr>
            </w:pPr>
            <w:r>
              <w:rPr>
                <w:rFonts w:ascii="Arial" w:cs="Arial" w:eastAsia="Arial" w:hAnsi="Arial"/>
                <w:sz w:val="18"/>
                <w:szCs w:val="18"/>
                <w:color w:val="auto"/>
              </w:rPr>
              <w:t>Changes in assets and liabilities:</w:t>
            </w:r>
          </w:p>
        </w:tc>
        <w:tc>
          <w:tcPr>
            <w:tcW w:w="1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Accounts receivable</w:t>
            </w:r>
          </w:p>
        </w:tc>
        <w:tc>
          <w:tcPr>
            <w:tcW w:w="1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33,938</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(91,897)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tcPr>
          <w:p>
            <w:pPr>
              <w:ind w:left="1280"/>
              <w:spacing w:after="0"/>
              <w:rPr>
                <w:sz w:val="20"/>
                <w:szCs w:val="20"/>
                <w:color w:val="auto"/>
              </w:rPr>
            </w:pPr>
            <w:r>
              <w:rPr>
                <w:rFonts w:ascii="Arial" w:cs="Arial" w:eastAsia="Arial" w:hAnsi="Arial"/>
                <w:sz w:val="18"/>
                <w:szCs w:val="18"/>
                <w:color w:val="auto"/>
              </w:rPr>
              <w:t>Inventories</w:t>
            </w:r>
          </w:p>
        </w:tc>
        <w:tc>
          <w:tcPr>
            <w:tcW w:w="1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380"/>
              <w:spacing w:after="0"/>
              <w:rPr>
                <w:sz w:val="20"/>
                <w:szCs w:val="20"/>
                <w:color w:val="auto"/>
              </w:rPr>
            </w:pPr>
            <w:r>
              <w:rPr>
                <w:rFonts w:ascii="Arial" w:cs="Arial" w:eastAsia="Arial" w:hAnsi="Arial"/>
                <w:sz w:val="18"/>
                <w:szCs w:val="18"/>
                <w:color w:val="auto"/>
              </w:rPr>
              <w:t>(53,107)</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35,417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Prepaid expenses and other assets</w:t>
            </w:r>
          </w:p>
        </w:tc>
        <w:tc>
          <w:tcPr>
            <w:tcW w:w="1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644</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10,381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tcPr>
          <w:p>
            <w:pPr>
              <w:ind w:left="1280"/>
              <w:spacing w:after="0"/>
              <w:rPr>
                <w:sz w:val="20"/>
                <w:szCs w:val="20"/>
                <w:color w:val="auto"/>
              </w:rPr>
            </w:pPr>
            <w:r>
              <w:rPr>
                <w:rFonts w:ascii="Arial" w:cs="Arial" w:eastAsia="Arial" w:hAnsi="Arial"/>
                <w:sz w:val="18"/>
                <w:szCs w:val="18"/>
                <w:color w:val="auto"/>
              </w:rPr>
              <w:t>Accounts payable</w:t>
            </w:r>
          </w:p>
        </w:tc>
        <w:tc>
          <w:tcPr>
            <w:tcW w:w="1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380"/>
              <w:spacing w:after="0"/>
              <w:rPr>
                <w:sz w:val="20"/>
                <w:szCs w:val="20"/>
                <w:color w:val="auto"/>
              </w:rPr>
            </w:pPr>
            <w:r>
              <w:rPr>
                <w:rFonts w:ascii="Arial" w:cs="Arial" w:eastAsia="Arial" w:hAnsi="Arial"/>
                <w:sz w:val="18"/>
                <w:szCs w:val="18"/>
                <w:color w:val="auto"/>
              </w:rPr>
              <w:t>(5,295)</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6,703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Accrued liabilities and other</w:t>
            </w:r>
          </w:p>
        </w:tc>
        <w:tc>
          <w:tcPr>
            <w:tcW w:w="1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(5,450)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2,362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tcPr>
          <w:p>
            <w:pPr>
              <w:ind w:left="1280"/>
              <w:spacing w:after="0"/>
              <w:rPr>
                <w:sz w:val="20"/>
                <w:szCs w:val="20"/>
                <w:color w:val="auto"/>
              </w:rPr>
            </w:pPr>
            <w:r>
              <w:rPr>
                <w:rFonts w:ascii="Arial" w:cs="Arial" w:eastAsia="Arial" w:hAnsi="Arial"/>
                <w:sz w:val="18"/>
                <w:szCs w:val="18"/>
                <w:color w:val="auto"/>
              </w:rPr>
              <w:t>Accrued employee compensation</w:t>
            </w:r>
          </w:p>
        </w:tc>
        <w:tc>
          <w:tcPr>
            <w:tcW w:w="1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380"/>
              <w:spacing w:after="0"/>
              <w:rPr>
                <w:sz w:val="20"/>
                <w:szCs w:val="20"/>
                <w:color w:val="auto"/>
              </w:rPr>
            </w:pPr>
            <w:r>
              <w:rPr>
                <w:rFonts w:ascii="Arial" w:cs="Arial" w:eastAsia="Arial" w:hAnsi="Arial"/>
                <w:sz w:val="18"/>
                <w:szCs w:val="18"/>
                <w:color w:val="auto"/>
              </w:rPr>
              <w:t>(14,880)</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(10,506)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Deferred income</w:t>
            </w:r>
          </w:p>
        </w:tc>
        <w:tc>
          <w:tcPr>
            <w:tcW w:w="1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4,729</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23,933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660" w:type="dxa"/>
            <w:vAlign w:val="bottom"/>
            <w:vMerge w:val="restart"/>
          </w:tcPr>
          <w:p>
            <w:pPr>
              <w:ind w:left="1720"/>
              <w:spacing w:after="0"/>
              <w:rPr>
                <w:sz w:val="20"/>
                <w:szCs w:val="20"/>
                <w:color w:val="auto"/>
              </w:rPr>
            </w:pPr>
            <w:r>
              <w:rPr>
                <w:rFonts w:ascii="Arial" w:cs="Arial" w:eastAsia="Arial" w:hAnsi="Arial"/>
                <w:sz w:val="18"/>
                <w:szCs w:val="18"/>
                <w:color w:val="auto"/>
              </w:rPr>
              <w:t>Net cash provided by operating activities</w:t>
            </w:r>
          </w:p>
        </w:tc>
        <w:tc>
          <w:tcPr>
            <w:tcW w:w="15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0"/>
        </w:trPr>
        <w:tc>
          <w:tcPr>
            <w:tcW w:w="20" w:type="dxa"/>
            <w:vAlign w:val="bottom"/>
          </w:tcPr>
          <w:p>
            <w:pPr>
              <w:spacing w:after="0"/>
              <w:rPr>
                <w:sz w:val="20"/>
                <w:szCs w:val="20"/>
                <w:color w:val="auto"/>
              </w:rPr>
            </w:pPr>
          </w:p>
        </w:tc>
        <w:tc>
          <w:tcPr>
            <w:tcW w:w="7660" w:type="dxa"/>
            <w:vAlign w:val="bottom"/>
            <w:vMerge w:val="continue"/>
          </w:tcPr>
          <w:p>
            <w:pPr>
              <w:spacing w:after="0"/>
              <w:rPr>
                <w:sz w:val="20"/>
                <w:szCs w:val="20"/>
                <w:color w:val="auto"/>
              </w:rPr>
            </w:pPr>
          </w:p>
        </w:tc>
        <w:tc>
          <w:tcPr>
            <w:tcW w:w="15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200" w:type="dxa"/>
            <w:vAlign w:val="bottom"/>
            <w:gridSpan w:val="2"/>
          </w:tcPr>
          <w:p>
            <w:pPr>
              <w:jc w:val="right"/>
              <w:ind w:right="440"/>
              <w:spacing w:after="0"/>
              <w:rPr>
                <w:sz w:val="20"/>
                <w:szCs w:val="20"/>
                <w:color w:val="auto"/>
              </w:rPr>
            </w:pPr>
            <w:r>
              <w:rPr>
                <w:rFonts w:ascii="Arial" w:cs="Arial" w:eastAsia="Arial" w:hAnsi="Arial"/>
                <w:sz w:val="18"/>
                <w:szCs w:val="18"/>
                <w:color w:val="auto"/>
              </w:rPr>
              <w:t>177,149</w:t>
            </w:r>
          </w:p>
        </w:tc>
        <w:tc>
          <w:tcPr>
            <w:tcW w:w="80" w:type="dxa"/>
            <w:vAlign w:val="bottom"/>
          </w:tcPr>
          <w:p>
            <w:pPr>
              <w:spacing w:after="0"/>
              <w:rPr>
                <w:sz w:val="20"/>
                <w:szCs w:val="20"/>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255,591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Cash flows from investing activities:</w:t>
            </w:r>
          </w:p>
        </w:tc>
        <w:tc>
          <w:tcPr>
            <w:tcW w:w="154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60" w:type="dxa"/>
            <w:vAlign w:val="bottom"/>
            <w:tcBorders>
              <w:top w:val="single" w:sz="8" w:color="auto"/>
            </w:tcBorders>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tcPr>
          <w:p>
            <w:pPr>
              <w:ind w:left="420"/>
              <w:spacing w:after="0"/>
              <w:rPr>
                <w:sz w:val="20"/>
                <w:szCs w:val="20"/>
                <w:color w:val="auto"/>
              </w:rPr>
            </w:pPr>
            <w:r>
              <w:rPr>
                <w:rFonts w:ascii="Arial" w:cs="Arial" w:eastAsia="Arial" w:hAnsi="Arial"/>
                <w:sz w:val="18"/>
                <w:szCs w:val="18"/>
                <w:color w:val="auto"/>
              </w:rPr>
              <w:t>Purchases of marketable securities</w:t>
            </w:r>
          </w:p>
        </w:tc>
        <w:tc>
          <w:tcPr>
            <w:tcW w:w="1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380"/>
              <w:spacing w:after="0"/>
              <w:rPr>
                <w:sz w:val="20"/>
                <w:szCs w:val="20"/>
                <w:color w:val="auto"/>
              </w:rPr>
            </w:pPr>
            <w:r>
              <w:rPr>
                <w:rFonts w:ascii="Arial" w:cs="Arial" w:eastAsia="Arial" w:hAnsi="Arial"/>
                <w:sz w:val="18"/>
                <w:szCs w:val="18"/>
                <w:color w:val="auto"/>
              </w:rPr>
              <w:t>(677,179)</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w w:val="98"/>
              </w:rPr>
              <w:t>(186,878)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strategic investments</w:t>
            </w:r>
          </w:p>
        </w:tc>
        <w:tc>
          <w:tcPr>
            <w:tcW w:w="1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(1,750)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tcPr>
          <w:p>
            <w:pPr>
              <w:ind w:left="420"/>
              <w:spacing w:after="0"/>
              <w:rPr>
                <w:sz w:val="20"/>
                <w:szCs w:val="20"/>
                <w:color w:val="auto"/>
              </w:rPr>
            </w:pPr>
            <w:r>
              <w:rPr>
                <w:rFonts w:ascii="Arial" w:cs="Arial" w:eastAsia="Arial" w:hAnsi="Arial"/>
                <w:sz w:val="18"/>
                <w:szCs w:val="18"/>
                <w:color w:val="auto"/>
              </w:rPr>
              <w:t>Sales and maturities of investments</w:t>
            </w:r>
          </w:p>
        </w:tc>
        <w:tc>
          <w:tcPr>
            <w:tcW w:w="1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40"/>
              <w:spacing w:after="0"/>
              <w:rPr>
                <w:sz w:val="20"/>
                <w:szCs w:val="20"/>
                <w:color w:val="auto"/>
              </w:rPr>
            </w:pPr>
            <w:r>
              <w:rPr>
                <w:rFonts w:ascii="Arial" w:cs="Arial" w:eastAsia="Arial" w:hAnsi="Arial"/>
                <w:sz w:val="18"/>
                <w:szCs w:val="18"/>
                <w:color w:val="auto"/>
              </w:rPr>
              <w:t>272,547</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149,440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Cash paid for acquisition, net</w:t>
            </w:r>
          </w:p>
        </w:tc>
        <w:tc>
          <w:tcPr>
            <w:tcW w:w="1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(16,330)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tcPr>
          <w:p>
            <w:pPr>
              <w:ind w:left="420"/>
              <w:spacing w:after="0"/>
              <w:rPr>
                <w:sz w:val="20"/>
                <w:szCs w:val="20"/>
                <w:color w:val="auto"/>
              </w:rPr>
            </w:pPr>
            <w:r>
              <w:rPr>
                <w:rFonts w:ascii="Arial" w:cs="Arial" w:eastAsia="Arial" w:hAnsi="Arial"/>
                <w:sz w:val="18"/>
                <w:szCs w:val="18"/>
                <w:color w:val="auto"/>
              </w:rPr>
              <w:t>Purchases of technology licenses</w:t>
            </w:r>
          </w:p>
        </w:tc>
        <w:tc>
          <w:tcPr>
            <w:tcW w:w="1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380"/>
              <w:spacing w:after="0"/>
              <w:rPr>
                <w:sz w:val="20"/>
                <w:szCs w:val="20"/>
                <w:color w:val="auto"/>
              </w:rPr>
            </w:pPr>
            <w:r>
              <w:rPr>
                <w:rFonts w:ascii="Arial" w:cs="Arial" w:eastAsia="Arial" w:hAnsi="Arial"/>
                <w:sz w:val="18"/>
                <w:szCs w:val="18"/>
                <w:color w:val="auto"/>
              </w:rPr>
              <w:t>(3,290)</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(2,250)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property and equipment</w:t>
            </w:r>
          </w:p>
        </w:tc>
        <w:tc>
          <w:tcPr>
            <w:tcW w:w="1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(17,018)</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(16,395)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660" w:type="dxa"/>
            <w:vAlign w:val="bottom"/>
            <w:vMerge w:val="restart"/>
          </w:tcPr>
          <w:p>
            <w:pPr>
              <w:ind w:left="1720"/>
              <w:spacing w:after="0"/>
              <w:rPr>
                <w:sz w:val="20"/>
                <w:szCs w:val="20"/>
                <w:color w:val="auto"/>
              </w:rPr>
            </w:pPr>
            <w:r>
              <w:rPr>
                <w:rFonts w:ascii="Arial" w:cs="Arial" w:eastAsia="Arial" w:hAnsi="Arial"/>
                <w:sz w:val="18"/>
                <w:szCs w:val="18"/>
                <w:color w:val="auto"/>
              </w:rPr>
              <w:t>Net cash used in investing activities</w:t>
            </w:r>
          </w:p>
        </w:tc>
        <w:tc>
          <w:tcPr>
            <w:tcW w:w="15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0"/>
        </w:trPr>
        <w:tc>
          <w:tcPr>
            <w:tcW w:w="20" w:type="dxa"/>
            <w:vAlign w:val="bottom"/>
          </w:tcPr>
          <w:p>
            <w:pPr>
              <w:spacing w:after="0"/>
              <w:rPr>
                <w:sz w:val="20"/>
                <w:szCs w:val="20"/>
                <w:color w:val="auto"/>
              </w:rPr>
            </w:pPr>
          </w:p>
        </w:tc>
        <w:tc>
          <w:tcPr>
            <w:tcW w:w="7660" w:type="dxa"/>
            <w:vAlign w:val="bottom"/>
            <w:vMerge w:val="continue"/>
          </w:tcPr>
          <w:p>
            <w:pPr>
              <w:spacing w:after="0"/>
              <w:rPr>
                <w:sz w:val="20"/>
                <w:szCs w:val="20"/>
                <w:color w:val="auto"/>
              </w:rPr>
            </w:pPr>
          </w:p>
        </w:tc>
        <w:tc>
          <w:tcPr>
            <w:tcW w:w="15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200" w:type="dxa"/>
            <w:vAlign w:val="bottom"/>
            <w:gridSpan w:val="2"/>
          </w:tcPr>
          <w:p>
            <w:pPr>
              <w:jc w:val="right"/>
              <w:ind w:right="380"/>
              <w:spacing w:after="0"/>
              <w:rPr>
                <w:sz w:val="20"/>
                <w:szCs w:val="20"/>
                <w:color w:val="auto"/>
              </w:rPr>
            </w:pPr>
            <w:r>
              <w:rPr>
                <w:rFonts w:ascii="Arial" w:cs="Arial" w:eastAsia="Arial" w:hAnsi="Arial"/>
                <w:sz w:val="18"/>
                <w:szCs w:val="18"/>
                <w:color w:val="auto"/>
              </w:rPr>
              <w:t>(443,020)</w:t>
            </w:r>
          </w:p>
        </w:tc>
        <w:tc>
          <w:tcPr>
            <w:tcW w:w="80" w:type="dxa"/>
            <w:vAlign w:val="bottom"/>
          </w:tcPr>
          <w:p>
            <w:pPr>
              <w:spacing w:after="0"/>
              <w:rPr>
                <w:sz w:val="20"/>
                <w:szCs w:val="20"/>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(57,083)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Cash flows from financing activities:</w:t>
            </w:r>
          </w:p>
        </w:tc>
        <w:tc>
          <w:tcPr>
            <w:tcW w:w="154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60" w:type="dxa"/>
            <w:vAlign w:val="bottom"/>
            <w:tcBorders>
              <w:top w:val="single" w:sz="8" w:color="auto"/>
            </w:tcBorders>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tcPr>
          <w:p>
            <w:pPr>
              <w:ind w:left="420"/>
              <w:spacing w:after="0"/>
              <w:rPr>
                <w:sz w:val="20"/>
                <w:szCs w:val="20"/>
                <w:color w:val="auto"/>
              </w:rPr>
            </w:pPr>
            <w:r>
              <w:rPr>
                <w:rFonts w:ascii="Arial" w:cs="Arial" w:eastAsia="Arial" w:hAnsi="Arial"/>
                <w:sz w:val="18"/>
                <w:szCs w:val="18"/>
                <w:color w:val="auto"/>
              </w:rPr>
              <w:t>Repurchase of common stock</w:t>
            </w:r>
          </w:p>
        </w:tc>
        <w:tc>
          <w:tcPr>
            <w:tcW w:w="1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380"/>
              <w:spacing w:after="0"/>
              <w:rPr>
                <w:sz w:val="20"/>
                <w:szCs w:val="20"/>
                <w:color w:val="auto"/>
              </w:rPr>
            </w:pPr>
            <w:r>
              <w:rPr>
                <w:rFonts w:ascii="Arial" w:cs="Arial" w:eastAsia="Arial" w:hAnsi="Arial"/>
                <w:sz w:val="18"/>
                <w:szCs w:val="18"/>
                <w:color w:val="auto"/>
              </w:rPr>
              <w:t>(803,501)</w:t>
            </w:r>
          </w:p>
        </w:tc>
        <w:tc>
          <w:tcPr>
            <w:tcW w:w="80" w:type="dxa"/>
            <w:vAlign w:val="bottom"/>
          </w:tcPr>
          <w:p>
            <w:pPr>
              <w:spacing w:after="0"/>
              <w:rPr>
                <w:sz w:val="18"/>
                <w:szCs w:val="18"/>
                <w:color w:val="auto"/>
              </w:rPr>
            </w:pPr>
          </w:p>
        </w:tc>
        <w:tc>
          <w:tcPr>
            <w:tcW w:w="8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Proceeds from employee stock plans</w:t>
            </w:r>
          </w:p>
        </w:tc>
        <w:tc>
          <w:tcPr>
            <w:tcW w:w="1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5,207</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48,688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tcPr>
          <w:p>
            <w:pPr>
              <w:ind w:left="420"/>
              <w:spacing w:after="0"/>
              <w:rPr>
                <w:sz w:val="20"/>
                <w:szCs w:val="20"/>
                <w:color w:val="auto"/>
              </w:rPr>
            </w:pPr>
            <w:r>
              <w:rPr>
                <w:rFonts w:ascii="Arial" w:cs="Arial" w:eastAsia="Arial" w:hAnsi="Arial"/>
                <w:sz w:val="18"/>
                <w:szCs w:val="18"/>
                <w:color w:val="auto"/>
              </w:rPr>
              <w:t>Principal payments on capital lease obligations</w:t>
            </w:r>
          </w:p>
        </w:tc>
        <w:tc>
          <w:tcPr>
            <w:tcW w:w="1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380"/>
              <w:spacing w:after="0"/>
              <w:rPr>
                <w:sz w:val="20"/>
                <w:szCs w:val="20"/>
                <w:color w:val="auto"/>
              </w:rPr>
            </w:pPr>
            <w:r>
              <w:rPr>
                <w:rFonts w:ascii="Arial" w:cs="Arial" w:eastAsia="Arial" w:hAnsi="Arial"/>
                <w:sz w:val="18"/>
                <w:szCs w:val="18"/>
                <w:color w:val="auto"/>
              </w:rPr>
              <w:t>(511)</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(470)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1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3</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185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660" w:type="dxa"/>
            <w:vAlign w:val="bottom"/>
            <w:vMerge w:val="restart"/>
          </w:tcPr>
          <w:p>
            <w:pPr>
              <w:ind w:left="1720"/>
              <w:spacing w:after="0"/>
              <w:rPr>
                <w:sz w:val="20"/>
                <w:szCs w:val="20"/>
                <w:color w:val="auto"/>
              </w:rPr>
            </w:pPr>
            <w:r>
              <w:rPr>
                <w:rFonts w:ascii="Arial" w:cs="Arial" w:eastAsia="Arial" w:hAnsi="Arial"/>
                <w:sz w:val="18"/>
                <w:szCs w:val="18"/>
                <w:color w:val="auto"/>
              </w:rPr>
              <w:t>Net cash provided by (used in) financing activities</w:t>
            </w:r>
          </w:p>
        </w:tc>
        <w:tc>
          <w:tcPr>
            <w:tcW w:w="15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7660" w:type="dxa"/>
            <w:vAlign w:val="bottom"/>
            <w:vMerge w:val="continue"/>
          </w:tcPr>
          <w:p>
            <w:pPr>
              <w:spacing w:after="0"/>
              <w:rPr>
                <w:sz w:val="19"/>
                <w:szCs w:val="19"/>
                <w:color w:val="auto"/>
              </w:rPr>
            </w:pPr>
          </w:p>
        </w:tc>
        <w:tc>
          <w:tcPr>
            <w:tcW w:w="15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0" w:type="dxa"/>
            <w:vAlign w:val="bottom"/>
            <w:gridSpan w:val="2"/>
          </w:tcPr>
          <w:p>
            <w:pPr>
              <w:jc w:val="right"/>
              <w:ind w:right="380"/>
              <w:spacing w:after="0"/>
              <w:rPr>
                <w:sz w:val="20"/>
                <w:szCs w:val="20"/>
                <w:color w:val="auto"/>
              </w:rPr>
            </w:pPr>
            <w:r>
              <w:rPr>
                <w:rFonts w:ascii="Arial" w:cs="Arial" w:eastAsia="Arial" w:hAnsi="Arial"/>
                <w:sz w:val="18"/>
                <w:szCs w:val="18"/>
                <w:color w:val="auto"/>
              </w:rPr>
              <w:t>(798,802)</w:t>
            </w:r>
          </w:p>
        </w:tc>
        <w:tc>
          <w:tcPr>
            <w:tcW w:w="8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48,403</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766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660" w:type="dxa"/>
            <w:vAlign w:val="bottom"/>
            <w:shd w:val="clear" w:color="auto" w:fill="CCEEFF"/>
          </w:tcPr>
          <w:p>
            <w:pPr>
              <w:spacing w:after="0"/>
              <w:rPr>
                <w:sz w:val="20"/>
                <w:szCs w:val="20"/>
                <w:color w:val="auto"/>
              </w:rPr>
            </w:pPr>
            <w:r>
              <w:rPr>
                <w:rFonts w:ascii="Arial" w:cs="Arial" w:eastAsia="Arial" w:hAnsi="Arial"/>
                <w:sz w:val="18"/>
                <w:szCs w:val="18"/>
                <w:color w:val="auto"/>
              </w:rPr>
              <w:t>Net increase (decrease) in cash and cash equivalents</w:t>
            </w:r>
          </w:p>
        </w:tc>
        <w:tc>
          <w:tcPr>
            <w:tcW w:w="1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w w:val="86"/>
              </w:rPr>
              <w:t>(1,064,673)</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246,911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tcPr>
          <w:p>
            <w:pPr>
              <w:spacing w:after="0"/>
              <w:rPr>
                <w:sz w:val="20"/>
                <w:szCs w:val="20"/>
                <w:color w:val="auto"/>
              </w:rPr>
            </w:pPr>
            <w:r>
              <w:rPr>
                <w:rFonts w:ascii="Arial" w:cs="Arial" w:eastAsia="Arial" w:hAnsi="Arial"/>
                <w:sz w:val="18"/>
                <w:szCs w:val="18"/>
                <w:color w:val="auto"/>
              </w:rPr>
              <w:t>Cash and cash equivalents at beginning of period</w:t>
            </w:r>
          </w:p>
        </w:tc>
        <w:tc>
          <w:tcPr>
            <w:tcW w:w="1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40"/>
              <w:spacing w:after="0"/>
              <w:rPr>
                <w:sz w:val="20"/>
                <w:szCs w:val="20"/>
                <w:color w:val="auto"/>
              </w:rPr>
            </w:pPr>
            <w:r>
              <w:rPr>
                <w:rFonts w:ascii="Arial" w:cs="Arial" w:eastAsia="Arial" w:hAnsi="Arial"/>
                <w:sz w:val="18"/>
                <w:szCs w:val="18"/>
                <w:color w:val="auto"/>
                <w:w w:val="92"/>
              </w:rPr>
              <w:t>1,847,074</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1,105,428</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766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66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end of period</w:t>
            </w:r>
          </w:p>
        </w:tc>
        <w:tc>
          <w:tcPr>
            <w:tcW w:w="16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782,401</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1,352,339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660" w:type="dxa"/>
            <w:vAlign w:val="bottom"/>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16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459" w:right="2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The Company and Basis of Presentation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The Company</w:t>
      </w:r>
    </w:p>
    <w:p>
      <w:pPr>
        <w:spacing w:after="0" w:line="96" w:lineRule="exact"/>
        <w:rPr>
          <w:sz w:val="20"/>
          <w:szCs w:val="20"/>
          <w:color w:val="auto"/>
        </w:rPr>
      </w:pPr>
    </w:p>
    <w:p>
      <w:pPr>
        <w:ind w:right="100" w:firstLine="456"/>
        <w:spacing w:after="0" w:line="312" w:lineRule="auto"/>
        <w:rPr>
          <w:sz w:val="20"/>
          <w:szCs w:val="20"/>
          <w:color w:val="auto"/>
        </w:rPr>
      </w:pPr>
      <w:r>
        <w:rPr>
          <w:rFonts w:ascii="Arial" w:cs="Arial" w:eastAsia="Arial" w:hAnsi="Arial"/>
          <w:sz w:val="15"/>
          <w:szCs w:val="15"/>
          <w:color w:val="auto"/>
        </w:rPr>
        <w:t>Marvell Technology Group Ltd., a Bermuda company (the “Company”), is a leading global semiconductor provider of high-performance application specific standard products. The Company’s core strength of expertise is the development of complex System-on-a-Chip devices leveraging its extensive technology portfolio of intellectual property in the areas of analog, mixed-signal, digital signal processing and embedded ARM-based microprocessor integrated circuits. The Company develops platforms that it defines as integrated hardware and software that incorporate digital computing technologies designed and configured to provide an optimal computing solution compared to individual components. The Company’s broad product portfolio includes devices for data storage, enterprise-class Ethernet data switching, Ethernet physical-layer transceivers (“PHY”), handheld cellular, Ethernet-based wireless networking, personal area networking, Ethernet-based PC connectivity, control plane communications controllers, video-image processing and power management solutions.</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Basis of presentation</w:t>
      </w:r>
    </w:p>
    <w:p>
      <w:pPr>
        <w:spacing w:after="0" w:line="96" w:lineRule="exact"/>
        <w:rPr>
          <w:sz w:val="20"/>
          <w:szCs w:val="20"/>
          <w:color w:val="auto"/>
        </w:rPr>
      </w:pPr>
    </w:p>
    <w:p>
      <w:pPr>
        <w:jc w:val="both"/>
        <w:ind w:right="60" w:firstLine="456"/>
        <w:spacing w:after="0" w:line="259" w:lineRule="auto"/>
        <w:rPr>
          <w:sz w:val="20"/>
          <w:szCs w:val="20"/>
          <w:color w:val="auto"/>
        </w:rPr>
      </w:pPr>
      <w:r>
        <w:rPr>
          <w:rFonts w:ascii="Arial" w:cs="Arial" w:eastAsia="Arial" w:hAnsi="Arial"/>
          <w:sz w:val="18"/>
          <w:szCs w:val="18"/>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Fiscal 2012 and fiscal 2011 are comprised of 52-week periods.</w:t>
      </w:r>
    </w:p>
    <w:p>
      <w:pPr>
        <w:spacing w:after="0" w:line="140" w:lineRule="exact"/>
        <w:rPr>
          <w:sz w:val="20"/>
          <w:szCs w:val="20"/>
          <w:color w:val="auto"/>
        </w:rPr>
      </w:pPr>
    </w:p>
    <w:p>
      <w:pPr>
        <w:ind w:right="80" w:firstLine="456"/>
        <w:spacing w:after="0" w:line="289" w:lineRule="auto"/>
        <w:rPr>
          <w:sz w:val="20"/>
          <w:szCs w:val="20"/>
          <w:color w:val="auto"/>
        </w:rPr>
      </w:pPr>
      <w:r>
        <w:rPr>
          <w:rFonts w:ascii="Arial" w:cs="Arial" w:eastAsia="Arial" w:hAnsi="Arial"/>
          <w:sz w:val="16"/>
          <w:szCs w:val="16"/>
          <w:color w:val="auto"/>
        </w:rPr>
        <w:t>The unaudited interim condensed consolidated financial statements have been prepared in accordance with accounting principles generally accepted in the United States (“GAAP”) for interim financial information and with the instructions to Form 10-Q and Article 10 of Regulation S-X. Accordingly, they do not include all of the information and notes required by GAAP for annual financial statements. In the opinion of management, all adjustments consisting of normal and recurring entries considered necessary for a fair statement of the results for the interim periods have been included in the Company’s financial position as of April 30, 2011, the results of its operations for the three months ended April 30, 2011 and May 1, 2010, and its cash flows for the three months ended April 30, 2011 and May 1, 2010. The January 29, 2011 condensed consolidated balance sheet data was derived from audited consolidated financial statements included in the Company’s Annual Report on Form 10-K for the year ended January 29, 2011 but does not include all disclosures required for annual periods. Certain reclassifications have been made to conform to the current period’s presentation.</w:t>
      </w:r>
    </w:p>
    <w:p>
      <w:pPr>
        <w:spacing w:after="0" w:line="118"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These condensed consolidated financial statements and related notes are unaudited and should be read in conjunction with the Company’s audited financial statements and related notes included in the Company’s Annual Report on Form 10-K for the year ended January 29, 2011 as filed on March 28, 2011 with the Securities and Exchange Commission. The results of operations for the three months ended April 30, 2011 are not necessarily indicative of the results that may be expected for any other interim period or for the full fiscal year.</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Use of estimates</w:t>
      </w:r>
    </w:p>
    <w:p>
      <w:pPr>
        <w:spacing w:after="0" w:line="96" w:lineRule="exact"/>
        <w:rPr>
          <w:sz w:val="20"/>
          <w:szCs w:val="20"/>
          <w:color w:val="auto"/>
        </w:rPr>
      </w:pPr>
    </w:p>
    <w:p>
      <w:pPr>
        <w:ind w:right="140" w:firstLine="456"/>
        <w:spacing w:after="0" w:line="289" w:lineRule="auto"/>
        <w:rPr>
          <w:sz w:val="20"/>
          <w:szCs w:val="20"/>
          <w:color w:val="auto"/>
        </w:rPr>
      </w:pPr>
      <w:r>
        <w:rPr>
          <w:rFonts w:ascii="Arial" w:cs="Arial" w:eastAsia="Arial" w:hAnsi="Arial"/>
          <w:sz w:val="16"/>
          <w:szCs w:val="16"/>
          <w:color w:val="auto"/>
        </w:rPr>
        <w:t>The preparation of consolidated financial statements in conformity with GAAP requires management to make estimates, judgments and assumptions that affect the reported amounts of assets, liabilities, revenues and expenses, and related disclosure of contingent assets and liabilities. On an on-going basis, the Company evaluates its estimates, including those related to performance based compensation, revenue recognition, including provisions for sales returns and allowances, inventory excess and obsolescence, investment fair values, goodwill and other intangible assets, income taxes, litigation and other contingencies. In addition, the Company uses assumptions when employing the Monte Carlo simulation and Black-Scholes valuation models to calculate the fair value of stock-based awards granted. The Company bases its estimates of the carrying value of certain assets and liabilities on historical experience and on various other assumptions that are believed to be reasonable under the circumstances when these carrying values are not readily available from other sources. Actual results could differ from these estimates, and such differences could affect the results of operations reported in future periods.</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Principles of consolidation</w:t>
      </w:r>
    </w:p>
    <w:p>
      <w:pPr>
        <w:spacing w:after="0" w:line="96" w:lineRule="exact"/>
        <w:rPr>
          <w:sz w:val="20"/>
          <w:szCs w:val="20"/>
          <w:color w:val="auto"/>
        </w:rPr>
      </w:pPr>
    </w:p>
    <w:p>
      <w:pPr>
        <w:ind w:right="340" w:firstLine="456"/>
        <w:spacing w:after="0" w:line="332" w:lineRule="auto"/>
        <w:rPr>
          <w:sz w:val="20"/>
          <w:szCs w:val="20"/>
          <w:color w:val="auto"/>
        </w:rPr>
      </w:pPr>
      <w:r>
        <w:rPr>
          <w:rFonts w:ascii="Arial" w:cs="Arial" w:eastAsia="Arial" w:hAnsi="Arial"/>
          <w:sz w:val="16"/>
          <w:szCs w:val="16"/>
          <w:color w:val="auto"/>
        </w:rPr>
        <w:t>The unaudited condensed consolidated financial statements include the accounts of the Company and its wholly-owned subsidiaries. All intercompany accounts and transactions have been eliminated. The functional currency of the Company and its subsidiaries is the United States dollar.</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Recent Accounting Pronouncements and Accounting Changes</w:t>
      </w:r>
    </w:p>
    <w:p>
      <w:pPr>
        <w:spacing w:after="0" w:line="96" w:lineRule="exact"/>
        <w:rPr>
          <w:sz w:val="20"/>
          <w:szCs w:val="20"/>
          <w:color w:val="auto"/>
        </w:rPr>
      </w:pPr>
    </w:p>
    <w:p>
      <w:pPr>
        <w:ind w:right="400" w:firstLine="456"/>
        <w:spacing w:after="0" w:line="306" w:lineRule="auto"/>
        <w:rPr>
          <w:sz w:val="20"/>
          <w:szCs w:val="20"/>
          <w:color w:val="auto"/>
        </w:rPr>
      </w:pPr>
      <w:r>
        <w:rPr>
          <w:rFonts w:ascii="Arial" w:cs="Arial" w:eastAsia="Arial" w:hAnsi="Arial"/>
          <w:sz w:val="16"/>
          <w:szCs w:val="16"/>
          <w:color w:val="auto"/>
        </w:rPr>
        <w:t>During the three months ended April 30, 2011, there were no new accounting pronouncements that would have had a material effect on our unaudited condensed consolidated financial statements. For a description of recent accounting pronouncements relevant to the Company, please refer to the “Recent Accounting Pronouncements” section included in Note 1 of our Annual Report on Form 10-K for the year ended January 29, 2011.</w:t>
      </w:r>
    </w:p>
    <w:p>
      <w:pPr>
        <w:spacing w:after="0" w:line="9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380"/>
          </w:cols>
          <w:pgMar w:left="240" w:top="459" w:right="27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Investments</w:t>
      </w:r>
    </w:p>
    <w:p>
      <w:pPr>
        <w:spacing w:after="0" w:line="96" w:lineRule="exact"/>
        <w:rPr>
          <w:sz w:val="20"/>
          <w:szCs w:val="20"/>
          <w:color w:val="auto"/>
        </w:rPr>
      </w:pPr>
    </w:p>
    <w:p>
      <w:pPr>
        <w:spacing w:after="0"/>
        <w:rPr>
          <w:sz w:val="20"/>
          <w:szCs w:val="20"/>
          <w:color w:val="auto"/>
        </w:rPr>
      </w:pPr>
      <w:r>
        <w:rPr>
          <w:rFonts w:ascii="Arial" w:cs="Arial" w:eastAsia="Arial" w:hAnsi="Arial"/>
          <w:sz w:val="18"/>
          <w:szCs w:val="18"/>
          <w:color w:val="auto"/>
        </w:rPr>
        <w:t>The following tables summarize the Company’s investments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38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3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760" w:type="dxa"/>
            <w:vAlign w:val="bottom"/>
            <w:tcBorders>
              <w:bottom w:val="single" w:sz="8" w:color="auto"/>
            </w:tcBorders>
            <w:gridSpan w:val="5"/>
          </w:tcPr>
          <w:p>
            <w:pPr>
              <w:jc w:val="right"/>
              <w:ind w:right="460"/>
              <w:spacing w:after="0"/>
              <w:rPr>
                <w:sz w:val="20"/>
                <w:szCs w:val="20"/>
                <w:color w:val="auto"/>
              </w:rPr>
            </w:pPr>
            <w:r>
              <w:rPr>
                <w:rFonts w:ascii="Arial" w:cs="Arial" w:eastAsia="Arial" w:hAnsi="Arial"/>
                <w:sz w:val="14"/>
                <w:szCs w:val="14"/>
                <w:b w:val="1"/>
                <w:bCs w:val="1"/>
                <w:color w:val="auto"/>
                <w:w w:val="96"/>
              </w:rPr>
              <w:t>As o f April 30, 2011</w:t>
            </w:r>
          </w:p>
        </w:tc>
        <w:tc>
          <w:tcPr>
            <w:tcW w:w="1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3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20" w:type="dxa"/>
            <w:vAlign w:val="bottom"/>
          </w:tcPr>
          <w:p>
            <w:pPr>
              <w:jc w:val="right"/>
              <w:ind w:right="59"/>
              <w:spacing w:after="0" w:line="129" w:lineRule="exact"/>
              <w:rPr>
                <w:sz w:val="20"/>
                <w:szCs w:val="20"/>
                <w:color w:val="auto"/>
              </w:rPr>
            </w:pPr>
            <w:r>
              <w:rPr>
                <w:rFonts w:ascii="Arial" w:cs="Arial" w:eastAsia="Arial" w:hAnsi="Arial"/>
                <w:sz w:val="14"/>
                <w:szCs w:val="14"/>
                <w:b w:val="1"/>
                <w:bCs w:val="1"/>
                <w:color w:val="auto"/>
                <w:w w:val="88"/>
              </w:rPr>
              <w:t>Gross</w:t>
            </w:r>
          </w:p>
        </w:tc>
        <w:tc>
          <w:tcPr>
            <w:tcW w:w="3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40" w:type="dxa"/>
            <w:vAlign w:val="bottom"/>
            <w:gridSpan w:val="2"/>
          </w:tcPr>
          <w:p>
            <w:pPr>
              <w:ind w:left="40"/>
              <w:spacing w:after="0" w:line="129" w:lineRule="exact"/>
              <w:rPr>
                <w:sz w:val="20"/>
                <w:szCs w:val="20"/>
                <w:color w:val="auto"/>
              </w:rPr>
            </w:pPr>
            <w:r>
              <w:rPr>
                <w:rFonts w:ascii="Arial" w:cs="Arial" w:eastAsia="Arial" w:hAnsi="Arial"/>
                <w:sz w:val="14"/>
                <w:szCs w:val="14"/>
                <w:b w:val="1"/>
                <w:bCs w:val="1"/>
                <w:color w:val="auto"/>
              </w:rPr>
              <w:t>Gross</w:t>
            </w:r>
          </w:p>
        </w:tc>
        <w:tc>
          <w:tcPr>
            <w:tcW w:w="1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3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10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w w:val="90"/>
              </w:rPr>
              <w:t>Amortized</w:t>
            </w:r>
          </w:p>
        </w:tc>
        <w:tc>
          <w:tcPr>
            <w:tcW w:w="6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4"/>
              </w:rPr>
              <w:t>Unrealized</w:t>
            </w:r>
          </w:p>
        </w:tc>
        <w:tc>
          <w:tcPr>
            <w:tcW w:w="380" w:type="dxa"/>
            <w:vAlign w:val="bottom"/>
          </w:tcPr>
          <w:p>
            <w:pPr>
              <w:spacing w:after="0"/>
              <w:rPr>
                <w:sz w:val="12"/>
                <w:szCs w:val="12"/>
                <w:color w:val="auto"/>
              </w:rPr>
            </w:pPr>
          </w:p>
        </w:tc>
        <w:tc>
          <w:tcPr>
            <w:tcW w:w="86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3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100" w:type="dxa"/>
            <w:vAlign w:val="bottom"/>
            <w:gridSpan w:val="2"/>
          </w:tcPr>
          <w:p>
            <w:pPr>
              <w:jc w:val="center"/>
              <w:ind w:right="480"/>
              <w:spacing w:after="0"/>
              <w:rPr>
                <w:sz w:val="20"/>
                <w:szCs w:val="20"/>
                <w:color w:val="auto"/>
              </w:rPr>
            </w:pPr>
            <w:r>
              <w:rPr>
                <w:rFonts w:ascii="Arial" w:cs="Arial" w:eastAsia="Arial" w:hAnsi="Arial"/>
                <w:sz w:val="14"/>
                <w:szCs w:val="14"/>
                <w:b w:val="1"/>
                <w:bCs w:val="1"/>
                <w:color w:val="auto"/>
                <w:w w:val="83"/>
              </w:rPr>
              <w:t>Cost</w:t>
            </w:r>
          </w:p>
        </w:tc>
        <w:tc>
          <w:tcPr>
            <w:tcW w:w="100" w:type="dxa"/>
            <w:vAlign w:val="bottom"/>
          </w:tcPr>
          <w:p>
            <w:pPr>
              <w:spacing w:after="0"/>
              <w:rPr>
                <w:sz w:val="14"/>
                <w:szCs w:val="14"/>
                <w:color w:val="auto"/>
              </w:rPr>
            </w:pPr>
          </w:p>
        </w:tc>
        <w:tc>
          <w:tcPr>
            <w:tcW w:w="520" w:type="dxa"/>
            <w:vAlign w:val="bottom"/>
          </w:tcPr>
          <w:p>
            <w:pPr>
              <w:jc w:val="right"/>
              <w:ind w:right="59"/>
              <w:spacing w:after="0"/>
              <w:rPr>
                <w:sz w:val="20"/>
                <w:szCs w:val="20"/>
                <w:color w:val="auto"/>
              </w:rPr>
            </w:pPr>
            <w:r>
              <w:rPr>
                <w:rFonts w:ascii="Arial" w:cs="Arial" w:eastAsia="Arial" w:hAnsi="Arial"/>
                <w:sz w:val="14"/>
                <w:szCs w:val="14"/>
                <w:b w:val="1"/>
                <w:bCs w:val="1"/>
                <w:color w:val="auto"/>
                <w:w w:val="92"/>
              </w:rPr>
              <w:t>Gains</w:t>
            </w:r>
          </w:p>
        </w:tc>
        <w:tc>
          <w:tcPr>
            <w:tcW w:w="3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40" w:type="dxa"/>
            <w:vAlign w:val="bottom"/>
            <w:gridSpan w:val="2"/>
          </w:tcPr>
          <w:p>
            <w:pPr>
              <w:ind w:left="20"/>
              <w:spacing w:after="0"/>
              <w:rPr>
                <w:sz w:val="20"/>
                <w:szCs w:val="20"/>
                <w:color w:val="auto"/>
              </w:rPr>
            </w:pPr>
            <w:r>
              <w:rPr>
                <w:rFonts w:ascii="Arial" w:cs="Arial" w:eastAsia="Arial" w:hAnsi="Arial"/>
                <w:sz w:val="14"/>
                <w:szCs w:val="14"/>
                <w:b w:val="1"/>
                <w:bCs w:val="1"/>
                <w:color w:val="auto"/>
              </w:rPr>
              <w:t>Losses</w:t>
            </w: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38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Short-term investments:</w:t>
            </w:r>
          </w:p>
        </w:tc>
        <w:tc>
          <w:tcPr>
            <w:tcW w:w="8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80" w:type="dxa"/>
            <w:vAlign w:val="bottom"/>
          </w:tcPr>
          <w:p>
            <w:pPr>
              <w:spacing w:after="0"/>
              <w:rPr>
                <w:sz w:val="20"/>
                <w:szCs w:val="20"/>
                <w:color w:val="auto"/>
              </w:rPr>
            </w:pPr>
            <w:r>
              <w:rPr>
                <w:rFonts w:ascii="Arial" w:cs="Arial" w:eastAsia="Arial" w:hAnsi="Arial"/>
                <w:sz w:val="18"/>
                <w:szCs w:val="18"/>
                <w:color w:val="auto"/>
              </w:rPr>
              <w:t>Available-for-sale:</w:t>
            </w: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857,449</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3,856</w:t>
            </w:r>
          </w:p>
        </w:tc>
        <w:tc>
          <w:tcPr>
            <w:tcW w:w="50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w w:val="99"/>
              </w:rPr>
              <w:t>$</w:t>
            </w:r>
          </w:p>
        </w:tc>
        <w:tc>
          <w:tcPr>
            <w:tcW w:w="7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(90)</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861,215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80" w:type="dxa"/>
            <w:vAlign w:val="bottom"/>
          </w:tcPr>
          <w:p>
            <w:pPr>
              <w:ind w:left="420"/>
              <w:spacing w:after="0"/>
              <w:rPr>
                <w:sz w:val="20"/>
                <w:szCs w:val="20"/>
                <w:color w:val="auto"/>
              </w:rPr>
            </w:pPr>
            <w:r>
              <w:rPr>
                <w:rFonts w:ascii="Arial" w:cs="Arial" w:eastAsia="Arial" w:hAnsi="Arial"/>
                <w:sz w:val="18"/>
                <w:szCs w:val="18"/>
                <w:color w:val="auto"/>
              </w:rPr>
              <w:t>U.S. government and agencies</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622,881</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1,358</w:t>
            </w:r>
          </w:p>
        </w:tc>
        <w:tc>
          <w:tcPr>
            <w:tcW w:w="3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gridSpan w:val="2"/>
          </w:tcPr>
          <w:p>
            <w:pPr>
              <w:jc w:val="right"/>
              <w:ind w:right="160"/>
              <w:spacing w:after="0"/>
              <w:rPr>
                <w:sz w:val="20"/>
                <w:szCs w:val="20"/>
                <w:color w:val="auto"/>
              </w:rPr>
            </w:pPr>
            <w:r>
              <w:rPr>
                <w:rFonts w:ascii="Arial" w:cs="Arial" w:eastAsia="Arial" w:hAnsi="Arial"/>
                <w:sz w:val="18"/>
                <w:szCs w:val="18"/>
                <w:color w:val="auto"/>
              </w:rPr>
              <w:t>(16)</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624,223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3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380" w:type="dxa"/>
            <w:vAlign w:val="bottom"/>
            <w:shd w:val="clear" w:color="auto" w:fill="CCEEFF"/>
          </w:tcPr>
          <w:p>
            <w:pPr>
              <w:spacing w:after="0"/>
              <w:rPr>
                <w:sz w:val="20"/>
                <w:szCs w:val="20"/>
                <w:color w:val="auto"/>
              </w:rPr>
            </w:pPr>
            <w:r>
              <w:rPr>
                <w:rFonts w:ascii="Arial" w:cs="Arial" w:eastAsia="Arial" w:hAnsi="Arial"/>
                <w:sz w:val="18"/>
                <w:szCs w:val="18"/>
                <w:color w:val="auto"/>
              </w:rPr>
              <w:t>Total short-term investments</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1,480,330</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5,214</w:t>
            </w:r>
          </w:p>
        </w:tc>
        <w:tc>
          <w:tcPr>
            <w:tcW w:w="3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7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(106)</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1,485,438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322"/>
        </w:trPr>
        <w:tc>
          <w:tcPr>
            <w:tcW w:w="6400" w:type="dxa"/>
            <w:vAlign w:val="bottom"/>
            <w:gridSpan w:val="2"/>
          </w:tcPr>
          <w:p>
            <w:pPr>
              <w:spacing w:after="0"/>
              <w:rPr>
                <w:sz w:val="20"/>
                <w:szCs w:val="20"/>
                <w:color w:val="auto"/>
              </w:rPr>
            </w:pPr>
            <w:r>
              <w:rPr>
                <w:rFonts w:ascii="Arial" w:cs="Arial" w:eastAsia="Arial" w:hAnsi="Arial"/>
                <w:sz w:val="18"/>
                <w:szCs w:val="18"/>
                <w:b w:val="1"/>
                <w:bCs w:val="1"/>
                <w:color w:val="auto"/>
              </w:rPr>
              <w:t>Long-term investments:</w:t>
            </w: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6380" w:type="dxa"/>
            <w:vAlign w:val="bottom"/>
            <w:shd w:val="clear" w:color="auto" w:fill="CCEEFF"/>
          </w:tcPr>
          <w:p>
            <w:pPr>
              <w:spacing w:after="0"/>
              <w:rPr>
                <w:sz w:val="20"/>
                <w:szCs w:val="20"/>
                <w:color w:val="auto"/>
              </w:rPr>
            </w:pPr>
            <w:r>
              <w:rPr>
                <w:rFonts w:ascii="Arial" w:cs="Arial" w:eastAsia="Arial" w:hAnsi="Arial"/>
                <w:sz w:val="18"/>
                <w:szCs w:val="18"/>
                <w:color w:val="auto"/>
              </w:rPr>
              <w:t>Available-for-sale:</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80" w:type="dxa"/>
            <w:vAlign w:val="bottom"/>
          </w:tcPr>
          <w:p>
            <w:pPr>
              <w:ind w:left="420"/>
              <w:spacing w:after="0"/>
              <w:rPr>
                <w:sz w:val="20"/>
                <w:szCs w:val="20"/>
                <w:color w:val="auto"/>
              </w:rPr>
            </w:pPr>
            <w:r>
              <w:rPr>
                <w:rFonts w:ascii="Arial" w:cs="Arial" w:eastAsia="Arial" w:hAnsi="Arial"/>
                <w:sz w:val="18"/>
                <w:szCs w:val="18"/>
                <w:color w:val="auto"/>
              </w:rPr>
              <w:t>Auction rate securities</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27,750</w:t>
            </w:r>
          </w:p>
        </w:tc>
        <w:tc>
          <w:tcPr>
            <w:tcW w:w="38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520" w:type="dxa"/>
            <w:vAlign w:val="bottom"/>
          </w:tcPr>
          <w:p>
            <w:pPr>
              <w:jc w:val="right"/>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740" w:type="dxa"/>
            <w:vAlign w:val="bottom"/>
            <w:gridSpan w:val="2"/>
          </w:tcPr>
          <w:p>
            <w:pPr>
              <w:jc w:val="right"/>
              <w:ind w:right="160"/>
              <w:spacing w:after="0"/>
              <w:rPr>
                <w:sz w:val="20"/>
                <w:szCs w:val="20"/>
                <w:color w:val="auto"/>
              </w:rPr>
            </w:pPr>
            <w:r>
              <w:rPr>
                <w:rFonts w:ascii="Arial" w:cs="Arial" w:eastAsia="Arial" w:hAnsi="Arial"/>
                <w:sz w:val="18"/>
                <w:szCs w:val="18"/>
                <w:color w:val="auto"/>
                <w:w w:val="98"/>
              </w:rPr>
              <w:t>(1,680)</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26,070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3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380" w:type="dxa"/>
            <w:vAlign w:val="bottom"/>
            <w:shd w:val="clear" w:color="auto" w:fill="CCEEFF"/>
          </w:tcPr>
          <w:p>
            <w:pPr>
              <w:spacing w:after="0"/>
              <w:rPr>
                <w:sz w:val="20"/>
                <w:szCs w:val="20"/>
                <w:color w:val="auto"/>
              </w:rPr>
            </w:pPr>
            <w:r>
              <w:rPr>
                <w:rFonts w:ascii="Arial" w:cs="Arial" w:eastAsia="Arial" w:hAnsi="Arial"/>
                <w:sz w:val="18"/>
                <w:szCs w:val="18"/>
                <w:color w:val="auto"/>
              </w:rPr>
              <w:t>Total long-term investments</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27,750</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7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98"/>
              </w:rPr>
              <w:t>(1,680)</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26,070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400" w:type="dxa"/>
            <w:vAlign w:val="bottom"/>
            <w:gridSpan w:val="2"/>
            <w:vMerge w:val="restart"/>
          </w:tcPr>
          <w:p>
            <w:pPr>
              <w:spacing w:after="0"/>
              <w:rPr>
                <w:sz w:val="20"/>
                <w:szCs w:val="20"/>
                <w:color w:val="auto"/>
              </w:rPr>
            </w:pPr>
            <w:r>
              <w:rPr>
                <w:rFonts w:ascii="Arial" w:cs="Arial" w:eastAsia="Arial" w:hAnsi="Arial"/>
                <w:sz w:val="18"/>
                <w:szCs w:val="18"/>
                <w:color w:val="auto"/>
              </w:rPr>
              <w:t>Total investments</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6400" w:type="dxa"/>
            <w:vAlign w:val="bottom"/>
            <w:gridSpan w:val="2"/>
            <w:vMerge w:val="continue"/>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1,508,080</w:t>
            </w:r>
          </w:p>
        </w:tc>
        <w:tc>
          <w:tcPr>
            <w:tcW w:w="38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520" w:type="dxa"/>
            <w:vAlign w:val="bottom"/>
          </w:tcPr>
          <w:p>
            <w:pPr>
              <w:jc w:val="right"/>
              <w:spacing w:after="0"/>
              <w:rPr>
                <w:sz w:val="20"/>
                <w:szCs w:val="20"/>
                <w:color w:val="auto"/>
              </w:rPr>
            </w:pPr>
            <w:r>
              <w:rPr>
                <w:rFonts w:ascii="Arial" w:cs="Arial" w:eastAsia="Arial" w:hAnsi="Arial"/>
                <w:sz w:val="18"/>
                <w:szCs w:val="18"/>
                <w:color w:val="auto"/>
              </w:rPr>
              <w:t>5,214</w:t>
            </w:r>
          </w:p>
        </w:tc>
        <w:tc>
          <w:tcPr>
            <w:tcW w:w="38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740" w:type="dxa"/>
            <w:vAlign w:val="bottom"/>
            <w:gridSpan w:val="2"/>
          </w:tcPr>
          <w:p>
            <w:pPr>
              <w:jc w:val="right"/>
              <w:ind w:right="160"/>
              <w:spacing w:after="0"/>
              <w:rPr>
                <w:sz w:val="20"/>
                <w:szCs w:val="20"/>
                <w:color w:val="auto"/>
              </w:rPr>
            </w:pPr>
            <w:r>
              <w:rPr>
                <w:rFonts w:ascii="Arial" w:cs="Arial" w:eastAsia="Arial" w:hAnsi="Arial"/>
                <w:sz w:val="18"/>
                <w:szCs w:val="18"/>
                <w:color w:val="auto"/>
                <w:w w:val="98"/>
              </w:rPr>
              <w:t>(1,786)</w:t>
            </w:r>
          </w:p>
        </w:tc>
        <w:tc>
          <w:tcPr>
            <w:tcW w:w="26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1,511,508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3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gridSpan w:val="2"/>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60"/>
        </w:trPr>
        <w:tc>
          <w:tcPr>
            <w:tcW w:w="20" w:type="dxa"/>
            <w:vAlign w:val="bottom"/>
          </w:tcPr>
          <w:p>
            <w:pPr>
              <w:spacing w:after="0"/>
              <w:rPr>
                <w:sz w:val="24"/>
                <w:szCs w:val="24"/>
                <w:color w:val="auto"/>
              </w:rPr>
            </w:pPr>
          </w:p>
        </w:tc>
        <w:tc>
          <w:tcPr>
            <w:tcW w:w="6380" w:type="dxa"/>
            <w:vAlign w:val="bottom"/>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720" w:type="dxa"/>
            <w:vAlign w:val="bottom"/>
            <w:tcBorders>
              <w:bottom w:val="single" w:sz="8" w:color="auto"/>
            </w:tcBorders>
          </w:tcPr>
          <w:p>
            <w:pPr>
              <w:spacing w:after="0"/>
              <w:rPr>
                <w:sz w:val="24"/>
                <w:szCs w:val="24"/>
                <w:color w:val="auto"/>
              </w:rPr>
            </w:pPr>
          </w:p>
        </w:tc>
        <w:tc>
          <w:tcPr>
            <w:tcW w:w="38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1760" w:type="dxa"/>
            <w:vAlign w:val="bottom"/>
            <w:tcBorders>
              <w:bottom w:val="single" w:sz="8" w:color="auto"/>
            </w:tcBorders>
            <w:gridSpan w:val="5"/>
          </w:tcPr>
          <w:p>
            <w:pPr>
              <w:jc w:val="right"/>
              <w:ind w:right="380"/>
              <w:spacing w:after="0"/>
              <w:rPr>
                <w:sz w:val="20"/>
                <w:szCs w:val="20"/>
                <w:color w:val="auto"/>
              </w:rPr>
            </w:pPr>
            <w:r>
              <w:rPr>
                <w:rFonts w:ascii="Arial" w:cs="Arial" w:eastAsia="Arial" w:hAnsi="Arial"/>
                <w:sz w:val="14"/>
                <w:szCs w:val="14"/>
                <w:b w:val="1"/>
                <w:bCs w:val="1"/>
                <w:color w:val="auto"/>
                <w:w w:val="90"/>
              </w:rPr>
              <w:t>As of January 29, 2011</w:t>
            </w:r>
          </w:p>
        </w:tc>
        <w:tc>
          <w:tcPr>
            <w:tcW w:w="16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70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3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20" w:type="dxa"/>
            <w:vAlign w:val="bottom"/>
          </w:tcPr>
          <w:p>
            <w:pPr>
              <w:jc w:val="right"/>
              <w:ind w:right="59"/>
              <w:spacing w:after="0" w:line="129" w:lineRule="exact"/>
              <w:rPr>
                <w:sz w:val="20"/>
                <w:szCs w:val="20"/>
                <w:color w:val="auto"/>
              </w:rPr>
            </w:pPr>
            <w:r>
              <w:rPr>
                <w:rFonts w:ascii="Arial" w:cs="Arial" w:eastAsia="Arial" w:hAnsi="Arial"/>
                <w:sz w:val="14"/>
                <w:szCs w:val="14"/>
                <w:b w:val="1"/>
                <w:bCs w:val="1"/>
                <w:color w:val="auto"/>
                <w:w w:val="88"/>
              </w:rPr>
              <w:t>Gross</w:t>
            </w:r>
          </w:p>
        </w:tc>
        <w:tc>
          <w:tcPr>
            <w:tcW w:w="3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40" w:type="dxa"/>
            <w:vAlign w:val="bottom"/>
            <w:gridSpan w:val="2"/>
          </w:tcPr>
          <w:p>
            <w:pPr>
              <w:ind w:left="40"/>
              <w:spacing w:after="0" w:line="129" w:lineRule="exact"/>
              <w:rPr>
                <w:sz w:val="20"/>
                <w:szCs w:val="20"/>
                <w:color w:val="auto"/>
              </w:rPr>
            </w:pPr>
            <w:r>
              <w:rPr>
                <w:rFonts w:ascii="Arial" w:cs="Arial" w:eastAsia="Arial" w:hAnsi="Arial"/>
                <w:sz w:val="14"/>
                <w:szCs w:val="14"/>
                <w:b w:val="1"/>
                <w:bCs w:val="1"/>
                <w:color w:val="auto"/>
              </w:rPr>
              <w:t>Gross</w:t>
            </w:r>
          </w:p>
        </w:tc>
        <w:tc>
          <w:tcPr>
            <w:tcW w:w="1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3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10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w w:val="90"/>
              </w:rPr>
              <w:t>Amortized</w:t>
            </w:r>
          </w:p>
        </w:tc>
        <w:tc>
          <w:tcPr>
            <w:tcW w:w="6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4"/>
              </w:rPr>
              <w:t>Unrealized</w:t>
            </w:r>
          </w:p>
        </w:tc>
        <w:tc>
          <w:tcPr>
            <w:tcW w:w="380" w:type="dxa"/>
            <w:vAlign w:val="bottom"/>
          </w:tcPr>
          <w:p>
            <w:pPr>
              <w:spacing w:after="0"/>
              <w:rPr>
                <w:sz w:val="12"/>
                <w:szCs w:val="12"/>
                <w:color w:val="auto"/>
              </w:rPr>
            </w:pPr>
          </w:p>
        </w:tc>
        <w:tc>
          <w:tcPr>
            <w:tcW w:w="86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3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100" w:type="dxa"/>
            <w:vAlign w:val="bottom"/>
            <w:gridSpan w:val="2"/>
          </w:tcPr>
          <w:p>
            <w:pPr>
              <w:jc w:val="center"/>
              <w:ind w:right="480"/>
              <w:spacing w:after="0"/>
              <w:rPr>
                <w:sz w:val="20"/>
                <w:szCs w:val="20"/>
                <w:color w:val="auto"/>
              </w:rPr>
            </w:pPr>
            <w:r>
              <w:rPr>
                <w:rFonts w:ascii="Arial" w:cs="Arial" w:eastAsia="Arial" w:hAnsi="Arial"/>
                <w:sz w:val="14"/>
                <w:szCs w:val="14"/>
                <w:b w:val="1"/>
                <w:bCs w:val="1"/>
                <w:color w:val="auto"/>
                <w:w w:val="83"/>
              </w:rPr>
              <w:t>Cost</w:t>
            </w:r>
          </w:p>
        </w:tc>
        <w:tc>
          <w:tcPr>
            <w:tcW w:w="100" w:type="dxa"/>
            <w:vAlign w:val="bottom"/>
          </w:tcPr>
          <w:p>
            <w:pPr>
              <w:spacing w:after="0"/>
              <w:rPr>
                <w:sz w:val="14"/>
                <w:szCs w:val="14"/>
                <w:color w:val="auto"/>
              </w:rPr>
            </w:pPr>
          </w:p>
        </w:tc>
        <w:tc>
          <w:tcPr>
            <w:tcW w:w="520" w:type="dxa"/>
            <w:vAlign w:val="bottom"/>
          </w:tcPr>
          <w:p>
            <w:pPr>
              <w:jc w:val="right"/>
              <w:ind w:right="59"/>
              <w:spacing w:after="0"/>
              <w:rPr>
                <w:sz w:val="20"/>
                <w:szCs w:val="20"/>
                <w:color w:val="auto"/>
              </w:rPr>
            </w:pPr>
            <w:r>
              <w:rPr>
                <w:rFonts w:ascii="Arial" w:cs="Arial" w:eastAsia="Arial" w:hAnsi="Arial"/>
                <w:sz w:val="14"/>
                <w:szCs w:val="14"/>
                <w:b w:val="1"/>
                <w:bCs w:val="1"/>
                <w:color w:val="auto"/>
                <w:w w:val="92"/>
              </w:rPr>
              <w:t>Gains</w:t>
            </w:r>
          </w:p>
        </w:tc>
        <w:tc>
          <w:tcPr>
            <w:tcW w:w="3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40" w:type="dxa"/>
            <w:vAlign w:val="bottom"/>
            <w:gridSpan w:val="2"/>
          </w:tcPr>
          <w:p>
            <w:pPr>
              <w:ind w:left="20"/>
              <w:spacing w:after="0"/>
              <w:rPr>
                <w:sz w:val="20"/>
                <w:szCs w:val="20"/>
                <w:color w:val="auto"/>
              </w:rPr>
            </w:pPr>
            <w:r>
              <w:rPr>
                <w:rFonts w:ascii="Arial" w:cs="Arial" w:eastAsia="Arial" w:hAnsi="Arial"/>
                <w:sz w:val="14"/>
                <w:szCs w:val="14"/>
                <w:b w:val="1"/>
                <w:bCs w:val="1"/>
                <w:color w:val="auto"/>
              </w:rPr>
              <w:t>Losses</w:t>
            </w: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38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Short-term investments:</w:t>
            </w:r>
          </w:p>
        </w:tc>
        <w:tc>
          <w:tcPr>
            <w:tcW w:w="8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80" w:type="dxa"/>
            <w:vAlign w:val="bottom"/>
          </w:tcPr>
          <w:p>
            <w:pPr>
              <w:spacing w:after="0"/>
              <w:rPr>
                <w:sz w:val="20"/>
                <w:szCs w:val="20"/>
                <w:color w:val="auto"/>
              </w:rPr>
            </w:pPr>
            <w:r>
              <w:rPr>
                <w:rFonts w:ascii="Arial" w:cs="Arial" w:eastAsia="Arial" w:hAnsi="Arial"/>
                <w:sz w:val="18"/>
                <w:szCs w:val="18"/>
                <w:color w:val="auto"/>
              </w:rPr>
              <w:t>Available-for-sale:</w:t>
            </w: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648,278</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3,208</w:t>
            </w:r>
          </w:p>
        </w:tc>
        <w:tc>
          <w:tcPr>
            <w:tcW w:w="50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w w:val="99"/>
              </w:rPr>
              <w:t>$</w:t>
            </w:r>
          </w:p>
        </w:tc>
        <w:tc>
          <w:tcPr>
            <w:tcW w:w="7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(213)</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651,273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80" w:type="dxa"/>
            <w:vAlign w:val="bottom"/>
          </w:tcPr>
          <w:p>
            <w:pPr>
              <w:ind w:left="420"/>
              <w:spacing w:after="0"/>
              <w:rPr>
                <w:sz w:val="20"/>
                <w:szCs w:val="20"/>
                <w:color w:val="auto"/>
              </w:rPr>
            </w:pPr>
            <w:r>
              <w:rPr>
                <w:rFonts w:ascii="Arial" w:cs="Arial" w:eastAsia="Arial" w:hAnsi="Arial"/>
                <w:sz w:val="18"/>
                <w:szCs w:val="18"/>
                <w:color w:val="auto"/>
              </w:rPr>
              <w:t>U.S. government and agencies</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431,174</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561</w:t>
            </w:r>
          </w:p>
        </w:tc>
        <w:tc>
          <w:tcPr>
            <w:tcW w:w="3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gridSpan w:val="2"/>
          </w:tcPr>
          <w:p>
            <w:pPr>
              <w:jc w:val="right"/>
              <w:ind w:right="160"/>
              <w:spacing w:after="0"/>
              <w:rPr>
                <w:sz w:val="20"/>
                <w:szCs w:val="20"/>
                <w:color w:val="auto"/>
              </w:rPr>
            </w:pPr>
            <w:r>
              <w:rPr>
                <w:rFonts w:ascii="Arial" w:cs="Arial" w:eastAsia="Arial" w:hAnsi="Arial"/>
                <w:sz w:val="18"/>
                <w:szCs w:val="18"/>
                <w:color w:val="auto"/>
              </w:rPr>
              <w:t>(52)</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431,683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3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380" w:type="dxa"/>
            <w:vAlign w:val="bottom"/>
            <w:shd w:val="clear" w:color="auto" w:fill="CCEEFF"/>
          </w:tcPr>
          <w:p>
            <w:pPr>
              <w:spacing w:after="0"/>
              <w:rPr>
                <w:sz w:val="20"/>
                <w:szCs w:val="20"/>
                <w:color w:val="auto"/>
              </w:rPr>
            </w:pPr>
            <w:r>
              <w:rPr>
                <w:rFonts w:ascii="Arial" w:cs="Arial" w:eastAsia="Arial" w:hAnsi="Arial"/>
                <w:sz w:val="18"/>
                <w:szCs w:val="18"/>
                <w:color w:val="auto"/>
              </w:rPr>
              <w:t>Total short-term investments</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1,079,452</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3,769</w:t>
            </w:r>
          </w:p>
        </w:tc>
        <w:tc>
          <w:tcPr>
            <w:tcW w:w="3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7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(265)</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1,082,956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322"/>
        </w:trPr>
        <w:tc>
          <w:tcPr>
            <w:tcW w:w="6400" w:type="dxa"/>
            <w:vAlign w:val="bottom"/>
            <w:gridSpan w:val="2"/>
          </w:tcPr>
          <w:p>
            <w:pPr>
              <w:spacing w:after="0"/>
              <w:rPr>
                <w:sz w:val="20"/>
                <w:szCs w:val="20"/>
                <w:color w:val="auto"/>
              </w:rPr>
            </w:pPr>
            <w:r>
              <w:rPr>
                <w:rFonts w:ascii="Arial" w:cs="Arial" w:eastAsia="Arial" w:hAnsi="Arial"/>
                <w:sz w:val="18"/>
                <w:szCs w:val="18"/>
                <w:b w:val="1"/>
                <w:bCs w:val="1"/>
                <w:color w:val="auto"/>
              </w:rPr>
              <w:t>Long-term investments:</w:t>
            </w: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6380" w:type="dxa"/>
            <w:vAlign w:val="bottom"/>
            <w:shd w:val="clear" w:color="auto" w:fill="CCEEFF"/>
          </w:tcPr>
          <w:p>
            <w:pPr>
              <w:spacing w:after="0"/>
              <w:rPr>
                <w:sz w:val="20"/>
                <w:szCs w:val="20"/>
                <w:color w:val="auto"/>
              </w:rPr>
            </w:pPr>
            <w:r>
              <w:rPr>
                <w:rFonts w:ascii="Arial" w:cs="Arial" w:eastAsia="Arial" w:hAnsi="Arial"/>
                <w:sz w:val="18"/>
                <w:szCs w:val="18"/>
                <w:color w:val="auto"/>
              </w:rPr>
              <w:t>Available-for-sale:</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80" w:type="dxa"/>
            <w:vAlign w:val="bottom"/>
          </w:tcPr>
          <w:p>
            <w:pPr>
              <w:ind w:left="420"/>
              <w:spacing w:after="0"/>
              <w:rPr>
                <w:sz w:val="20"/>
                <w:szCs w:val="20"/>
                <w:color w:val="auto"/>
              </w:rPr>
            </w:pPr>
            <w:r>
              <w:rPr>
                <w:rFonts w:ascii="Arial" w:cs="Arial" w:eastAsia="Arial" w:hAnsi="Arial"/>
                <w:sz w:val="18"/>
                <w:szCs w:val="18"/>
                <w:color w:val="auto"/>
              </w:rPr>
              <w:t>Auction rate securities</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27,850</w:t>
            </w:r>
          </w:p>
        </w:tc>
        <w:tc>
          <w:tcPr>
            <w:tcW w:w="38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520" w:type="dxa"/>
            <w:vAlign w:val="bottom"/>
          </w:tcPr>
          <w:p>
            <w:pPr>
              <w:jc w:val="right"/>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740" w:type="dxa"/>
            <w:vAlign w:val="bottom"/>
            <w:gridSpan w:val="2"/>
          </w:tcPr>
          <w:p>
            <w:pPr>
              <w:jc w:val="right"/>
              <w:ind w:right="160"/>
              <w:spacing w:after="0"/>
              <w:rPr>
                <w:sz w:val="20"/>
                <w:szCs w:val="20"/>
                <w:color w:val="auto"/>
              </w:rPr>
            </w:pPr>
            <w:r>
              <w:rPr>
                <w:rFonts w:ascii="Arial" w:cs="Arial" w:eastAsia="Arial" w:hAnsi="Arial"/>
                <w:sz w:val="18"/>
                <w:szCs w:val="18"/>
                <w:color w:val="auto"/>
                <w:w w:val="98"/>
              </w:rPr>
              <w:t>(1,624)</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26,226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3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380" w:type="dxa"/>
            <w:vAlign w:val="bottom"/>
            <w:shd w:val="clear" w:color="auto" w:fill="CCEEFF"/>
          </w:tcPr>
          <w:p>
            <w:pPr>
              <w:spacing w:after="0"/>
              <w:rPr>
                <w:sz w:val="20"/>
                <w:szCs w:val="20"/>
                <w:color w:val="auto"/>
              </w:rPr>
            </w:pPr>
            <w:r>
              <w:rPr>
                <w:rFonts w:ascii="Arial" w:cs="Arial" w:eastAsia="Arial" w:hAnsi="Arial"/>
                <w:sz w:val="18"/>
                <w:szCs w:val="18"/>
                <w:color w:val="auto"/>
              </w:rPr>
              <w:t>Total long-term investments</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27,850</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7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98"/>
              </w:rPr>
              <w:t>(1,624)</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26,226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400" w:type="dxa"/>
            <w:vAlign w:val="bottom"/>
            <w:gridSpan w:val="2"/>
            <w:vMerge w:val="restart"/>
          </w:tcPr>
          <w:p>
            <w:pPr>
              <w:spacing w:after="0"/>
              <w:rPr>
                <w:sz w:val="20"/>
                <w:szCs w:val="20"/>
                <w:color w:val="auto"/>
              </w:rPr>
            </w:pPr>
            <w:r>
              <w:rPr>
                <w:rFonts w:ascii="Arial" w:cs="Arial" w:eastAsia="Arial" w:hAnsi="Arial"/>
                <w:sz w:val="18"/>
                <w:szCs w:val="18"/>
                <w:color w:val="auto"/>
              </w:rPr>
              <w:t>Total investments</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6400" w:type="dxa"/>
            <w:vAlign w:val="bottom"/>
            <w:gridSpan w:val="2"/>
            <w:vMerge w:val="continue"/>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1,107,302</w:t>
            </w:r>
          </w:p>
        </w:tc>
        <w:tc>
          <w:tcPr>
            <w:tcW w:w="38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520" w:type="dxa"/>
            <w:vAlign w:val="bottom"/>
          </w:tcPr>
          <w:p>
            <w:pPr>
              <w:jc w:val="right"/>
              <w:spacing w:after="0"/>
              <w:rPr>
                <w:sz w:val="20"/>
                <w:szCs w:val="20"/>
                <w:color w:val="auto"/>
              </w:rPr>
            </w:pPr>
            <w:r>
              <w:rPr>
                <w:rFonts w:ascii="Arial" w:cs="Arial" w:eastAsia="Arial" w:hAnsi="Arial"/>
                <w:sz w:val="18"/>
                <w:szCs w:val="18"/>
                <w:color w:val="auto"/>
              </w:rPr>
              <w:t>3,769</w:t>
            </w:r>
          </w:p>
        </w:tc>
        <w:tc>
          <w:tcPr>
            <w:tcW w:w="500" w:type="dxa"/>
            <w:vAlign w:val="bottom"/>
            <w:gridSpan w:val="2"/>
          </w:tcPr>
          <w:p>
            <w:pPr>
              <w:ind w:left="380"/>
              <w:spacing w:after="0"/>
              <w:rPr>
                <w:sz w:val="20"/>
                <w:szCs w:val="20"/>
                <w:color w:val="auto"/>
              </w:rPr>
            </w:pPr>
            <w:r>
              <w:rPr>
                <w:rFonts w:ascii="Arial" w:cs="Arial" w:eastAsia="Arial" w:hAnsi="Arial"/>
                <w:sz w:val="18"/>
                <w:szCs w:val="18"/>
                <w:color w:val="auto"/>
                <w:w w:val="99"/>
              </w:rPr>
              <w:t>$</w:t>
            </w:r>
          </w:p>
        </w:tc>
        <w:tc>
          <w:tcPr>
            <w:tcW w:w="740" w:type="dxa"/>
            <w:vAlign w:val="bottom"/>
            <w:gridSpan w:val="2"/>
          </w:tcPr>
          <w:p>
            <w:pPr>
              <w:jc w:val="right"/>
              <w:ind w:right="160"/>
              <w:spacing w:after="0"/>
              <w:rPr>
                <w:sz w:val="20"/>
                <w:szCs w:val="20"/>
                <w:color w:val="auto"/>
              </w:rPr>
            </w:pPr>
            <w:r>
              <w:rPr>
                <w:rFonts w:ascii="Arial" w:cs="Arial" w:eastAsia="Arial" w:hAnsi="Arial"/>
                <w:sz w:val="18"/>
                <w:szCs w:val="18"/>
                <w:color w:val="auto"/>
                <w:w w:val="98"/>
              </w:rPr>
              <w:t>(1,889)</w:t>
            </w:r>
          </w:p>
        </w:tc>
        <w:tc>
          <w:tcPr>
            <w:tcW w:w="26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1,109,182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3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As of April 30, 2011, the Company’s investment portfolio included $27.8 million in par value of auction rate securities. Beginning in February 2008, liquidity issues in the global credit markets resulted in a failure of auction rate securities, as the amount of securities submitted for sale in those auctions exceeded the amount of bids. To estimate the fair value of the auction rate securities since that time, the Company used a discounted cash flow model based on estimated timing and amount of future interest and principal payments, credit quality of the underlying securities and liquidity considerations, the collateralization of underlying security investments, the credit worthiness of the issuer of the securities, the probability of full repayment and other considerations. As of April 30, 2011, the fair value of auction rate securities was $1.7 million less than par value and was recorded in long-term investments.</w:t>
      </w:r>
    </w:p>
    <w:p>
      <w:pPr>
        <w:spacing w:after="0" w:line="120"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Based on the Company’s assessment of its cash flow projections, a balance of approximately $2.3 billion in cash, cash equivalents and short-term investments other than auction rate securities and the fact that the Company continues to generate positive cash flow on a quarterly basis, the Company does not anticipate having to sell these securities below par value in order to operate its business. The Company does not have the intent to sell these auction rate securities until recovery. Thus, the Company considers the impairment to be temporary and recorded the unrealized loss to accumulated other comprehensive income, a component of shareholders’ equity.</w:t>
      </w:r>
    </w:p>
    <w:p>
      <w:pPr>
        <w:spacing w:after="0" w:line="12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380"/>
          </w:cols>
          <w:pgMar w:left="240" w:top="459" w:right="27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contractual maturities of available-for-sale securities at April 30, 2011 and January 29, 2011 are presented in the following table (in thousands):</w:t>
      </w:r>
    </w:p>
    <w:p>
      <w:pPr>
        <w:spacing w:after="0" w:line="230"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0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100" w:type="dxa"/>
            <w:vAlign w:val="bottom"/>
            <w:gridSpan w:val="5"/>
          </w:tcPr>
          <w:p>
            <w:pPr>
              <w:jc w:val="right"/>
              <w:ind w:right="800"/>
              <w:spacing w:after="0"/>
              <w:rPr>
                <w:sz w:val="20"/>
                <w:szCs w:val="20"/>
                <w:color w:val="auto"/>
              </w:rPr>
            </w:pPr>
            <w:r>
              <w:rPr>
                <w:rFonts w:ascii="Arial" w:cs="Arial" w:eastAsia="Arial" w:hAnsi="Arial"/>
                <w:sz w:val="14"/>
                <w:szCs w:val="14"/>
                <w:b w:val="1"/>
                <w:bCs w:val="1"/>
                <w:color w:val="auto"/>
              </w:rPr>
              <w:t>April 30, 2011</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0" w:type="dxa"/>
            <w:vAlign w:val="bottom"/>
            <w:gridSpan w:val="5"/>
          </w:tcPr>
          <w:p>
            <w:pPr>
              <w:ind w:left="420"/>
              <w:spacing w:after="0"/>
              <w:rPr>
                <w:sz w:val="20"/>
                <w:szCs w:val="20"/>
                <w:color w:val="auto"/>
              </w:rPr>
            </w:pPr>
            <w:r>
              <w:rPr>
                <w:rFonts w:ascii="Arial" w:cs="Arial" w:eastAsia="Arial" w:hAnsi="Arial"/>
                <w:sz w:val="14"/>
                <w:szCs w:val="14"/>
                <w:b w:val="1"/>
                <w:bCs w:val="1"/>
                <w:color w:val="auto"/>
              </w:rPr>
              <w:t>January 29, 2011</w:t>
            </w:r>
          </w:p>
        </w:tc>
      </w:tr>
      <w:tr>
        <w:trPr>
          <w:trHeight w:val="129"/>
        </w:trPr>
        <w:tc>
          <w:tcPr>
            <w:tcW w:w="60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110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rPr>
              <w:t>Amortized</w:t>
            </w: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ind w:right="19"/>
              <w:spacing w:after="0" w:line="129" w:lineRule="exact"/>
              <w:rPr>
                <w:sz w:val="20"/>
                <w:szCs w:val="20"/>
                <w:color w:val="auto"/>
              </w:rPr>
            </w:pPr>
            <w:r>
              <w:rPr>
                <w:rFonts w:ascii="Arial" w:cs="Arial" w:eastAsia="Arial" w:hAnsi="Arial"/>
                <w:sz w:val="14"/>
                <w:szCs w:val="14"/>
                <w:b w:val="1"/>
                <w:bCs w:val="1"/>
                <w:color w:val="auto"/>
                <w:w w:val="86"/>
              </w:rPr>
              <w:t>Estimated</w:t>
            </w:r>
          </w:p>
        </w:tc>
        <w:tc>
          <w:tcPr>
            <w:tcW w:w="2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ind w:right="1"/>
              <w:spacing w:after="0" w:line="129" w:lineRule="exact"/>
              <w:rPr>
                <w:sz w:val="20"/>
                <w:szCs w:val="20"/>
                <w:color w:val="auto"/>
              </w:rPr>
            </w:pPr>
            <w:r>
              <w:rPr>
                <w:rFonts w:ascii="Arial" w:cs="Arial" w:eastAsia="Arial" w:hAnsi="Arial"/>
                <w:sz w:val="14"/>
                <w:szCs w:val="14"/>
                <w:b w:val="1"/>
                <w:bCs w:val="1"/>
                <w:color w:val="auto"/>
                <w:w w:val="87"/>
              </w:rPr>
              <w:t>Amortized</w:t>
            </w:r>
          </w:p>
        </w:tc>
        <w:tc>
          <w:tcPr>
            <w:tcW w:w="40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ind w:right="19"/>
              <w:spacing w:after="0" w:line="129" w:lineRule="exact"/>
              <w:rPr>
                <w:sz w:val="20"/>
                <w:szCs w:val="20"/>
                <w:color w:val="auto"/>
              </w:rPr>
            </w:pPr>
            <w:r>
              <w:rPr>
                <w:rFonts w:ascii="Arial" w:cs="Arial" w:eastAsia="Arial" w:hAnsi="Arial"/>
                <w:sz w:val="14"/>
                <w:szCs w:val="14"/>
                <w:b w:val="1"/>
                <w:bCs w:val="1"/>
                <w:color w:val="auto"/>
                <w:w w:val="86"/>
              </w:rPr>
              <w:t>Estimated</w:t>
            </w:r>
          </w:p>
        </w:tc>
        <w:tc>
          <w:tcPr>
            <w:tcW w:w="100" w:type="dxa"/>
            <w:vAlign w:val="bottom"/>
          </w:tcPr>
          <w:p>
            <w:pPr>
              <w:spacing w:after="0"/>
              <w:rPr>
                <w:sz w:val="11"/>
                <w:szCs w:val="11"/>
                <w:color w:val="auto"/>
              </w:rPr>
            </w:pPr>
          </w:p>
        </w:tc>
      </w:tr>
      <w:tr>
        <w:trPr>
          <w:trHeight w:val="161"/>
        </w:trPr>
        <w:tc>
          <w:tcPr>
            <w:tcW w:w="60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81"/>
              <w:spacing w:after="0"/>
              <w:rPr>
                <w:sz w:val="20"/>
                <w:szCs w:val="20"/>
                <w:color w:val="auto"/>
              </w:rPr>
            </w:pPr>
            <w:r>
              <w:rPr>
                <w:rFonts w:ascii="Arial" w:cs="Arial" w:eastAsia="Arial" w:hAnsi="Arial"/>
                <w:sz w:val="14"/>
                <w:szCs w:val="14"/>
                <w:b w:val="1"/>
                <w:bCs w:val="1"/>
                <w:color w:val="auto"/>
              </w:rPr>
              <w:t>Cost</w:t>
            </w:r>
          </w:p>
        </w:tc>
        <w:tc>
          <w:tcPr>
            <w:tcW w:w="4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9"/>
              <w:spacing w:after="0"/>
              <w:rPr>
                <w:sz w:val="20"/>
                <w:szCs w:val="20"/>
                <w:color w:val="auto"/>
              </w:rPr>
            </w:pPr>
            <w:r>
              <w:rPr>
                <w:rFonts w:ascii="Arial" w:cs="Arial" w:eastAsia="Arial" w:hAnsi="Arial"/>
                <w:sz w:val="14"/>
                <w:szCs w:val="14"/>
                <w:b w:val="1"/>
                <w:bCs w:val="1"/>
                <w:color w:val="auto"/>
                <w:w w:val="86"/>
              </w:rPr>
              <w:t>Fair Value</w:t>
            </w:r>
          </w:p>
        </w:tc>
        <w:tc>
          <w:tcPr>
            <w:tcW w:w="2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81"/>
              <w:spacing w:after="0"/>
              <w:rPr>
                <w:sz w:val="20"/>
                <w:szCs w:val="20"/>
                <w:color w:val="auto"/>
              </w:rPr>
            </w:pPr>
            <w:r>
              <w:rPr>
                <w:rFonts w:ascii="Arial" w:cs="Arial" w:eastAsia="Arial" w:hAnsi="Arial"/>
                <w:sz w:val="14"/>
                <w:szCs w:val="14"/>
                <w:b w:val="1"/>
                <w:bCs w:val="1"/>
                <w:color w:val="auto"/>
              </w:rPr>
              <w:t>Cost</w:t>
            </w:r>
          </w:p>
        </w:tc>
        <w:tc>
          <w:tcPr>
            <w:tcW w:w="4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9"/>
              <w:spacing w:after="0"/>
              <w:rPr>
                <w:sz w:val="20"/>
                <w:szCs w:val="20"/>
                <w:color w:val="auto"/>
              </w:rPr>
            </w:pPr>
            <w:r>
              <w:rPr>
                <w:rFonts w:ascii="Arial" w:cs="Arial" w:eastAsia="Arial" w:hAnsi="Arial"/>
                <w:sz w:val="14"/>
                <w:szCs w:val="14"/>
                <w:b w:val="1"/>
                <w:bCs w:val="1"/>
                <w:color w:val="auto"/>
                <w:w w:val="86"/>
              </w:rPr>
              <w:t>Fair Value</w:t>
            </w:r>
          </w:p>
        </w:tc>
        <w:tc>
          <w:tcPr>
            <w:tcW w:w="100" w:type="dxa"/>
            <w:vAlign w:val="bottom"/>
          </w:tcPr>
          <w:p>
            <w:pPr>
              <w:spacing w:after="0"/>
              <w:rPr>
                <w:sz w:val="14"/>
                <w:szCs w:val="14"/>
                <w:color w:val="auto"/>
              </w:rPr>
            </w:pPr>
          </w:p>
        </w:tc>
      </w:tr>
      <w:tr>
        <w:trPr>
          <w:trHeight w:val="210"/>
        </w:trPr>
        <w:tc>
          <w:tcPr>
            <w:tcW w:w="6000" w:type="dxa"/>
            <w:vAlign w:val="bottom"/>
            <w:shd w:val="clear" w:color="auto" w:fill="CCEEFF"/>
          </w:tcPr>
          <w:p>
            <w:pPr>
              <w:spacing w:after="0"/>
              <w:rPr>
                <w:sz w:val="20"/>
                <w:szCs w:val="20"/>
                <w:color w:val="auto"/>
              </w:rPr>
            </w:pPr>
            <w:r>
              <w:rPr>
                <w:rFonts w:ascii="Arial" w:cs="Arial" w:eastAsia="Arial" w:hAnsi="Arial"/>
                <w:sz w:val="18"/>
                <w:szCs w:val="18"/>
                <w:color w:val="auto"/>
              </w:rPr>
              <w:t>Due in one year or less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717,314</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718,531</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560,190</w:t>
            </w:r>
          </w:p>
        </w:tc>
        <w:tc>
          <w:tcPr>
            <w:tcW w:w="5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560,999</w:t>
            </w:r>
          </w:p>
        </w:tc>
        <w:tc>
          <w:tcPr>
            <w:tcW w:w="100" w:type="dxa"/>
            <w:vAlign w:val="bottom"/>
            <w:shd w:val="clear" w:color="auto" w:fill="CCEEFF"/>
          </w:tcPr>
          <w:p>
            <w:pPr>
              <w:spacing w:after="0"/>
              <w:rPr>
                <w:sz w:val="18"/>
                <w:szCs w:val="18"/>
                <w:color w:val="auto"/>
              </w:rPr>
            </w:pPr>
          </w:p>
        </w:tc>
      </w:tr>
      <w:tr>
        <w:trPr>
          <w:trHeight w:val="216"/>
        </w:trPr>
        <w:tc>
          <w:tcPr>
            <w:tcW w:w="6000" w:type="dxa"/>
            <w:vAlign w:val="bottom"/>
          </w:tcPr>
          <w:p>
            <w:pPr>
              <w:spacing w:after="0"/>
              <w:rPr>
                <w:sz w:val="20"/>
                <w:szCs w:val="20"/>
                <w:color w:val="auto"/>
              </w:rPr>
            </w:pPr>
            <w:r>
              <w:rPr>
                <w:rFonts w:ascii="Arial" w:cs="Arial" w:eastAsia="Arial" w:hAnsi="Arial"/>
                <w:sz w:val="18"/>
                <w:szCs w:val="18"/>
                <w:color w:val="auto"/>
              </w:rPr>
              <w:t>Due between one and five years</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763,017</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766,907</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519,262</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521,957</w:t>
            </w:r>
          </w:p>
        </w:tc>
        <w:tc>
          <w:tcPr>
            <w:tcW w:w="100" w:type="dxa"/>
            <w:vAlign w:val="bottom"/>
          </w:tcPr>
          <w:p>
            <w:pPr>
              <w:spacing w:after="0"/>
              <w:rPr>
                <w:sz w:val="18"/>
                <w:szCs w:val="18"/>
                <w:color w:val="auto"/>
              </w:rPr>
            </w:pPr>
          </w:p>
        </w:tc>
      </w:tr>
      <w:tr>
        <w:trPr>
          <w:trHeight w:val="216"/>
        </w:trPr>
        <w:tc>
          <w:tcPr>
            <w:tcW w:w="6000" w:type="dxa"/>
            <w:vAlign w:val="bottom"/>
            <w:shd w:val="clear" w:color="auto" w:fill="CCEEFF"/>
          </w:tcPr>
          <w:p>
            <w:pPr>
              <w:spacing w:after="0"/>
              <w:rPr>
                <w:sz w:val="20"/>
                <w:szCs w:val="20"/>
                <w:color w:val="auto"/>
              </w:rPr>
            </w:pPr>
            <w:r>
              <w:rPr>
                <w:rFonts w:ascii="Arial" w:cs="Arial" w:eastAsia="Arial" w:hAnsi="Arial"/>
                <w:sz w:val="18"/>
                <w:szCs w:val="18"/>
                <w:color w:val="auto"/>
              </w:rPr>
              <w:t>Due over five years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27,750</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26,070</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27,850</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26,226</w:t>
            </w:r>
          </w:p>
        </w:tc>
        <w:tc>
          <w:tcPr>
            <w:tcW w:w="100" w:type="dxa"/>
            <w:vAlign w:val="bottom"/>
            <w:shd w:val="clear" w:color="auto" w:fill="CCEEFF"/>
          </w:tcPr>
          <w:p>
            <w:pPr>
              <w:spacing w:after="0"/>
              <w:rPr>
                <w:sz w:val="18"/>
                <w:szCs w:val="18"/>
                <w:color w:val="auto"/>
              </w:rPr>
            </w:pPr>
          </w:p>
        </w:tc>
      </w:tr>
      <w:tr>
        <w:trPr>
          <w:trHeight w:val="20"/>
        </w:trPr>
        <w:tc>
          <w:tcPr>
            <w:tcW w:w="60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222"/>
        </w:trPr>
        <w:tc>
          <w:tcPr>
            <w:tcW w:w="600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1,508,081</w:t>
            </w:r>
          </w:p>
        </w:tc>
        <w:tc>
          <w:tcPr>
            <w:tcW w:w="40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w w:val="84"/>
              </w:rPr>
              <w:t>1,511,508</w:t>
            </w:r>
          </w:p>
        </w:tc>
        <w:tc>
          <w:tcPr>
            <w:tcW w:w="3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1,107,302</w:t>
            </w:r>
          </w:p>
        </w:tc>
        <w:tc>
          <w:tcPr>
            <w:tcW w:w="5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1,109,182</w:t>
            </w:r>
          </w:p>
        </w:tc>
        <w:tc>
          <w:tcPr>
            <w:tcW w:w="100" w:type="dxa"/>
            <w:vAlign w:val="bottom"/>
          </w:tcPr>
          <w:p>
            <w:pPr>
              <w:spacing w:after="0"/>
              <w:rPr>
                <w:sz w:val="19"/>
                <w:szCs w:val="19"/>
                <w:color w:val="auto"/>
              </w:rPr>
            </w:pPr>
          </w:p>
        </w:tc>
      </w:tr>
      <w:tr>
        <w:trPr>
          <w:trHeight w:val="20"/>
        </w:trPr>
        <w:tc>
          <w:tcPr>
            <w:tcW w:w="60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300" w:firstLine="456"/>
        <w:spacing w:after="0" w:line="268" w:lineRule="auto"/>
        <w:rPr>
          <w:sz w:val="20"/>
          <w:szCs w:val="20"/>
          <w:color w:val="auto"/>
        </w:rPr>
      </w:pPr>
      <w:r>
        <w:rPr>
          <w:rFonts w:ascii="Arial" w:cs="Arial" w:eastAsia="Arial" w:hAnsi="Arial"/>
          <w:sz w:val="18"/>
          <w:szCs w:val="18"/>
          <w:color w:val="auto"/>
        </w:rPr>
        <w:t>The following table shows the investments’ gross unrealized losses and fair value, aggregated by investment category and length of time that individual securities have been in a continuous unrealized loss position (in thousands):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92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620" w:type="dxa"/>
            <w:vAlign w:val="bottom"/>
            <w:tcBorders>
              <w:bottom w:val="single" w:sz="8" w:color="auto"/>
            </w:tcBorders>
            <w:gridSpan w:val="5"/>
          </w:tcPr>
          <w:p>
            <w:pPr>
              <w:jc w:val="center"/>
              <w:ind w:right="260"/>
              <w:spacing w:after="0"/>
              <w:rPr>
                <w:sz w:val="20"/>
                <w:szCs w:val="20"/>
                <w:color w:val="auto"/>
              </w:rPr>
            </w:pPr>
            <w:r>
              <w:rPr>
                <w:rFonts w:ascii="Arial" w:cs="Arial" w:eastAsia="Arial" w:hAnsi="Arial"/>
                <w:sz w:val="14"/>
                <w:szCs w:val="14"/>
                <w:b w:val="1"/>
                <w:bCs w:val="1"/>
                <w:color w:val="auto"/>
                <w:w w:val="88"/>
              </w:rPr>
              <w:t>April 30, 2011</w:t>
            </w:r>
          </w:p>
        </w:tc>
        <w:tc>
          <w:tcPr>
            <w:tcW w:w="14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5920" w:type="dxa"/>
            <w:vAlign w:val="bottom"/>
          </w:tcPr>
          <w:p>
            <w:pPr>
              <w:spacing w:after="0"/>
              <w:rPr>
                <w:sz w:val="12"/>
                <w:szCs w:val="12"/>
                <w:color w:val="auto"/>
              </w:rPr>
            </w:pPr>
          </w:p>
        </w:tc>
        <w:tc>
          <w:tcPr>
            <w:tcW w:w="1940" w:type="dxa"/>
            <w:vAlign w:val="bottom"/>
            <w:gridSpan w:val="5"/>
          </w:tcPr>
          <w:p>
            <w:pPr>
              <w:ind w:left="220"/>
              <w:spacing w:after="0" w:line="142" w:lineRule="exact"/>
              <w:rPr>
                <w:sz w:val="20"/>
                <w:szCs w:val="20"/>
                <w:color w:val="auto"/>
              </w:rPr>
            </w:pPr>
            <w:r>
              <w:rPr>
                <w:rFonts w:ascii="Arial" w:cs="Arial" w:eastAsia="Arial" w:hAnsi="Arial"/>
                <w:sz w:val="14"/>
                <w:szCs w:val="14"/>
                <w:b w:val="1"/>
                <w:bCs w:val="1"/>
                <w:color w:val="auto"/>
              </w:rPr>
              <w:t>Less than 12 months</w:t>
            </w:r>
          </w:p>
        </w:tc>
        <w:tc>
          <w:tcPr>
            <w:tcW w:w="80" w:type="dxa"/>
            <w:vAlign w:val="bottom"/>
          </w:tcPr>
          <w:p>
            <w:pPr>
              <w:spacing w:after="0"/>
              <w:rPr>
                <w:sz w:val="12"/>
                <w:szCs w:val="12"/>
                <w:color w:val="auto"/>
              </w:rPr>
            </w:pPr>
          </w:p>
        </w:tc>
        <w:tc>
          <w:tcPr>
            <w:tcW w:w="1620" w:type="dxa"/>
            <w:vAlign w:val="bottom"/>
            <w:gridSpan w:val="5"/>
          </w:tcPr>
          <w:p>
            <w:pPr>
              <w:jc w:val="center"/>
              <w:ind w:right="260"/>
              <w:spacing w:after="0" w:line="142" w:lineRule="exact"/>
              <w:rPr>
                <w:sz w:val="20"/>
                <w:szCs w:val="20"/>
                <w:color w:val="auto"/>
              </w:rPr>
            </w:pPr>
            <w:r>
              <w:rPr>
                <w:rFonts w:ascii="Arial" w:cs="Arial" w:eastAsia="Arial" w:hAnsi="Arial"/>
                <w:sz w:val="14"/>
                <w:szCs w:val="14"/>
                <w:b w:val="1"/>
                <w:bCs w:val="1"/>
                <w:color w:val="auto"/>
                <w:w w:val="85"/>
              </w:rPr>
              <w:t>12 months or more</w:t>
            </w:r>
          </w:p>
        </w:tc>
        <w:tc>
          <w:tcPr>
            <w:tcW w:w="140" w:type="dxa"/>
            <w:vAlign w:val="bottom"/>
          </w:tcPr>
          <w:p>
            <w:pPr>
              <w:spacing w:after="0"/>
              <w:rPr>
                <w:sz w:val="12"/>
                <w:szCs w:val="12"/>
                <w:color w:val="auto"/>
              </w:rPr>
            </w:pPr>
          </w:p>
        </w:tc>
        <w:tc>
          <w:tcPr>
            <w:tcW w:w="980" w:type="dxa"/>
            <w:vAlign w:val="bottom"/>
            <w:gridSpan w:val="2"/>
          </w:tcPr>
          <w:p>
            <w:pPr>
              <w:jc w:val="right"/>
              <w:ind w:right="40"/>
              <w:spacing w:after="0" w:line="142" w:lineRule="exact"/>
              <w:rPr>
                <w:sz w:val="20"/>
                <w:szCs w:val="20"/>
                <w:color w:val="auto"/>
              </w:rPr>
            </w:pPr>
            <w:r>
              <w:rPr>
                <w:rFonts w:ascii="Arial" w:cs="Arial" w:eastAsia="Arial" w:hAnsi="Arial"/>
                <w:sz w:val="14"/>
                <w:szCs w:val="14"/>
                <w:b w:val="1"/>
                <w:bCs w:val="1"/>
                <w:color w:val="auto"/>
              </w:rPr>
              <w:t>Total</w:t>
            </w:r>
          </w:p>
        </w:tc>
        <w:tc>
          <w:tcPr>
            <w:tcW w:w="1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5920" w:type="dxa"/>
            <w:vAlign w:val="bottom"/>
          </w:tcPr>
          <w:p>
            <w:pPr>
              <w:spacing w:after="0"/>
              <w:rPr>
                <w:sz w:val="11"/>
                <w:szCs w:val="11"/>
                <w:color w:val="auto"/>
              </w:rPr>
            </w:pPr>
          </w:p>
        </w:tc>
        <w:tc>
          <w:tcPr>
            <w:tcW w:w="680" w:type="dxa"/>
            <w:vAlign w:val="bottom"/>
            <w:tcBorders>
              <w:top w:val="single" w:sz="8" w:color="auto"/>
            </w:tcBorders>
          </w:tcPr>
          <w:p>
            <w:pPr>
              <w:ind w:left="220"/>
              <w:spacing w:after="0" w:line="129" w:lineRule="exact"/>
              <w:rPr>
                <w:sz w:val="20"/>
                <w:szCs w:val="20"/>
                <w:color w:val="auto"/>
              </w:rPr>
            </w:pPr>
            <w:r>
              <w:rPr>
                <w:rFonts w:ascii="Arial" w:cs="Arial" w:eastAsia="Arial" w:hAnsi="Arial"/>
                <w:sz w:val="14"/>
                <w:szCs w:val="14"/>
                <w:b w:val="1"/>
                <w:bCs w:val="1"/>
                <w:color w:val="auto"/>
              </w:rPr>
              <w:t>Fair</w:t>
            </w:r>
          </w:p>
        </w:tc>
        <w:tc>
          <w:tcPr>
            <w:tcW w:w="30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Unrealized</w:t>
            </w:r>
          </w:p>
        </w:tc>
        <w:tc>
          <w:tcPr>
            <w:tcW w:w="32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gridSpan w:val="2"/>
          </w:tcPr>
          <w:p>
            <w:pPr>
              <w:jc w:val="center"/>
              <w:ind w:right="400"/>
              <w:spacing w:after="0" w:line="129" w:lineRule="exact"/>
              <w:rPr>
                <w:sz w:val="20"/>
                <w:szCs w:val="20"/>
                <w:color w:val="auto"/>
              </w:rPr>
            </w:pPr>
            <w:r>
              <w:rPr>
                <w:rFonts w:ascii="Arial" w:cs="Arial" w:eastAsia="Arial" w:hAnsi="Arial"/>
                <w:sz w:val="14"/>
                <w:szCs w:val="14"/>
                <w:b w:val="1"/>
                <w:bCs w:val="1"/>
                <w:color w:val="auto"/>
                <w:w w:val="93"/>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980" w:type="dxa"/>
            <w:vAlign w:val="bottom"/>
            <w:tcBorders>
              <w:top w:val="single" w:sz="8" w:color="auto"/>
            </w:tcBorders>
            <w:gridSpan w:val="2"/>
          </w:tcPr>
          <w:p>
            <w:pPr>
              <w:jc w:val="center"/>
              <w:ind w:right="320"/>
              <w:spacing w:after="0" w:line="129" w:lineRule="exact"/>
              <w:rPr>
                <w:sz w:val="20"/>
                <w:szCs w:val="20"/>
                <w:color w:val="auto"/>
              </w:rPr>
            </w:pPr>
            <w:r>
              <w:rPr>
                <w:rFonts w:ascii="Arial" w:cs="Arial" w:eastAsia="Arial" w:hAnsi="Arial"/>
                <w:sz w:val="14"/>
                <w:szCs w:val="14"/>
                <w:b w:val="1"/>
                <w:bCs w:val="1"/>
                <w:color w:val="auto"/>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920" w:type="dxa"/>
            <w:vAlign w:val="bottom"/>
          </w:tcPr>
          <w:p>
            <w:pPr>
              <w:spacing w:after="0"/>
              <w:rPr>
                <w:sz w:val="14"/>
                <w:szCs w:val="14"/>
                <w:color w:val="auto"/>
              </w:rPr>
            </w:pPr>
          </w:p>
        </w:tc>
        <w:tc>
          <w:tcPr>
            <w:tcW w:w="680" w:type="dxa"/>
            <w:vAlign w:val="bottom"/>
            <w:tcBorders>
              <w:bottom w:val="single" w:sz="8" w:color="auto"/>
            </w:tcBorders>
          </w:tcPr>
          <w:p>
            <w:pPr>
              <w:jc w:val="right"/>
              <w:ind w:right="101"/>
              <w:spacing w:after="0"/>
              <w:rPr>
                <w:sz w:val="20"/>
                <w:szCs w:val="20"/>
                <w:color w:val="auto"/>
              </w:rPr>
            </w:pPr>
            <w:r>
              <w:rPr>
                <w:rFonts w:ascii="Arial" w:cs="Arial" w:eastAsia="Arial" w:hAnsi="Arial"/>
                <w:sz w:val="14"/>
                <w:szCs w:val="14"/>
                <w:b w:val="1"/>
                <w:bCs w:val="1"/>
                <w:color w:val="auto"/>
              </w:rPr>
              <w:t>Value</w:t>
            </w:r>
          </w:p>
        </w:tc>
        <w:tc>
          <w:tcPr>
            <w:tcW w:w="3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center"/>
              <w:ind w:right="16"/>
              <w:spacing w:after="0"/>
              <w:rPr>
                <w:sz w:val="20"/>
                <w:szCs w:val="20"/>
                <w:color w:val="auto"/>
              </w:rPr>
            </w:pPr>
            <w:r>
              <w:rPr>
                <w:rFonts w:ascii="Arial" w:cs="Arial" w:eastAsia="Arial" w:hAnsi="Arial"/>
                <w:sz w:val="14"/>
                <w:szCs w:val="14"/>
                <w:b w:val="1"/>
                <w:bCs w:val="1"/>
                <w:color w:val="auto"/>
                <w:w w:val="78"/>
              </w:rPr>
              <w:t>Losses</w:t>
            </w:r>
          </w:p>
        </w:tc>
        <w:tc>
          <w:tcPr>
            <w:tcW w:w="3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center"/>
              <w:ind w:right="22"/>
              <w:spacing w:after="0"/>
              <w:rPr>
                <w:sz w:val="20"/>
                <w:szCs w:val="20"/>
                <w:color w:val="auto"/>
              </w:rPr>
            </w:pPr>
            <w:r>
              <w:rPr>
                <w:rFonts w:ascii="Arial" w:cs="Arial" w:eastAsia="Arial" w:hAnsi="Arial"/>
                <w:sz w:val="14"/>
                <w:szCs w:val="14"/>
                <w:b w:val="1"/>
                <w:bCs w:val="1"/>
                <w:color w:val="auto"/>
                <w:w w:val="85"/>
              </w:rPr>
              <w:t>Value</w:t>
            </w:r>
          </w:p>
        </w:tc>
        <w:tc>
          <w:tcPr>
            <w:tcW w:w="3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w w:val="99"/>
              </w:rPr>
              <w:t>Losses</w:t>
            </w:r>
          </w:p>
        </w:tc>
        <w:tc>
          <w:tcPr>
            <w:tcW w:w="1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Value</w:t>
            </w:r>
          </w:p>
        </w:tc>
        <w:tc>
          <w:tcPr>
            <w:tcW w:w="3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center"/>
              <w:ind w:right="36"/>
              <w:spacing w:after="0"/>
              <w:rPr>
                <w:sz w:val="20"/>
                <w:szCs w:val="20"/>
                <w:color w:val="auto"/>
              </w:rPr>
            </w:pPr>
            <w:r>
              <w:rPr>
                <w:rFonts w:ascii="Arial" w:cs="Arial" w:eastAsia="Arial" w:hAnsi="Arial"/>
                <w:sz w:val="14"/>
                <w:szCs w:val="14"/>
                <w:b w:val="1"/>
                <w:bCs w:val="1"/>
                <w:color w:val="auto"/>
                <w:w w:val="78"/>
              </w:rPr>
              <w:t>Losses</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5920" w:type="dxa"/>
            <w:vAlign w:val="bottom"/>
            <w:shd w:val="clear" w:color="auto" w:fill="CCEEFF"/>
          </w:tcPr>
          <w:p>
            <w:pPr>
              <w:spacing w:after="0"/>
              <w:rPr>
                <w:sz w:val="20"/>
                <w:szCs w:val="20"/>
                <w:color w:val="auto"/>
              </w:rPr>
            </w:pPr>
            <w:r>
              <w:rPr>
                <w:rFonts w:ascii="Arial" w:cs="Arial" w:eastAsia="Arial" w:hAnsi="Arial"/>
                <w:sz w:val="18"/>
                <w:szCs w:val="18"/>
                <w:color w:val="auto"/>
              </w:rPr>
              <w:t>Corporate debt securities</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$109,741</w:t>
            </w:r>
          </w:p>
        </w:tc>
        <w:tc>
          <w:tcPr>
            <w:tcW w:w="42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99"/>
              </w:rPr>
              <w:t>$</w:t>
            </w:r>
          </w:p>
        </w:tc>
        <w:tc>
          <w:tcPr>
            <w:tcW w:w="8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(90)</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0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70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11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$109,741</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6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(90)</w:t>
            </w:r>
          </w:p>
        </w:tc>
        <w:tc>
          <w:tcPr>
            <w:tcW w:w="0" w:type="dxa"/>
            <w:vAlign w:val="bottom"/>
          </w:tcPr>
          <w:p>
            <w:pPr>
              <w:spacing w:after="0"/>
              <w:rPr>
                <w:sz w:val="1"/>
                <w:szCs w:val="1"/>
                <w:color w:val="auto"/>
              </w:rPr>
            </w:pPr>
          </w:p>
        </w:tc>
      </w:tr>
      <w:tr>
        <w:trPr>
          <w:trHeight w:val="216"/>
        </w:trPr>
        <w:tc>
          <w:tcPr>
            <w:tcW w:w="5920" w:type="dxa"/>
            <w:vAlign w:val="bottom"/>
          </w:tcPr>
          <w:p>
            <w:pPr>
              <w:spacing w:after="0"/>
              <w:rPr>
                <w:sz w:val="20"/>
                <w:szCs w:val="20"/>
                <w:color w:val="auto"/>
              </w:rPr>
            </w:pPr>
            <w:r>
              <w:rPr>
                <w:rFonts w:ascii="Arial" w:cs="Arial" w:eastAsia="Arial" w:hAnsi="Arial"/>
                <w:sz w:val="18"/>
                <w:szCs w:val="18"/>
                <w:color w:val="auto"/>
              </w:rPr>
              <w:t>U.S. government and agencies</w:t>
            </w:r>
          </w:p>
        </w:tc>
        <w:tc>
          <w:tcPr>
            <w:tcW w:w="680" w:type="dxa"/>
            <w:vAlign w:val="bottom"/>
          </w:tcPr>
          <w:p>
            <w:pPr>
              <w:jc w:val="right"/>
              <w:spacing w:after="0"/>
              <w:rPr>
                <w:sz w:val="20"/>
                <w:szCs w:val="20"/>
                <w:color w:val="auto"/>
              </w:rPr>
            </w:pPr>
            <w:r>
              <w:rPr>
                <w:rFonts w:ascii="Arial" w:cs="Arial" w:eastAsia="Arial" w:hAnsi="Arial"/>
                <w:sz w:val="18"/>
                <w:szCs w:val="18"/>
                <w:color w:val="auto"/>
              </w:rPr>
              <w:t>23,219</w:t>
            </w: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2"/>
          </w:tcPr>
          <w:p>
            <w:pPr>
              <w:jc w:val="right"/>
              <w:ind w:right="260"/>
              <w:spacing w:after="0"/>
              <w:rPr>
                <w:sz w:val="20"/>
                <w:szCs w:val="20"/>
                <w:color w:val="auto"/>
              </w:rPr>
            </w:pPr>
            <w:r>
              <w:rPr>
                <w:rFonts w:ascii="Arial" w:cs="Arial" w:eastAsia="Arial" w:hAnsi="Arial"/>
                <w:sz w:val="18"/>
                <w:szCs w:val="18"/>
                <w:color w:val="auto"/>
              </w:rPr>
              <w:t>(16)</w:t>
            </w:r>
          </w:p>
        </w:tc>
        <w:tc>
          <w:tcPr>
            <w:tcW w:w="80" w:type="dxa"/>
            <w:vAlign w:val="bottom"/>
          </w:tcPr>
          <w:p>
            <w:pPr>
              <w:spacing w:after="0"/>
              <w:rPr>
                <w:sz w:val="18"/>
                <w:szCs w:val="18"/>
                <w:color w:val="auto"/>
              </w:rPr>
            </w:pPr>
          </w:p>
        </w:tc>
        <w:tc>
          <w:tcPr>
            <w:tcW w:w="80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700" w:type="dxa"/>
            <w:vAlign w:val="bottom"/>
            <w:gridSpan w:val="2"/>
          </w:tcPr>
          <w:p>
            <w:pPr>
              <w:ind w:left="260"/>
              <w:spacing w:after="0"/>
              <w:rPr>
                <w:sz w:val="20"/>
                <w:szCs w:val="20"/>
                <w:color w:val="auto"/>
              </w:rPr>
            </w:pPr>
            <w:r>
              <w:rPr>
                <w:rFonts w:ascii="Arial" w:cs="Arial" w:eastAsia="Arial" w:hAnsi="Arial"/>
                <w:sz w:val="18"/>
                <w:szCs w:val="18"/>
                <w:color w:val="auto"/>
              </w:rPr>
              <w:t>—</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color w:val="auto"/>
              </w:rPr>
              <w:t>23,219</w:t>
            </w:r>
          </w:p>
        </w:tc>
        <w:tc>
          <w:tcPr>
            <w:tcW w:w="100" w:type="dxa"/>
            <w:vAlign w:val="bottom"/>
          </w:tcPr>
          <w:p>
            <w:pPr>
              <w:spacing w:after="0"/>
              <w:rPr>
                <w:sz w:val="18"/>
                <w:szCs w:val="18"/>
                <w:color w:val="auto"/>
              </w:rPr>
            </w:pPr>
          </w:p>
        </w:tc>
        <w:tc>
          <w:tcPr>
            <w:tcW w:w="640" w:type="dxa"/>
            <w:vAlign w:val="bottom"/>
            <w:gridSpan w:val="2"/>
          </w:tcPr>
          <w:p>
            <w:pPr>
              <w:jc w:val="right"/>
              <w:ind w:right="40"/>
              <w:spacing w:after="0"/>
              <w:rPr>
                <w:sz w:val="20"/>
                <w:szCs w:val="20"/>
                <w:color w:val="auto"/>
              </w:rPr>
            </w:pPr>
            <w:r>
              <w:rPr>
                <w:rFonts w:ascii="Arial" w:cs="Arial" w:eastAsia="Arial" w:hAnsi="Arial"/>
                <w:sz w:val="18"/>
                <w:szCs w:val="18"/>
                <w:color w:val="auto"/>
              </w:rPr>
              <w:t>(16)</w:t>
            </w:r>
          </w:p>
        </w:tc>
        <w:tc>
          <w:tcPr>
            <w:tcW w:w="0" w:type="dxa"/>
            <w:vAlign w:val="bottom"/>
          </w:tcPr>
          <w:p>
            <w:pPr>
              <w:spacing w:after="0"/>
              <w:rPr>
                <w:sz w:val="1"/>
                <w:szCs w:val="1"/>
                <w:color w:val="auto"/>
              </w:rPr>
            </w:pPr>
          </w:p>
        </w:tc>
      </w:tr>
      <w:tr>
        <w:trPr>
          <w:trHeight w:val="216"/>
        </w:trPr>
        <w:tc>
          <w:tcPr>
            <w:tcW w:w="5920" w:type="dxa"/>
            <w:vAlign w:val="bottom"/>
            <w:shd w:val="clear" w:color="auto" w:fill="CCEEFF"/>
          </w:tcPr>
          <w:p>
            <w:pPr>
              <w:spacing w:after="0"/>
              <w:rPr>
                <w:sz w:val="20"/>
                <w:szCs w:val="20"/>
                <w:color w:val="auto"/>
              </w:rPr>
            </w:pPr>
            <w:r>
              <w:rPr>
                <w:rFonts w:ascii="Arial" w:cs="Arial" w:eastAsia="Arial" w:hAnsi="Arial"/>
                <w:sz w:val="18"/>
                <w:szCs w:val="18"/>
                <w:color w:val="auto"/>
              </w:rPr>
              <w:t>Auction rate securities</w:t>
            </w:r>
          </w:p>
        </w:tc>
        <w:tc>
          <w:tcPr>
            <w:tcW w:w="680" w:type="dxa"/>
            <w:vAlign w:val="bottom"/>
            <w:shd w:val="clear" w:color="auto" w:fill="CCEEFF"/>
          </w:tcPr>
          <w:p>
            <w:pPr>
              <w:jc w:val="right"/>
              <w:ind w:right="1"/>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26,070</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(1,680)</w:t>
            </w:r>
          </w:p>
        </w:tc>
        <w:tc>
          <w:tcPr>
            <w:tcW w:w="11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26,070</w:t>
            </w: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(1,680)</w:t>
            </w:r>
          </w:p>
        </w:tc>
        <w:tc>
          <w:tcPr>
            <w:tcW w:w="0" w:type="dxa"/>
            <w:vAlign w:val="bottom"/>
          </w:tcPr>
          <w:p>
            <w:pPr>
              <w:spacing w:after="0"/>
              <w:rPr>
                <w:sz w:val="1"/>
                <w:szCs w:val="1"/>
                <w:color w:val="auto"/>
              </w:rPr>
            </w:pPr>
          </w:p>
        </w:tc>
      </w:tr>
      <w:tr>
        <w:trPr>
          <w:trHeight w:val="20"/>
        </w:trPr>
        <w:tc>
          <w:tcPr>
            <w:tcW w:w="5920" w:type="dxa"/>
            <w:vAlign w:val="bottom"/>
            <w:vMerge w:val="restart"/>
          </w:tcPr>
          <w:p>
            <w:pPr>
              <w:spacing w:after="0"/>
              <w:rPr>
                <w:sz w:val="20"/>
                <w:szCs w:val="20"/>
                <w:color w:val="auto"/>
              </w:rPr>
            </w:pPr>
            <w:r>
              <w:rPr>
                <w:rFonts w:ascii="Arial" w:cs="Arial" w:eastAsia="Arial" w:hAnsi="Arial"/>
                <w:sz w:val="18"/>
                <w:szCs w:val="18"/>
                <w:color w:val="auto"/>
              </w:rPr>
              <w:t>Total securities</w:t>
            </w:r>
          </w:p>
        </w:tc>
        <w:tc>
          <w:tcPr>
            <w:tcW w:w="6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920" w:type="dxa"/>
            <w:vAlign w:val="bottom"/>
            <w:vMerge w:val="continue"/>
          </w:tcPr>
          <w:p>
            <w:pPr>
              <w:spacing w:after="0"/>
              <w:rPr>
                <w:sz w:val="19"/>
                <w:szCs w:val="19"/>
                <w:color w:val="auto"/>
              </w:rPr>
            </w:pPr>
          </w:p>
        </w:tc>
        <w:tc>
          <w:tcPr>
            <w:tcW w:w="680" w:type="dxa"/>
            <w:vAlign w:val="bottom"/>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132,960</w:t>
            </w:r>
          </w:p>
        </w:tc>
        <w:tc>
          <w:tcPr>
            <w:tcW w:w="300" w:type="dxa"/>
            <w:vAlign w:val="bottom"/>
          </w:tcPr>
          <w:p>
            <w:pPr>
              <w:spacing w:after="0"/>
              <w:rPr>
                <w:sz w:val="19"/>
                <w:szCs w:val="19"/>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tcPr>
          <w:p>
            <w:pPr>
              <w:jc w:val="right"/>
              <w:ind w:right="260"/>
              <w:spacing w:after="0"/>
              <w:rPr>
                <w:sz w:val="20"/>
                <w:szCs w:val="20"/>
                <w:color w:val="auto"/>
              </w:rPr>
            </w:pPr>
            <w:r>
              <w:rPr>
                <w:rFonts w:ascii="Arial" w:cs="Arial" w:eastAsia="Arial" w:hAnsi="Arial"/>
                <w:sz w:val="18"/>
                <w:szCs w:val="18"/>
                <w:color w:val="auto"/>
              </w:rPr>
              <w:t>(106)</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800" w:type="dxa"/>
            <w:vAlign w:val="bottom"/>
            <w:gridSpan w:val="2"/>
          </w:tcPr>
          <w:p>
            <w:pPr>
              <w:jc w:val="right"/>
              <w:ind w:right="300"/>
              <w:spacing w:after="0"/>
              <w:rPr>
                <w:sz w:val="20"/>
                <w:szCs w:val="20"/>
                <w:color w:val="auto"/>
              </w:rPr>
            </w:pPr>
            <w:r>
              <w:rPr>
                <w:rFonts w:ascii="Arial" w:cs="Arial" w:eastAsia="Arial" w:hAnsi="Arial"/>
                <w:sz w:val="18"/>
                <w:szCs w:val="18"/>
                <w:color w:val="auto"/>
                <w:w w:val="87"/>
              </w:rPr>
              <w:t>26,070</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700" w:type="dxa"/>
            <w:vAlign w:val="bottom"/>
            <w:gridSpan w:val="2"/>
          </w:tcPr>
          <w:p>
            <w:pPr>
              <w:ind w:left="60"/>
              <w:spacing w:after="0"/>
              <w:rPr>
                <w:sz w:val="20"/>
                <w:szCs w:val="20"/>
                <w:color w:val="auto"/>
              </w:rPr>
            </w:pPr>
            <w:r>
              <w:rPr>
                <w:rFonts w:ascii="Arial" w:cs="Arial" w:eastAsia="Arial" w:hAnsi="Arial"/>
                <w:sz w:val="18"/>
                <w:szCs w:val="18"/>
                <w:color w:val="auto"/>
              </w:rPr>
              <w:t>(1,680)</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159,030</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640" w:type="dxa"/>
            <w:vAlign w:val="bottom"/>
            <w:gridSpan w:val="2"/>
          </w:tcPr>
          <w:p>
            <w:pPr>
              <w:jc w:val="right"/>
              <w:ind w:right="40"/>
              <w:spacing w:after="0"/>
              <w:rPr>
                <w:sz w:val="20"/>
                <w:szCs w:val="20"/>
                <w:color w:val="auto"/>
              </w:rPr>
            </w:pPr>
            <w:r>
              <w:rPr>
                <w:rFonts w:ascii="Arial" w:cs="Arial" w:eastAsia="Arial" w:hAnsi="Arial"/>
                <w:sz w:val="18"/>
                <w:szCs w:val="18"/>
                <w:color w:val="auto"/>
              </w:rPr>
              <w:t>(1,786)</w:t>
            </w:r>
          </w:p>
        </w:tc>
        <w:tc>
          <w:tcPr>
            <w:tcW w:w="0" w:type="dxa"/>
            <w:vAlign w:val="bottom"/>
          </w:tcPr>
          <w:p>
            <w:pPr>
              <w:spacing w:after="0"/>
              <w:rPr>
                <w:sz w:val="1"/>
                <w:szCs w:val="1"/>
                <w:color w:val="auto"/>
              </w:rPr>
            </w:pPr>
          </w:p>
        </w:tc>
      </w:tr>
      <w:tr>
        <w:trPr>
          <w:trHeight w:val="20"/>
        </w:trPr>
        <w:tc>
          <w:tcPr>
            <w:tcW w:w="59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60"/>
        </w:trPr>
        <w:tc>
          <w:tcPr>
            <w:tcW w:w="5920" w:type="dxa"/>
            <w:vAlign w:val="bottom"/>
          </w:tcPr>
          <w:p>
            <w:pPr>
              <w:spacing w:after="0"/>
              <w:rPr>
                <w:sz w:val="24"/>
                <w:szCs w:val="24"/>
                <w:color w:val="auto"/>
              </w:rPr>
            </w:pPr>
          </w:p>
        </w:tc>
        <w:tc>
          <w:tcPr>
            <w:tcW w:w="680" w:type="dxa"/>
            <w:vAlign w:val="bottom"/>
            <w:tcBorders>
              <w:bottom w:val="single" w:sz="8" w:color="auto"/>
            </w:tcBorders>
          </w:tcPr>
          <w:p>
            <w:pPr>
              <w:spacing w:after="0"/>
              <w:rPr>
                <w:sz w:val="24"/>
                <w:szCs w:val="24"/>
                <w:color w:val="auto"/>
              </w:rPr>
            </w:pPr>
          </w:p>
        </w:tc>
        <w:tc>
          <w:tcPr>
            <w:tcW w:w="30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520" w:type="dxa"/>
            <w:vAlign w:val="bottom"/>
            <w:tcBorders>
              <w:bottom w:val="single" w:sz="8" w:color="auto"/>
            </w:tcBorders>
          </w:tcPr>
          <w:p>
            <w:pPr>
              <w:spacing w:after="0"/>
              <w:rPr>
                <w:sz w:val="24"/>
                <w:szCs w:val="24"/>
                <w:color w:val="auto"/>
              </w:rPr>
            </w:pPr>
          </w:p>
        </w:tc>
        <w:tc>
          <w:tcPr>
            <w:tcW w:w="32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1620" w:type="dxa"/>
            <w:vAlign w:val="bottom"/>
            <w:tcBorders>
              <w:bottom w:val="single" w:sz="8" w:color="auto"/>
            </w:tcBorders>
            <w:gridSpan w:val="5"/>
          </w:tcPr>
          <w:p>
            <w:pPr>
              <w:jc w:val="center"/>
              <w:ind w:right="280"/>
              <w:spacing w:after="0"/>
              <w:rPr>
                <w:sz w:val="20"/>
                <w:szCs w:val="20"/>
                <w:color w:val="auto"/>
              </w:rPr>
            </w:pPr>
            <w:r>
              <w:rPr>
                <w:rFonts w:ascii="Arial" w:cs="Arial" w:eastAsia="Arial" w:hAnsi="Arial"/>
                <w:sz w:val="14"/>
                <w:szCs w:val="14"/>
                <w:b w:val="1"/>
                <w:bCs w:val="1"/>
                <w:color w:val="auto"/>
                <w:w w:val="87"/>
              </w:rPr>
              <w:t>January 29, 2011</w:t>
            </w:r>
          </w:p>
        </w:tc>
        <w:tc>
          <w:tcPr>
            <w:tcW w:w="140" w:type="dxa"/>
            <w:vAlign w:val="bottom"/>
            <w:tcBorders>
              <w:bottom w:val="single" w:sz="8" w:color="auto"/>
            </w:tcBorders>
          </w:tcPr>
          <w:p>
            <w:pPr>
              <w:spacing w:after="0"/>
              <w:rPr>
                <w:sz w:val="24"/>
                <w:szCs w:val="24"/>
                <w:color w:val="auto"/>
              </w:rPr>
            </w:pPr>
          </w:p>
        </w:tc>
        <w:tc>
          <w:tcPr>
            <w:tcW w:w="660" w:type="dxa"/>
            <w:vAlign w:val="bottom"/>
            <w:tcBorders>
              <w:bottom w:val="single" w:sz="8" w:color="auto"/>
            </w:tcBorders>
          </w:tcPr>
          <w:p>
            <w:pPr>
              <w:spacing w:after="0"/>
              <w:rPr>
                <w:sz w:val="24"/>
                <w:szCs w:val="24"/>
                <w:color w:val="auto"/>
              </w:rPr>
            </w:pPr>
          </w:p>
        </w:tc>
        <w:tc>
          <w:tcPr>
            <w:tcW w:w="32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4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2"/>
        </w:trPr>
        <w:tc>
          <w:tcPr>
            <w:tcW w:w="5920" w:type="dxa"/>
            <w:vAlign w:val="bottom"/>
          </w:tcPr>
          <w:p>
            <w:pPr>
              <w:spacing w:after="0"/>
              <w:rPr>
                <w:sz w:val="12"/>
                <w:szCs w:val="12"/>
                <w:color w:val="auto"/>
              </w:rPr>
            </w:pPr>
          </w:p>
        </w:tc>
        <w:tc>
          <w:tcPr>
            <w:tcW w:w="1940" w:type="dxa"/>
            <w:vAlign w:val="bottom"/>
            <w:gridSpan w:val="5"/>
          </w:tcPr>
          <w:p>
            <w:pPr>
              <w:ind w:left="220"/>
              <w:spacing w:after="0" w:line="142" w:lineRule="exact"/>
              <w:rPr>
                <w:sz w:val="20"/>
                <w:szCs w:val="20"/>
                <w:color w:val="auto"/>
              </w:rPr>
            </w:pPr>
            <w:r>
              <w:rPr>
                <w:rFonts w:ascii="Arial" w:cs="Arial" w:eastAsia="Arial" w:hAnsi="Arial"/>
                <w:sz w:val="14"/>
                <w:szCs w:val="14"/>
                <w:b w:val="1"/>
                <w:bCs w:val="1"/>
                <w:color w:val="auto"/>
              </w:rPr>
              <w:t>Less than 12 months</w:t>
            </w:r>
          </w:p>
        </w:tc>
        <w:tc>
          <w:tcPr>
            <w:tcW w:w="80" w:type="dxa"/>
            <w:vAlign w:val="bottom"/>
          </w:tcPr>
          <w:p>
            <w:pPr>
              <w:spacing w:after="0"/>
              <w:rPr>
                <w:sz w:val="12"/>
                <w:szCs w:val="12"/>
                <w:color w:val="auto"/>
              </w:rPr>
            </w:pPr>
          </w:p>
        </w:tc>
        <w:tc>
          <w:tcPr>
            <w:tcW w:w="1620" w:type="dxa"/>
            <w:vAlign w:val="bottom"/>
            <w:gridSpan w:val="5"/>
          </w:tcPr>
          <w:p>
            <w:pPr>
              <w:jc w:val="center"/>
              <w:ind w:right="260"/>
              <w:spacing w:after="0" w:line="142" w:lineRule="exact"/>
              <w:rPr>
                <w:sz w:val="20"/>
                <w:szCs w:val="20"/>
                <w:color w:val="auto"/>
              </w:rPr>
            </w:pPr>
            <w:r>
              <w:rPr>
                <w:rFonts w:ascii="Arial" w:cs="Arial" w:eastAsia="Arial" w:hAnsi="Arial"/>
                <w:sz w:val="14"/>
                <w:szCs w:val="14"/>
                <w:b w:val="1"/>
                <w:bCs w:val="1"/>
                <w:color w:val="auto"/>
                <w:w w:val="85"/>
              </w:rPr>
              <w:t>12 months or more</w:t>
            </w:r>
          </w:p>
        </w:tc>
        <w:tc>
          <w:tcPr>
            <w:tcW w:w="140" w:type="dxa"/>
            <w:vAlign w:val="bottom"/>
          </w:tcPr>
          <w:p>
            <w:pPr>
              <w:spacing w:after="0"/>
              <w:rPr>
                <w:sz w:val="12"/>
                <w:szCs w:val="12"/>
                <w:color w:val="auto"/>
              </w:rPr>
            </w:pPr>
          </w:p>
        </w:tc>
        <w:tc>
          <w:tcPr>
            <w:tcW w:w="980" w:type="dxa"/>
            <w:vAlign w:val="bottom"/>
            <w:gridSpan w:val="2"/>
          </w:tcPr>
          <w:p>
            <w:pPr>
              <w:jc w:val="right"/>
              <w:ind w:right="40"/>
              <w:spacing w:after="0" w:line="142" w:lineRule="exact"/>
              <w:rPr>
                <w:sz w:val="20"/>
                <w:szCs w:val="20"/>
                <w:color w:val="auto"/>
              </w:rPr>
            </w:pPr>
            <w:r>
              <w:rPr>
                <w:rFonts w:ascii="Arial" w:cs="Arial" w:eastAsia="Arial" w:hAnsi="Arial"/>
                <w:sz w:val="14"/>
                <w:szCs w:val="14"/>
                <w:b w:val="1"/>
                <w:bCs w:val="1"/>
                <w:color w:val="auto"/>
              </w:rPr>
              <w:t>Total</w:t>
            </w:r>
          </w:p>
        </w:tc>
        <w:tc>
          <w:tcPr>
            <w:tcW w:w="1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5920" w:type="dxa"/>
            <w:vAlign w:val="bottom"/>
          </w:tcPr>
          <w:p>
            <w:pPr>
              <w:spacing w:after="0"/>
              <w:rPr>
                <w:sz w:val="11"/>
                <w:szCs w:val="11"/>
                <w:color w:val="auto"/>
              </w:rPr>
            </w:pPr>
          </w:p>
        </w:tc>
        <w:tc>
          <w:tcPr>
            <w:tcW w:w="680" w:type="dxa"/>
            <w:vAlign w:val="bottom"/>
            <w:tcBorders>
              <w:top w:val="single" w:sz="8" w:color="auto"/>
            </w:tcBorders>
          </w:tcPr>
          <w:p>
            <w:pPr>
              <w:ind w:left="220"/>
              <w:spacing w:after="0" w:line="129" w:lineRule="exact"/>
              <w:rPr>
                <w:sz w:val="20"/>
                <w:szCs w:val="20"/>
                <w:color w:val="auto"/>
              </w:rPr>
            </w:pPr>
            <w:r>
              <w:rPr>
                <w:rFonts w:ascii="Arial" w:cs="Arial" w:eastAsia="Arial" w:hAnsi="Arial"/>
                <w:sz w:val="14"/>
                <w:szCs w:val="14"/>
                <w:b w:val="1"/>
                <w:bCs w:val="1"/>
                <w:color w:val="auto"/>
              </w:rPr>
              <w:t>Fair</w:t>
            </w:r>
          </w:p>
        </w:tc>
        <w:tc>
          <w:tcPr>
            <w:tcW w:w="30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Unrealized</w:t>
            </w:r>
          </w:p>
        </w:tc>
        <w:tc>
          <w:tcPr>
            <w:tcW w:w="32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gridSpan w:val="2"/>
          </w:tcPr>
          <w:p>
            <w:pPr>
              <w:jc w:val="center"/>
              <w:ind w:right="400"/>
              <w:spacing w:after="0" w:line="129" w:lineRule="exact"/>
              <w:rPr>
                <w:sz w:val="20"/>
                <w:szCs w:val="20"/>
                <w:color w:val="auto"/>
              </w:rPr>
            </w:pPr>
            <w:r>
              <w:rPr>
                <w:rFonts w:ascii="Arial" w:cs="Arial" w:eastAsia="Arial" w:hAnsi="Arial"/>
                <w:sz w:val="14"/>
                <w:szCs w:val="14"/>
                <w:b w:val="1"/>
                <w:bCs w:val="1"/>
                <w:color w:val="auto"/>
                <w:w w:val="93"/>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980" w:type="dxa"/>
            <w:vAlign w:val="bottom"/>
            <w:tcBorders>
              <w:top w:val="single" w:sz="8" w:color="auto"/>
            </w:tcBorders>
            <w:gridSpan w:val="2"/>
          </w:tcPr>
          <w:p>
            <w:pPr>
              <w:jc w:val="center"/>
              <w:ind w:right="320"/>
              <w:spacing w:after="0" w:line="129" w:lineRule="exact"/>
              <w:rPr>
                <w:sz w:val="20"/>
                <w:szCs w:val="20"/>
                <w:color w:val="auto"/>
              </w:rPr>
            </w:pPr>
            <w:r>
              <w:rPr>
                <w:rFonts w:ascii="Arial" w:cs="Arial" w:eastAsia="Arial" w:hAnsi="Arial"/>
                <w:sz w:val="14"/>
                <w:szCs w:val="14"/>
                <w:b w:val="1"/>
                <w:bCs w:val="1"/>
                <w:color w:val="auto"/>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920" w:type="dxa"/>
            <w:vAlign w:val="bottom"/>
          </w:tcPr>
          <w:p>
            <w:pPr>
              <w:spacing w:after="0"/>
              <w:rPr>
                <w:sz w:val="14"/>
                <w:szCs w:val="14"/>
                <w:color w:val="auto"/>
              </w:rPr>
            </w:pPr>
          </w:p>
        </w:tc>
        <w:tc>
          <w:tcPr>
            <w:tcW w:w="680" w:type="dxa"/>
            <w:vAlign w:val="bottom"/>
            <w:tcBorders>
              <w:bottom w:val="single" w:sz="8" w:color="auto"/>
            </w:tcBorders>
          </w:tcPr>
          <w:p>
            <w:pPr>
              <w:jc w:val="right"/>
              <w:ind w:right="101"/>
              <w:spacing w:after="0"/>
              <w:rPr>
                <w:sz w:val="20"/>
                <w:szCs w:val="20"/>
                <w:color w:val="auto"/>
              </w:rPr>
            </w:pPr>
            <w:r>
              <w:rPr>
                <w:rFonts w:ascii="Arial" w:cs="Arial" w:eastAsia="Arial" w:hAnsi="Arial"/>
                <w:sz w:val="14"/>
                <w:szCs w:val="14"/>
                <w:b w:val="1"/>
                <w:bCs w:val="1"/>
                <w:color w:val="auto"/>
              </w:rPr>
              <w:t>Value</w:t>
            </w:r>
          </w:p>
        </w:tc>
        <w:tc>
          <w:tcPr>
            <w:tcW w:w="3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center"/>
              <w:ind w:right="16"/>
              <w:spacing w:after="0"/>
              <w:rPr>
                <w:sz w:val="20"/>
                <w:szCs w:val="20"/>
                <w:color w:val="auto"/>
              </w:rPr>
            </w:pPr>
            <w:r>
              <w:rPr>
                <w:rFonts w:ascii="Arial" w:cs="Arial" w:eastAsia="Arial" w:hAnsi="Arial"/>
                <w:sz w:val="14"/>
                <w:szCs w:val="14"/>
                <w:b w:val="1"/>
                <w:bCs w:val="1"/>
                <w:color w:val="auto"/>
                <w:w w:val="79"/>
              </w:rPr>
              <w:t>Loss</w:t>
            </w:r>
          </w:p>
        </w:tc>
        <w:tc>
          <w:tcPr>
            <w:tcW w:w="3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center"/>
              <w:ind w:right="22"/>
              <w:spacing w:after="0"/>
              <w:rPr>
                <w:sz w:val="20"/>
                <w:szCs w:val="20"/>
                <w:color w:val="auto"/>
              </w:rPr>
            </w:pPr>
            <w:r>
              <w:rPr>
                <w:rFonts w:ascii="Arial" w:cs="Arial" w:eastAsia="Arial" w:hAnsi="Arial"/>
                <w:sz w:val="14"/>
                <w:szCs w:val="14"/>
                <w:b w:val="1"/>
                <w:bCs w:val="1"/>
                <w:color w:val="auto"/>
                <w:w w:val="85"/>
              </w:rPr>
              <w:t>Value</w:t>
            </w:r>
          </w:p>
        </w:tc>
        <w:tc>
          <w:tcPr>
            <w:tcW w:w="3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ind w:left="80"/>
              <w:spacing w:after="0"/>
              <w:rPr>
                <w:sz w:val="20"/>
                <w:szCs w:val="20"/>
                <w:color w:val="auto"/>
              </w:rPr>
            </w:pPr>
            <w:r>
              <w:rPr>
                <w:rFonts w:ascii="Arial" w:cs="Arial" w:eastAsia="Arial" w:hAnsi="Arial"/>
                <w:sz w:val="14"/>
                <w:szCs w:val="14"/>
                <w:b w:val="1"/>
                <w:bCs w:val="1"/>
                <w:color w:val="auto"/>
              </w:rPr>
              <w:t>Loss</w:t>
            </w:r>
          </w:p>
        </w:tc>
        <w:tc>
          <w:tcPr>
            <w:tcW w:w="1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Value</w:t>
            </w:r>
          </w:p>
        </w:tc>
        <w:tc>
          <w:tcPr>
            <w:tcW w:w="3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center"/>
              <w:ind w:right="36"/>
              <w:spacing w:after="0"/>
              <w:rPr>
                <w:sz w:val="20"/>
                <w:szCs w:val="20"/>
                <w:color w:val="auto"/>
              </w:rPr>
            </w:pPr>
            <w:r>
              <w:rPr>
                <w:rFonts w:ascii="Arial" w:cs="Arial" w:eastAsia="Arial" w:hAnsi="Arial"/>
                <w:sz w:val="14"/>
                <w:szCs w:val="14"/>
                <w:b w:val="1"/>
                <w:bCs w:val="1"/>
                <w:color w:val="auto"/>
                <w:w w:val="79"/>
              </w:rPr>
              <w:t>Loss</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5920" w:type="dxa"/>
            <w:vAlign w:val="bottom"/>
            <w:shd w:val="clear" w:color="auto" w:fill="CCEEFF"/>
          </w:tcPr>
          <w:p>
            <w:pPr>
              <w:spacing w:after="0"/>
              <w:rPr>
                <w:sz w:val="20"/>
                <w:szCs w:val="20"/>
                <w:color w:val="auto"/>
              </w:rPr>
            </w:pPr>
            <w:r>
              <w:rPr>
                <w:rFonts w:ascii="Arial" w:cs="Arial" w:eastAsia="Arial" w:hAnsi="Arial"/>
                <w:sz w:val="18"/>
                <w:szCs w:val="18"/>
                <w:color w:val="auto"/>
              </w:rPr>
              <w:t>Corporate debt securities</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2"/>
              </w:rPr>
              <w:t>$ 113,081</w:t>
            </w:r>
          </w:p>
        </w:tc>
        <w:tc>
          <w:tcPr>
            <w:tcW w:w="42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99"/>
              </w:rPr>
              <w:t>$</w:t>
            </w:r>
          </w:p>
        </w:tc>
        <w:tc>
          <w:tcPr>
            <w:tcW w:w="8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(213)</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0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70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11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w w:val="97"/>
              </w:rPr>
              <w:t>$ 113,081</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6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(213)</w:t>
            </w:r>
          </w:p>
        </w:tc>
        <w:tc>
          <w:tcPr>
            <w:tcW w:w="0" w:type="dxa"/>
            <w:vAlign w:val="bottom"/>
          </w:tcPr>
          <w:p>
            <w:pPr>
              <w:spacing w:after="0"/>
              <w:rPr>
                <w:sz w:val="1"/>
                <w:szCs w:val="1"/>
                <w:color w:val="auto"/>
              </w:rPr>
            </w:pPr>
          </w:p>
        </w:tc>
      </w:tr>
      <w:tr>
        <w:trPr>
          <w:trHeight w:val="216"/>
        </w:trPr>
        <w:tc>
          <w:tcPr>
            <w:tcW w:w="5920" w:type="dxa"/>
            <w:vAlign w:val="bottom"/>
          </w:tcPr>
          <w:p>
            <w:pPr>
              <w:spacing w:after="0"/>
              <w:rPr>
                <w:sz w:val="20"/>
                <w:szCs w:val="20"/>
                <w:color w:val="auto"/>
              </w:rPr>
            </w:pPr>
            <w:r>
              <w:rPr>
                <w:rFonts w:ascii="Arial" w:cs="Arial" w:eastAsia="Arial" w:hAnsi="Arial"/>
                <w:sz w:val="18"/>
                <w:szCs w:val="18"/>
                <w:color w:val="auto"/>
              </w:rPr>
              <w:t>U.S. government and agencies</w:t>
            </w:r>
          </w:p>
        </w:tc>
        <w:tc>
          <w:tcPr>
            <w:tcW w:w="680" w:type="dxa"/>
            <w:vAlign w:val="bottom"/>
          </w:tcPr>
          <w:p>
            <w:pPr>
              <w:jc w:val="right"/>
              <w:spacing w:after="0"/>
              <w:rPr>
                <w:sz w:val="20"/>
                <w:szCs w:val="20"/>
                <w:color w:val="auto"/>
              </w:rPr>
            </w:pPr>
            <w:r>
              <w:rPr>
                <w:rFonts w:ascii="Arial" w:cs="Arial" w:eastAsia="Arial" w:hAnsi="Arial"/>
                <w:sz w:val="18"/>
                <w:szCs w:val="18"/>
                <w:color w:val="auto"/>
              </w:rPr>
              <w:t>91,962</w:t>
            </w: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2"/>
          </w:tcPr>
          <w:p>
            <w:pPr>
              <w:jc w:val="right"/>
              <w:ind w:right="260"/>
              <w:spacing w:after="0"/>
              <w:rPr>
                <w:sz w:val="20"/>
                <w:szCs w:val="20"/>
                <w:color w:val="auto"/>
              </w:rPr>
            </w:pPr>
            <w:r>
              <w:rPr>
                <w:rFonts w:ascii="Arial" w:cs="Arial" w:eastAsia="Arial" w:hAnsi="Arial"/>
                <w:sz w:val="18"/>
                <w:szCs w:val="18"/>
                <w:color w:val="auto"/>
              </w:rPr>
              <w:t>(52)</w:t>
            </w:r>
          </w:p>
        </w:tc>
        <w:tc>
          <w:tcPr>
            <w:tcW w:w="80" w:type="dxa"/>
            <w:vAlign w:val="bottom"/>
          </w:tcPr>
          <w:p>
            <w:pPr>
              <w:spacing w:after="0"/>
              <w:rPr>
                <w:sz w:val="18"/>
                <w:szCs w:val="18"/>
                <w:color w:val="auto"/>
              </w:rPr>
            </w:pPr>
          </w:p>
        </w:tc>
        <w:tc>
          <w:tcPr>
            <w:tcW w:w="80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700" w:type="dxa"/>
            <w:vAlign w:val="bottom"/>
            <w:gridSpan w:val="2"/>
          </w:tcPr>
          <w:p>
            <w:pPr>
              <w:ind w:left="260"/>
              <w:spacing w:after="0"/>
              <w:rPr>
                <w:sz w:val="20"/>
                <w:szCs w:val="20"/>
                <w:color w:val="auto"/>
              </w:rPr>
            </w:pPr>
            <w:r>
              <w:rPr>
                <w:rFonts w:ascii="Arial" w:cs="Arial" w:eastAsia="Arial" w:hAnsi="Arial"/>
                <w:sz w:val="18"/>
                <w:szCs w:val="18"/>
                <w:color w:val="auto"/>
              </w:rPr>
              <w:t>—</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color w:val="auto"/>
              </w:rPr>
              <w:t>91,962</w:t>
            </w:r>
          </w:p>
        </w:tc>
        <w:tc>
          <w:tcPr>
            <w:tcW w:w="100" w:type="dxa"/>
            <w:vAlign w:val="bottom"/>
          </w:tcPr>
          <w:p>
            <w:pPr>
              <w:spacing w:after="0"/>
              <w:rPr>
                <w:sz w:val="18"/>
                <w:szCs w:val="18"/>
                <w:color w:val="auto"/>
              </w:rPr>
            </w:pPr>
          </w:p>
        </w:tc>
        <w:tc>
          <w:tcPr>
            <w:tcW w:w="640" w:type="dxa"/>
            <w:vAlign w:val="bottom"/>
            <w:gridSpan w:val="2"/>
          </w:tcPr>
          <w:p>
            <w:pPr>
              <w:jc w:val="right"/>
              <w:ind w:right="40"/>
              <w:spacing w:after="0"/>
              <w:rPr>
                <w:sz w:val="20"/>
                <w:szCs w:val="20"/>
                <w:color w:val="auto"/>
              </w:rPr>
            </w:pPr>
            <w:r>
              <w:rPr>
                <w:rFonts w:ascii="Arial" w:cs="Arial" w:eastAsia="Arial" w:hAnsi="Arial"/>
                <w:sz w:val="18"/>
                <w:szCs w:val="18"/>
                <w:color w:val="auto"/>
              </w:rPr>
              <w:t>(52)</w:t>
            </w:r>
          </w:p>
        </w:tc>
        <w:tc>
          <w:tcPr>
            <w:tcW w:w="0" w:type="dxa"/>
            <w:vAlign w:val="bottom"/>
          </w:tcPr>
          <w:p>
            <w:pPr>
              <w:spacing w:after="0"/>
              <w:rPr>
                <w:sz w:val="1"/>
                <w:szCs w:val="1"/>
                <w:color w:val="auto"/>
              </w:rPr>
            </w:pPr>
          </w:p>
        </w:tc>
      </w:tr>
      <w:tr>
        <w:trPr>
          <w:trHeight w:val="216"/>
        </w:trPr>
        <w:tc>
          <w:tcPr>
            <w:tcW w:w="5920" w:type="dxa"/>
            <w:vAlign w:val="bottom"/>
            <w:shd w:val="clear" w:color="auto" w:fill="CCEEFF"/>
          </w:tcPr>
          <w:p>
            <w:pPr>
              <w:spacing w:after="0"/>
              <w:rPr>
                <w:sz w:val="20"/>
                <w:szCs w:val="20"/>
                <w:color w:val="auto"/>
              </w:rPr>
            </w:pPr>
            <w:r>
              <w:rPr>
                <w:rFonts w:ascii="Arial" w:cs="Arial" w:eastAsia="Arial" w:hAnsi="Arial"/>
                <w:sz w:val="18"/>
                <w:szCs w:val="18"/>
                <w:color w:val="auto"/>
              </w:rPr>
              <w:t>Auction rate securities</w:t>
            </w:r>
          </w:p>
        </w:tc>
        <w:tc>
          <w:tcPr>
            <w:tcW w:w="680" w:type="dxa"/>
            <w:vAlign w:val="bottom"/>
            <w:shd w:val="clear" w:color="auto" w:fill="CCEEFF"/>
          </w:tcPr>
          <w:p>
            <w:pPr>
              <w:jc w:val="right"/>
              <w:ind w:right="1"/>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26,226</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(1,624)</w:t>
            </w:r>
          </w:p>
        </w:tc>
        <w:tc>
          <w:tcPr>
            <w:tcW w:w="11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26,226</w:t>
            </w: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(1,624)</w:t>
            </w:r>
          </w:p>
        </w:tc>
        <w:tc>
          <w:tcPr>
            <w:tcW w:w="0" w:type="dxa"/>
            <w:vAlign w:val="bottom"/>
          </w:tcPr>
          <w:p>
            <w:pPr>
              <w:spacing w:after="0"/>
              <w:rPr>
                <w:sz w:val="1"/>
                <w:szCs w:val="1"/>
                <w:color w:val="auto"/>
              </w:rPr>
            </w:pPr>
          </w:p>
        </w:tc>
      </w:tr>
      <w:tr>
        <w:trPr>
          <w:trHeight w:val="20"/>
        </w:trPr>
        <w:tc>
          <w:tcPr>
            <w:tcW w:w="5920" w:type="dxa"/>
            <w:vAlign w:val="bottom"/>
            <w:vMerge w:val="restart"/>
          </w:tcPr>
          <w:p>
            <w:pPr>
              <w:spacing w:after="0"/>
              <w:rPr>
                <w:sz w:val="20"/>
                <w:szCs w:val="20"/>
                <w:color w:val="auto"/>
              </w:rPr>
            </w:pPr>
            <w:r>
              <w:rPr>
                <w:rFonts w:ascii="Arial" w:cs="Arial" w:eastAsia="Arial" w:hAnsi="Arial"/>
                <w:sz w:val="18"/>
                <w:szCs w:val="18"/>
                <w:color w:val="auto"/>
              </w:rPr>
              <w:t>Total securities</w:t>
            </w:r>
          </w:p>
        </w:tc>
        <w:tc>
          <w:tcPr>
            <w:tcW w:w="6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920" w:type="dxa"/>
            <w:vAlign w:val="bottom"/>
            <w:vMerge w:val="continue"/>
          </w:tcPr>
          <w:p>
            <w:pPr>
              <w:spacing w:after="0"/>
              <w:rPr>
                <w:sz w:val="19"/>
                <w:szCs w:val="19"/>
                <w:color w:val="auto"/>
              </w:rPr>
            </w:pPr>
          </w:p>
        </w:tc>
        <w:tc>
          <w:tcPr>
            <w:tcW w:w="680" w:type="dxa"/>
            <w:vAlign w:val="bottom"/>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205,043</w:t>
            </w:r>
          </w:p>
        </w:tc>
        <w:tc>
          <w:tcPr>
            <w:tcW w:w="300" w:type="dxa"/>
            <w:vAlign w:val="bottom"/>
          </w:tcPr>
          <w:p>
            <w:pPr>
              <w:spacing w:after="0"/>
              <w:rPr>
                <w:sz w:val="19"/>
                <w:szCs w:val="19"/>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tcPr>
          <w:p>
            <w:pPr>
              <w:jc w:val="right"/>
              <w:ind w:right="260"/>
              <w:spacing w:after="0"/>
              <w:rPr>
                <w:sz w:val="20"/>
                <w:szCs w:val="20"/>
                <w:color w:val="auto"/>
              </w:rPr>
            </w:pPr>
            <w:r>
              <w:rPr>
                <w:rFonts w:ascii="Arial" w:cs="Arial" w:eastAsia="Arial" w:hAnsi="Arial"/>
                <w:sz w:val="18"/>
                <w:szCs w:val="18"/>
                <w:color w:val="auto"/>
              </w:rPr>
              <w:t>(265)</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800" w:type="dxa"/>
            <w:vAlign w:val="bottom"/>
            <w:gridSpan w:val="2"/>
          </w:tcPr>
          <w:p>
            <w:pPr>
              <w:jc w:val="right"/>
              <w:ind w:right="300"/>
              <w:spacing w:after="0"/>
              <w:rPr>
                <w:sz w:val="20"/>
                <w:szCs w:val="20"/>
                <w:color w:val="auto"/>
              </w:rPr>
            </w:pPr>
            <w:r>
              <w:rPr>
                <w:rFonts w:ascii="Arial" w:cs="Arial" w:eastAsia="Arial" w:hAnsi="Arial"/>
                <w:sz w:val="18"/>
                <w:szCs w:val="18"/>
                <w:color w:val="auto"/>
                <w:w w:val="87"/>
              </w:rPr>
              <w:t>26,226</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700" w:type="dxa"/>
            <w:vAlign w:val="bottom"/>
            <w:gridSpan w:val="2"/>
          </w:tcPr>
          <w:p>
            <w:pPr>
              <w:ind w:left="60"/>
              <w:spacing w:after="0"/>
              <w:rPr>
                <w:sz w:val="20"/>
                <w:szCs w:val="20"/>
                <w:color w:val="auto"/>
              </w:rPr>
            </w:pPr>
            <w:r>
              <w:rPr>
                <w:rFonts w:ascii="Arial" w:cs="Arial" w:eastAsia="Arial" w:hAnsi="Arial"/>
                <w:sz w:val="18"/>
                <w:szCs w:val="18"/>
                <w:color w:val="auto"/>
              </w:rPr>
              <w:t>(1,624)</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231,269</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640" w:type="dxa"/>
            <w:vAlign w:val="bottom"/>
            <w:gridSpan w:val="2"/>
          </w:tcPr>
          <w:p>
            <w:pPr>
              <w:jc w:val="right"/>
              <w:ind w:right="40"/>
              <w:spacing w:after="0"/>
              <w:rPr>
                <w:sz w:val="20"/>
                <w:szCs w:val="20"/>
                <w:color w:val="auto"/>
              </w:rPr>
            </w:pPr>
            <w:r>
              <w:rPr>
                <w:rFonts w:ascii="Arial" w:cs="Arial" w:eastAsia="Arial" w:hAnsi="Arial"/>
                <w:sz w:val="18"/>
                <w:szCs w:val="18"/>
                <w:color w:val="auto"/>
              </w:rPr>
              <w:t>(1,889)</w:t>
            </w:r>
          </w:p>
        </w:tc>
        <w:tc>
          <w:tcPr>
            <w:tcW w:w="0" w:type="dxa"/>
            <w:vAlign w:val="bottom"/>
          </w:tcPr>
          <w:p>
            <w:pPr>
              <w:spacing w:after="0"/>
              <w:rPr>
                <w:sz w:val="1"/>
                <w:szCs w:val="1"/>
                <w:color w:val="auto"/>
              </w:rPr>
            </w:pPr>
          </w:p>
        </w:tc>
      </w:tr>
      <w:tr>
        <w:trPr>
          <w:trHeight w:val="20"/>
        </w:trPr>
        <w:tc>
          <w:tcPr>
            <w:tcW w:w="59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Supplemental Financial Information (in thousands)</w:t>
      </w:r>
    </w:p>
    <w:p>
      <w:pPr>
        <w:spacing w:after="0" w:line="90" w:lineRule="exact"/>
        <w:rPr>
          <w:sz w:val="20"/>
          <w:szCs w:val="20"/>
          <w:color w:val="auto"/>
        </w:rPr>
      </w:pPr>
    </w:p>
    <w:p>
      <w:pPr>
        <w:ind w:left="240"/>
        <w:spacing w:after="0"/>
        <w:rPr>
          <w:sz w:val="20"/>
          <w:szCs w:val="20"/>
          <w:color w:val="auto"/>
        </w:rPr>
      </w:pPr>
      <w:r>
        <w:rPr>
          <w:rFonts w:ascii="Arial" w:cs="Arial" w:eastAsia="Arial" w:hAnsi="Arial"/>
          <w:sz w:val="18"/>
          <w:szCs w:val="18"/>
          <w:b w:val="1"/>
          <w:bCs w:val="1"/>
          <w:color w:val="auto"/>
        </w:rPr>
        <w:t>Inventories</w:t>
      </w:r>
    </w:p>
    <w:p>
      <w:pPr>
        <w:spacing w:after="0" w:line="201" w:lineRule="exact"/>
        <w:rPr>
          <w:sz w:val="20"/>
          <w:szCs w:val="20"/>
          <w:color w:val="auto"/>
        </w:rPr>
      </w:pPr>
    </w:p>
    <w:tbl>
      <w:tblPr>
        <w:tblLayout w:type="fixed"/>
        <w:tblInd w:w="240" w:type="dxa"/>
        <w:tblCellMar>
          <w:top w:w="0" w:type="dxa"/>
          <w:left w:w="0" w:type="dxa"/>
          <w:bottom w:w="0" w:type="dxa"/>
          <w:right w:w="0" w:type="dxa"/>
        </w:tblCellMar>
      </w:tblPr>
      <w:tr>
        <w:trPr>
          <w:trHeight w:val="161"/>
        </w:trPr>
        <w:tc>
          <w:tcPr>
            <w:tcW w:w="1140" w:type="dxa"/>
            <w:vAlign w:val="bottom"/>
          </w:tcPr>
          <w:p>
            <w:pPr>
              <w:spacing w:after="0"/>
              <w:rPr>
                <w:sz w:val="14"/>
                <w:szCs w:val="14"/>
                <w:color w:val="auto"/>
              </w:rPr>
            </w:pPr>
          </w:p>
        </w:tc>
        <w:tc>
          <w:tcPr>
            <w:tcW w:w="3900" w:type="dxa"/>
            <w:vAlign w:val="bottom"/>
          </w:tcPr>
          <w:p>
            <w:pPr>
              <w:spacing w:after="0"/>
              <w:rPr>
                <w:sz w:val="14"/>
                <w:szCs w:val="14"/>
                <w:color w:val="auto"/>
              </w:rPr>
            </w:pPr>
          </w:p>
        </w:tc>
        <w:tc>
          <w:tcPr>
            <w:tcW w:w="27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80" w:type="dxa"/>
            <w:vAlign w:val="bottom"/>
            <w:gridSpan w:val="2"/>
          </w:tcPr>
          <w:p>
            <w:pPr>
              <w:jc w:val="right"/>
              <w:ind w:right="80"/>
              <w:spacing w:after="0"/>
              <w:rPr>
                <w:sz w:val="20"/>
                <w:szCs w:val="20"/>
                <w:color w:val="auto"/>
              </w:rPr>
            </w:pPr>
            <w:r>
              <w:rPr>
                <w:rFonts w:ascii="Arial" w:cs="Arial" w:eastAsia="Arial" w:hAnsi="Arial"/>
                <w:sz w:val="14"/>
                <w:szCs w:val="14"/>
                <w:b w:val="1"/>
                <w:bCs w:val="1"/>
                <w:color w:val="auto"/>
              </w:rPr>
              <w:t>April 30,</w:t>
            </w:r>
          </w:p>
        </w:tc>
        <w:tc>
          <w:tcPr>
            <w:tcW w:w="520" w:type="dxa"/>
            <w:vAlign w:val="bottom"/>
          </w:tcPr>
          <w:p>
            <w:pPr>
              <w:spacing w:after="0"/>
              <w:rPr>
                <w:sz w:val="14"/>
                <w:szCs w:val="14"/>
                <w:color w:val="auto"/>
              </w:rPr>
            </w:pPr>
          </w:p>
        </w:tc>
        <w:tc>
          <w:tcPr>
            <w:tcW w:w="780" w:type="dxa"/>
            <w:vAlign w:val="bottom"/>
            <w:gridSpan w:val="3"/>
          </w:tcPr>
          <w:p>
            <w:pPr>
              <w:jc w:val="right"/>
              <w:ind w:right="100"/>
              <w:spacing w:after="0"/>
              <w:rPr>
                <w:sz w:val="20"/>
                <w:szCs w:val="20"/>
                <w:color w:val="auto"/>
              </w:rPr>
            </w:pPr>
            <w:r>
              <w:rPr>
                <w:rFonts w:ascii="Arial" w:cs="Arial" w:eastAsia="Arial" w:hAnsi="Arial"/>
                <w:sz w:val="14"/>
                <w:szCs w:val="14"/>
                <w:b w:val="1"/>
                <w:bCs w:val="1"/>
                <w:color w:val="auto"/>
                <w:w w:val="85"/>
              </w:rPr>
              <w:t>January 29,</w:t>
            </w:r>
          </w:p>
        </w:tc>
        <w:tc>
          <w:tcPr>
            <w:tcW w:w="0" w:type="dxa"/>
            <w:vAlign w:val="bottom"/>
          </w:tcPr>
          <w:p>
            <w:pPr>
              <w:spacing w:after="0"/>
              <w:rPr>
                <w:sz w:val="1"/>
                <w:szCs w:val="1"/>
                <w:color w:val="auto"/>
              </w:rPr>
            </w:pPr>
          </w:p>
        </w:tc>
      </w:tr>
      <w:tr>
        <w:trPr>
          <w:trHeight w:val="161"/>
        </w:trPr>
        <w:tc>
          <w:tcPr>
            <w:tcW w:w="1140" w:type="dxa"/>
            <w:vAlign w:val="bottom"/>
          </w:tcPr>
          <w:p>
            <w:pPr>
              <w:spacing w:after="0"/>
              <w:rPr>
                <w:sz w:val="14"/>
                <w:szCs w:val="14"/>
                <w:color w:val="auto"/>
              </w:rPr>
            </w:pPr>
          </w:p>
        </w:tc>
        <w:tc>
          <w:tcPr>
            <w:tcW w:w="3900" w:type="dxa"/>
            <w:vAlign w:val="bottom"/>
          </w:tcPr>
          <w:p>
            <w:pPr>
              <w:spacing w:after="0"/>
              <w:rPr>
                <w:sz w:val="14"/>
                <w:szCs w:val="14"/>
                <w:color w:val="auto"/>
              </w:rPr>
            </w:pPr>
          </w:p>
        </w:tc>
        <w:tc>
          <w:tcPr>
            <w:tcW w:w="2800" w:type="dxa"/>
            <w:vAlign w:val="bottom"/>
            <w:gridSpan w:val="2"/>
          </w:tcPr>
          <w:p>
            <w:pPr>
              <w:spacing w:after="0"/>
              <w:rPr>
                <w:sz w:val="14"/>
                <w:szCs w:val="14"/>
                <w:color w:val="auto"/>
              </w:rPr>
            </w:pPr>
          </w:p>
        </w:tc>
        <w:tc>
          <w:tcPr>
            <w:tcW w:w="620" w:type="dxa"/>
            <w:vAlign w:val="bottom"/>
            <w:tcBorders>
              <w:bottom w:val="single" w:sz="8" w:color="auto"/>
            </w:tcBorders>
          </w:tcPr>
          <w:p>
            <w:pPr>
              <w:jc w:val="right"/>
              <w:ind w:right="86"/>
              <w:spacing w:after="0"/>
              <w:rPr>
                <w:sz w:val="20"/>
                <w:szCs w:val="20"/>
                <w:color w:val="auto"/>
              </w:rPr>
            </w:pPr>
            <w:r>
              <w:rPr>
                <w:rFonts w:ascii="Arial" w:cs="Arial" w:eastAsia="Arial" w:hAnsi="Arial"/>
                <w:sz w:val="14"/>
                <w:szCs w:val="14"/>
                <w:b w:val="1"/>
                <w:bCs w:val="1"/>
                <w:color w:val="auto"/>
              </w:rPr>
              <w:t>2011</w:t>
            </w:r>
          </w:p>
        </w:tc>
        <w:tc>
          <w:tcPr>
            <w:tcW w:w="60" w:type="dxa"/>
            <w:vAlign w:val="bottom"/>
            <w:tcBorders>
              <w:bottom w:val="single" w:sz="8" w:color="auto"/>
            </w:tcBorders>
          </w:tcPr>
          <w:p>
            <w:pPr>
              <w:spacing w:after="0"/>
              <w:rPr>
                <w:sz w:val="14"/>
                <w:szCs w:val="14"/>
                <w:color w:val="auto"/>
              </w:rPr>
            </w:pPr>
          </w:p>
        </w:tc>
        <w:tc>
          <w:tcPr>
            <w:tcW w:w="520" w:type="dxa"/>
            <w:vAlign w:val="bottom"/>
          </w:tcPr>
          <w:p>
            <w:pPr>
              <w:spacing w:after="0"/>
              <w:rPr>
                <w:sz w:val="14"/>
                <w:szCs w:val="14"/>
                <w:color w:val="auto"/>
              </w:rPr>
            </w:pPr>
          </w:p>
        </w:tc>
        <w:tc>
          <w:tcPr>
            <w:tcW w:w="660" w:type="dxa"/>
            <w:vAlign w:val="bottom"/>
            <w:tcBorders>
              <w:bottom w:val="single" w:sz="8" w:color="auto"/>
            </w:tcBorders>
          </w:tcPr>
          <w:p>
            <w:pPr>
              <w:jc w:val="right"/>
              <w:ind w:right="126"/>
              <w:spacing w:after="0"/>
              <w:rPr>
                <w:sz w:val="20"/>
                <w:szCs w:val="20"/>
                <w:color w:val="auto"/>
              </w:rPr>
            </w:pPr>
            <w:r>
              <w:rPr>
                <w:rFonts w:ascii="Arial" w:cs="Arial" w:eastAsia="Arial" w:hAnsi="Arial"/>
                <w:sz w:val="14"/>
                <w:szCs w:val="14"/>
                <w:b w:val="1"/>
                <w:bCs w:val="1"/>
                <w:color w:val="auto"/>
              </w:rPr>
              <w:t>2011</w:t>
            </w:r>
          </w:p>
        </w:tc>
        <w:tc>
          <w:tcPr>
            <w:tcW w:w="2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114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Work-in-process</w:t>
            </w:r>
          </w:p>
        </w:tc>
        <w:tc>
          <w:tcPr>
            <w:tcW w:w="348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$199,086</w:t>
            </w:r>
          </w:p>
        </w:tc>
        <w:tc>
          <w:tcPr>
            <w:tcW w:w="12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$ 156,108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1140" w:type="dxa"/>
            <w:vAlign w:val="bottom"/>
          </w:tcPr>
          <w:p>
            <w:pPr>
              <w:spacing w:after="0"/>
              <w:rPr>
                <w:sz w:val="19"/>
                <w:szCs w:val="19"/>
                <w:color w:val="auto"/>
              </w:rPr>
            </w:pPr>
          </w:p>
        </w:tc>
        <w:tc>
          <w:tcPr>
            <w:tcW w:w="3900" w:type="dxa"/>
            <w:vAlign w:val="bottom"/>
          </w:tcPr>
          <w:p>
            <w:pPr>
              <w:spacing w:after="0"/>
              <w:rPr>
                <w:sz w:val="20"/>
                <w:szCs w:val="20"/>
                <w:color w:val="auto"/>
              </w:rPr>
            </w:pPr>
            <w:r>
              <w:rPr>
                <w:rFonts w:ascii="Arial" w:cs="Arial" w:eastAsia="Arial" w:hAnsi="Arial"/>
                <w:sz w:val="18"/>
                <w:szCs w:val="18"/>
                <w:color w:val="auto"/>
              </w:rPr>
              <w:t>Finished goods</w:t>
            </w:r>
          </w:p>
        </w:tc>
        <w:tc>
          <w:tcPr>
            <w:tcW w:w="2800" w:type="dxa"/>
            <w:vAlign w:val="bottom"/>
            <w:gridSpan w:val="2"/>
          </w:tcPr>
          <w:p>
            <w:pPr>
              <w:spacing w:after="0"/>
              <w:rPr>
                <w:sz w:val="19"/>
                <w:szCs w:val="19"/>
                <w:color w:val="auto"/>
              </w:rPr>
            </w:pPr>
          </w:p>
        </w:tc>
        <w:tc>
          <w:tcPr>
            <w:tcW w:w="68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100,022</w:t>
            </w:r>
          </w:p>
        </w:tc>
        <w:tc>
          <w:tcPr>
            <w:tcW w:w="520" w:type="dxa"/>
            <w:vAlign w:val="bottom"/>
          </w:tcPr>
          <w:p>
            <w:pPr>
              <w:spacing w:after="0"/>
              <w:rPr>
                <w:sz w:val="19"/>
                <w:szCs w:val="19"/>
                <w:color w:val="auto"/>
              </w:rPr>
            </w:pPr>
          </w:p>
        </w:tc>
        <w:tc>
          <w:tcPr>
            <w:tcW w:w="68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89,340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Inventories</w:t>
            </w:r>
          </w:p>
        </w:tc>
        <w:tc>
          <w:tcPr>
            <w:tcW w:w="3480" w:type="dxa"/>
            <w:vAlign w:val="bottom"/>
            <w:gridSpan w:val="4"/>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299,108</w:t>
            </w:r>
          </w:p>
        </w:tc>
        <w:tc>
          <w:tcPr>
            <w:tcW w:w="12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$ 245,448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04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Property and equipment, net</w:t>
            </w:r>
          </w:p>
        </w:tc>
        <w:tc>
          <w:tcPr>
            <w:tcW w:w="2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5040" w:type="dxa"/>
            <w:vAlign w:val="bottom"/>
            <w:gridSpan w:val="2"/>
            <w:vMerge w:val="continue"/>
          </w:tcPr>
          <w:p>
            <w:pPr>
              <w:spacing w:after="0"/>
              <w:rPr>
                <w:sz w:val="24"/>
                <w:szCs w:val="24"/>
                <w:color w:val="auto"/>
              </w:rPr>
            </w:pPr>
          </w:p>
        </w:tc>
        <w:tc>
          <w:tcPr>
            <w:tcW w:w="2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1140" w:type="dxa"/>
            <w:vAlign w:val="bottom"/>
          </w:tcPr>
          <w:p>
            <w:pPr>
              <w:spacing w:after="0"/>
              <w:rPr>
                <w:sz w:val="24"/>
                <w:szCs w:val="24"/>
                <w:color w:val="auto"/>
              </w:rPr>
            </w:pPr>
          </w:p>
        </w:tc>
        <w:tc>
          <w:tcPr>
            <w:tcW w:w="3900" w:type="dxa"/>
            <w:vAlign w:val="bottom"/>
          </w:tcPr>
          <w:p>
            <w:pPr>
              <w:spacing w:after="0"/>
              <w:rPr>
                <w:sz w:val="24"/>
                <w:szCs w:val="24"/>
                <w:color w:val="auto"/>
              </w:rPr>
            </w:pPr>
          </w:p>
        </w:tc>
        <w:tc>
          <w:tcPr>
            <w:tcW w:w="2700" w:type="dxa"/>
            <w:vAlign w:val="bottom"/>
          </w:tcPr>
          <w:p>
            <w:pPr>
              <w:spacing w:after="0"/>
              <w:rPr>
                <w:sz w:val="24"/>
                <w:szCs w:val="24"/>
                <w:color w:val="auto"/>
              </w:rPr>
            </w:pPr>
          </w:p>
        </w:tc>
        <w:tc>
          <w:tcPr>
            <w:tcW w:w="780" w:type="dxa"/>
            <w:vAlign w:val="bottom"/>
            <w:gridSpan w:val="3"/>
          </w:tcPr>
          <w:p>
            <w:pPr>
              <w:jc w:val="right"/>
              <w:ind w:right="180"/>
              <w:spacing w:after="0"/>
              <w:rPr>
                <w:sz w:val="20"/>
                <w:szCs w:val="20"/>
                <w:color w:val="auto"/>
              </w:rPr>
            </w:pPr>
            <w:r>
              <w:rPr>
                <w:rFonts w:ascii="Arial" w:cs="Arial" w:eastAsia="Arial" w:hAnsi="Arial"/>
                <w:sz w:val="14"/>
                <w:szCs w:val="14"/>
                <w:b w:val="1"/>
                <w:bCs w:val="1"/>
                <w:color w:val="auto"/>
              </w:rPr>
              <w:t>April 30,</w:t>
            </w:r>
          </w:p>
        </w:tc>
        <w:tc>
          <w:tcPr>
            <w:tcW w:w="520" w:type="dxa"/>
            <w:vAlign w:val="bottom"/>
          </w:tcPr>
          <w:p>
            <w:pPr>
              <w:spacing w:after="0"/>
              <w:rPr>
                <w:sz w:val="24"/>
                <w:szCs w:val="24"/>
                <w:color w:val="auto"/>
              </w:rPr>
            </w:pPr>
          </w:p>
        </w:tc>
        <w:tc>
          <w:tcPr>
            <w:tcW w:w="780" w:type="dxa"/>
            <w:vAlign w:val="bottom"/>
            <w:gridSpan w:val="3"/>
          </w:tcPr>
          <w:p>
            <w:pPr>
              <w:jc w:val="right"/>
              <w:ind w:right="140"/>
              <w:spacing w:after="0"/>
              <w:rPr>
                <w:sz w:val="20"/>
                <w:szCs w:val="20"/>
                <w:color w:val="auto"/>
              </w:rPr>
            </w:pPr>
            <w:r>
              <w:rPr>
                <w:rFonts w:ascii="Arial" w:cs="Arial" w:eastAsia="Arial" w:hAnsi="Arial"/>
                <w:sz w:val="14"/>
                <w:szCs w:val="14"/>
                <w:b w:val="1"/>
                <w:bCs w:val="1"/>
                <w:color w:val="auto"/>
                <w:w w:val="80"/>
              </w:rPr>
              <w:t>January 29,</w:t>
            </w:r>
          </w:p>
        </w:tc>
        <w:tc>
          <w:tcPr>
            <w:tcW w:w="0" w:type="dxa"/>
            <w:vAlign w:val="bottom"/>
          </w:tcPr>
          <w:p>
            <w:pPr>
              <w:spacing w:after="0"/>
              <w:rPr>
                <w:sz w:val="1"/>
                <w:szCs w:val="1"/>
                <w:color w:val="auto"/>
              </w:rPr>
            </w:pPr>
          </w:p>
        </w:tc>
      </w:tr>
      <w:tr>
        <w:trPr>
          <w:trHeight w:val="161"/>
        </w:trPr>
        <w:tc>
          <w:tcPr>
            <w:tcW w:w="1140" w:type="dxa"/>
            <w:vAlign w:val="bottom"/>
          </w:tcPr>
          <w:p>
            <w:pPr>
              <w:spacing w:after="0"/>
              <w:rPr>
                <w:sz w:val="14"/>
                <w:szCs w:val="14"/>
                <w:color w:val="auto"/>
              </w:rPr>
            </w:pPr>
          </w:p>
        </w:tc>
        <w:tc>
          <w:tcPr>
            <w:tcW w:w="3900" w:type="dxa"/>
            <w:vAlign w:val="bottom"/>
          </w:tcPr>
          <w:p>
            <w:pPr>
              <w:spacing w:after="0"/>
              <w:rPr>
                <w:sz w:val="14"/>
                <w:szCs w:val="14"/>
                <w:color w:val="auto"/>
              </w:rPr>
            </w:pPr>
          </w:p>
        </w:tc>
        <w:tc>
          <w:tcPr>
            <w:tcW w:w="2700" w:type="dxa"/>
            <w:vAlign w:val="bottom"/>
          </w:tcPr>
          <w:p>
            <w:pPr>
              <w:spacing w:after="0"/>
              <w:rPr>
                <w:sz w:val="14"/>
                <w:szCs w:val="14"/>
                <w:color w:val="auto"/>
              </w:rPr>
            </w:pPr>
          </w:p>
        </w:tc>
        <w:tc>
          <w:tcPr>
            <w:tcW w:w="720" w:type="dxa"/>
            <w:vAlign w:val="bottom"/>
            <w:tcBorders>
              <w:bottom w:val="single" w:sz="8" w:color="auto"/>
            </w:tcBorders>
            <w:gridSpan w:val="2"/>
          </w:tcPr>
          <w:p>
            <w:pPr>
              <w:jc w:val="right"/>
              <w:ind w:right="166"/>
              <w:spacing w:after="0"/>
              <w:rPr>
                <w:sz w:val="20"/>
                <w:szCs w:val="20"/>
                <w:color w:val="auto"/>
              </w:rPr>
            </w:pPr>
            <w:r>
              <w:rPr>
                <w:rFonts w:ascii="Arial" w:cs="Arial" w:eastAsia="Arial" w:hAnsi="Arial"/>
                <w:sz w:val="14"/>
                <w:szCs w:val="14"/>
                <w:b w:val="1"/>
                <w:bCs w:val="1"/>
                <w:color w:val="auto"/>
              </w:rPr>
              <w:t>2011</w:t>
            </w:r>
          </w:p>
        </w:tc>
        <w:tc>
          <w:tcPr>
            <w:tcW w:w="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660" w:type="dxa"/>
            <w:vAlign w:val="bottom"/>
            <w:tcBorders>
              <w:bottom w:val="single" w:sz="8" w:color="auto"/>
            </w:tcBorders>
          </w:tcPr>
          <w:p>
            <w:pPr>
              <w:jc w:val="right"/>
              <w:ind w:right="166"/>
              <w:spacing w:after="0"/>
              <w:rPr>
                <w:sz w:val="20"/>
                <w:szCs w:val="20"/>
                <w:color w:val="auto"/>
              </w:rPr>
            </w:pPr>
            <w:r>
              <w:rPr>
                <w:rFonts w:ascii="Arial" w:cs="Arial" w:eastAsia="Arial" w:hAnsi="Arial"/>
                <w:sz w:val="14"/>
                <w:szCs w:val="14"/>
                <w:b w:val="1"/>
                <w:bCs w:val="1"/>
                <w:color w:val="auto"/>
              </w:rPr>
              <w:t>2011</w:t>
            </w: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114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Machinery and equipment</w:t>
            </w:r>
          </w:p>
        </w:tc>
        <w:tc>
          <w:tcPr>
            <w:tcW w:w="34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$ 448,372</w:t>
            </w:r>
          </w:p>
        </w:tc>
        <w:tc>
          <w:tcPr>
            <w:tcW w:w="6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$ 435,900</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900" w:type="dxa"/>
            <w:vAlign w:val="bottom"/>
          </w:tcPr>
          <w:p>
            <w:pPr>
              <w:spacing w:after="0"/>
              <w:rPr>
                <w:sz w:val="20"/>
                <w:szCs w:val="20"/>
                <w:color w:val="auto"/>
              </w:rPr>
            </w:pPr>
            <w:r>
              <w:rPr>
                <w:rFonts w:ascii="Arial" w:cs="Arial" w:eastAsia="Arial" w:hAnsi="Arial"/>
                <w:sz w:val="18"/>
                <w:szCs w:val="18"/>
                <w:color w:val="auto"/>
              </w:rPr>
              <w:t>Computer software</w:t>
            </w:r>
          </w:p>
        </w:tc>
        <w:tc>
          <w:tcPr>
            <w:tcW w:w="3420" w:type="dxa"/>
            <w:vAlign w:val="bottom"/>
            <w:gridSpan w:val="3"/>
          </w:tcPr>
          <w:p>
            <w:pPr>
              <w:jc w:val="right"/>
              <w:spacing w:after="0"/>
              <w:rPr>
                <w:sz w:val="20"/>
                <w:szCs w:val="20"/>
                <w:color w:val="auto"/>
              </w:rPr>
            </w:pPr>
            <w:r>
              <w:rPr>
                <w:rFonts w:ascii="Arial" w:cs="Arial" w:eastAsia="Arial" w:hAnsi="Arial"/>
                <w:sz w:val="18"/>
                <w:szCs w:val="18"/>
                <w:color w:val="auto"/>
              </w:rPr>
              <w:t>76,177</w:t>
            </w:r>
          </w:p>
        </w:tc>
        <w:tc>
          <w:tcPr>
            <w:tcW w:w="60" w:type="dxa"/>
            <w:vAlign w:val="bottom"/>
          </w:tcPr>
          <w:p>
            <w:pPr>
              <w:spacing w:after="0"/>
              <w:rPr>
                <w:sz w:val="18"/>
                <w:szCs w:val="18"/>
                <w:color w:val="auto"/>
              </w:rPr>
            </w:pPr>
          </w:p>
        </w:tc>
        <w:tc>
          <w:tcPr>
            <w:tcW w:w="1180" w:type="dxa"/>
            <w:vAlign w:val="bottom"/>
            <w:gridSpan w:val="2"/>
          </w:tcPr>
          <w:p>
            <w:pPr>
              <w:jc w:val="right"/>
              <w:spacing w:after="0"/>
              <w:rPr>
                <w:sz w:val="20"/>
                <w:szCs w:val="20"/>
                <w:color w:val="auto"/>
              </w:rPr>
            </w:pPr>
            <w:r>
              <w:rPr>
                <w:rFonts w:ascii="Arial" w:cs="Arial" w:eastAsia="Arial" w:hAnsi="Arial"/>
                <w:sz w:val="18"/>
                <w:szCs w:val="18"/>
                <w:color w:val="auto"/>
              </w:rPr>
              <w:t>74,966</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Furniture and fixtures</w:t>
            </w:r>
          </w:p>
        </w:tc>
        <w:tc>
          <w:tcPr>
            <w:tcW w:w="34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23,640</w:t>
            </w:r>
          </w:p>
        </w:tc>
        <w:tc>
          <w:tcPr>
            <w:tcW w:w="6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23,498</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900" w:type="dxa"/>
            <w:vAlign w:val="bottom"/>
          </w:tcPr>
          <w:p>
            <w:pPr>
              <w:spacing w:after="0"/>
              <w:rPr>
                <w:sz w:val="20"/>
                <w:szCs w:val="20"/>
                <w:color w:val="auto"/>
              </w:rPr>
            </w:pPr>
            <w:r>
              <w:rPr>
                <w:rFonts w:ascii="Arial" w:cs="Arial" w:eastAsia="Arial" w:hAnsi="Arial"/>
                <w:sz w:val="18"/>
                <w:szCs w:val="18"/>
                <w:color w:val="auto"/>
              </w:rPr>
              <w:t>Leasehold improvements</w:t>
            </w:r>
          </w:p>
        </w:tc>
        <w:tc>
          <w:tcPr>
            <w:tcW w:w="3420" w:type="dxa"/>
            <w:vAlign w:val="bottom"/>
            <w:gridSpan w:val="3"/>
          </w:tcPr>
          <w:p>
            <w:pPr>
              <w:jc w:val="right"/>
              <w:spacing w:after="0"/>
              <w:rPr>
                <w:sz w:val="20"/>
                <w:szCs w:val="20"/>
                <w:color w:val="auto"/>
              </w:rPr>
            </w:pPr>
            <w:r>
              <w:rPr>
                <w:rFonts w:ascii="Arial" w:cs="Arial" w:eastAsia="Arial" w:hAnsi="Arial"/>
                <w:sz w:val="18"/>
                <w:szCs w:val="18"/>
                <w:color w:val="auto"/>
              </w:rPr>
              <w:t>34,617</w:t>
            </w:r>
          </w:p>
        </w:tc>
        <w:tc>
          <w:tcPr>
            <w:tcW w:w="60" w:type="dxa"/>
            <w:vAlign w:val="bottom"/>
          </w:tcPr>
          <w:p>
            <w:pPr>
              <w:spacing w:after="0"/>
              <w:rPr>
                <w:sz w:val="18"/>
                <w:szCs w:val="18"/>
                <w:color w:val="auto"/>
              </w:rPr>
            </w:pPr>
          </w:p>
        </w:tc>
        <w:tc>
          <w:tcPr>
            <w:tcW w:w="1180" w:type="dxa"/>
            <w:vAlign w:val="bottom"/>
            <w:gridSpan w:val="2"/>
          </w:tcPr>
          <w:p>
            <w:pPr>
              <w:jc w:val="right"/>
              <w:spacing w:after="0"/>
              <w:rPr>
                <w:sz w:val="20"/>
                <w:szCs w:val="20"/>
                <w:color w:val="auto"/>
              </w:rPr>
            </w:pPr>
            <w:r>
              <w:rPr>
                <w:rFonts w:ascii="Arial" w:cs="Arial" w:eastAsia="Arial" w:hAnsi="Arial"/>
                <w:sz w:val="18"/>
                <w:szCs w:val="18"/>
                <w:color w:val="auto"/>
              </w:rPr>
              <w:t>34,142</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Buildings</w:t>
            </w:r>
          </w:p>
        </w:tc>
        <w:tc>
          <w:tcPr>
            <w:tcW w:w="34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144,596</w:t>
            </w:r>
          </w:p>
        </w:tc>
        <w:tc>
          <w:tcPr>
            <w:tcW w:w="6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144,596</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900" w:type="dxa"/>
            <w:vAlign w:val="bottom"/>
          </w:tcPr>
          <w:p>
            <w:pPr>
              <w:spacing w:after="0"/>
              <w:rPr>
                <w:sz w:val="20"/>
                <w:szCs w:val="20"/>
                <w:color w:val="auto"/>
              </w:rPr>
            </w:pPr>
            <w:r>
              <w:rPr>
                <w:rFonts w:ascii="Arial" w:cs="Arial" w:eastAsia="Arial" w:hAnsi="Arial"/>
                <w:sz w:val="18"/>
                <w:szCs w:val="18"/>
                <w:color w:val="auto"/>
              </w:rPr>
              <w:t>Building improvements</w:t>
            </w:r>
          </w:p>
        </w:tc>
        <w:tc>
          <w:tcPr>
            <w:tcW w:w="3420" w:type="dxa"/>
            <w:vAlign w:val="bottom"/>
            <w:gridSpan w:val="3"/>
          </w:tcPr>
          <w:p>
            <w:pPr>
              <w:jc w:val="right"/>
              <w:spacing w:after="0"/>
              <w:rPr>
                <w:sz w:val="20"/>
                <w:szCs w:val="20"/>
                <w:color w:val="auto"/>
              </w:rPr>
            </w:pPr>
            <w:r>
              <w:rPr>
                <w:rFonts w:ascii="Arial" w:cs="Arial" w:eastAsia="Arial" w:hAnsi="Arial"/>
                <w:sz w:val="18"/>
                <w:szCs w:val="18"/>
                <w:color w:val="auto"/>
              </w:rPr>
              <w:t>41,229</w:t>
            </w:r>
          </w:p>
        </w:tc>
        <w:tc>
          <w:tcPr>
            <w:tcW w:w="60" w:type="dxa"/>
            <w:vAlign w:val="bottom"/>
          </w:tcPr>
          <w:p>
            <w:pPr>
              <w:spacing w:after="0"/>
              <w:rPr>
                <w:sz w:val="18"/>
                <w:szCs w:val="18"/>
                <w:color w:val="auto"/>
              </w:rPr>
            </w:pPr>
          </w:p>
        </w:tc>
        <w:tc>
          <w:tcPr>
            <w:tcW w:w="1180" w:type="dxa"/>
            <w:vAlign w:val="bottom"/>
            <w:gridSpan w:val="2"/>
          </w:tcPr>
          <w:p>
            <w:pPr>
              <w:jc w:val="right"/>
              <w:spacing w:after="0"/>
              <w:rPr>
                <w:sz w:val="20"/>
                <w:szCs w:val="20"/>
                <w:color w:val="auto"/>
              </w:rPr>
            </w:pPr>
            <w:r>
              <w:rPr>
                <w:rFonts w:ascii="Arial" w:cs="Arial" w:eastAsia="Arial" w:hAnsi="Arial"/>
                <w:sz w:val="18"/>
                <w:szCs w:val="18"/>
                <w:color w:val="auto"/>
              </w:rPr>
              <w:t>41,200</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Land</w:t>
            </w:r>
          </w:p>
        </w:tc>
        <w:tc>
          <w:tcPr>
            <w:tcW w:w="34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69,246</w:t>
            </w:r>
          </w:p>
        </w:tc>
        <w:tc>
          <w:tcPr>
            <w:tcW w:w="6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69,246</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1140" w:type="dxa"/>
            <w:vAlign w:val="bottom"/>
          </w:tcPr>
          <w:p>
            <w:pPr>
              <w:spacing w:after="0"/>
              <w:rPr>
                <w:sz w:val="19"/>
                <w:szCs w:val="19"/>
                <w:color w:val="auto"/>
              </w:rPr>
            </w:pPr>
          </w:p>
        </w:tc>
        <w:tc>
          <w:tcPr>
            <w:tcW w:w="3900" w:type="dxa"/>
            <w:vAlign w:val="bottom"/>
          </w:tcPr>
          <w:p>
            <w:pPr>
              <w:spacing w:after="0"/>
              <w:rPr>
                <w:sz w:val="20"/>
                <w:szCs w:val="20"/>
                <w:color w:val="auto"/>
              </w:rPr>
            </w:pPr>
            <w:r>
              <w:rPr>
                <w:rFonts w:ascii="Arial" w:cs="Arial" w:eastAsia="Arial" w:hAnsi="Arial"/>
                <w:sz w:val="18"/>
                <w:szCs w:val="18"/>
                <w:color w:val="auto"/>
              </w:rPr>
              <w:t>Construction in progress</w:t>
            </w:r>
          </w:p>
        </w:tc>
        <w:tc>
          <w:tcPr>
            <w:tcW w:w="2700" w:type="dxa"/>
            <w:vAlign w:val="bottom"/>
          </w:tcPr>
          <w:p>
            <w:pPr>
              <w:spacing w:after="0"/>
              <w:rPr>
                <w:sz w:val="19"/>
                <w:szCs w:val="19"/>
                <w:color w:val="auto"/>
              </w:rPr>
            </w:pPr>
          </w:p>
        </w:tc>
        <w:tc>
          <w:tcPr>
            <w:tcW w:w="72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7,190</w:t>
            </w:r>
          </w:p>
        </w:tc>
        <w:tc>
          <w:tcPr>
            <w:tcW w:w="6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8,469</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900" w:type="dxa"/>
            <w:vAlign w:val="bottom"/>
            <w:shd w:val="clear" w:color="auto" w:fill="CCEEFF"/>
          </w:tcPr>
          <w:p>
            <w:pPr>
              <w:spacing w:after="0"/>
              <w:rPr>
                <w:sz w:val="18"/>
                <w:szCs w:val="18"/>
                <w:color w:val="auto"/>
              </w:rPr>
            </w:pPr>
          </w:p>
        </w:tc>
        <w:tc>
          <w:tcPr>
            <w:tcW w:w="34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845,067</w:t>
            </w:r>
          </w:p>
        </w:tc>
        <w:tc>
          <w:tcPr>
            <w:tcW w:w="6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832,017</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900" w:type="dxa"/>
            <w:vAlign w:val="bottom"/>
          </w:tcPr>
          <w:p>
            <w:pPr>
              <w:spacing w:after="0"/>
              <w:rPr>
                <w:sz w:val="20"/>
                <w:szCs w:val="20"/>
                <w:color w:val="auto"/>
              </w:rPr>
            </w:pPr>
            <w:r>
              <w:rPr>
                <w:rFonts w:ascii="Arial" w:cs="Arial" w:eastAsia="Arial" w:hAnsi="Arial"/>
                <w:sz w:val="18"/>
                <w:szCs w:val="18"/>
                <w:color w:val="auto"/>
                <w:w w:val="98"/>
              </w:rPr>
              <w:t>Less: Accumulated depreciation and amortization</w:t>
            </w:r>
          </w:p>
        </w:tc>
        <w:tc>
          <w:tcPr>
            <w:tcW w:w="2700" w:type="dxa"/>
            <w:vAlign w:val="bottom"/>
          </w:tcPr>
          <w:p>
            <w:pPr>
              <w:spacing w:after="0"/>
              <w:rPr>
                <w:sz w:val="18"/>
                <w:szCs w:val="18"/>
                <w:color w:val="auto"/>
              </w:rPr>
            </w:pPr>
          </w:p>
        </w:tc>
        <w:tc>
          <w:tcPr>
            <w:tcW w:w="780" w:type="dxa"/>
            <w:vAlign w:val="bottom"/>
            <w:gridSpan w:val="3"/>
          </w:tcPr>
          <w:p>
            <w:pPr>
              <w:jc w:val="right"/>
              <w:spacing w:after="0"/>
              <w:rPr>
                <w:sz w:val="20"/>
                <w:szCs w:val="20"/>
                <w:color w:val="auto"/>
              </w:rPr>
            </w:pPr>
            <w:r>
              <w:rPr>
                <w:rFonts w:ascii="Arial" w:cs="Arial" w:eastAsia="Arial" w:hAnsi="Arial"/>
                <w:sz w:val="18"/>
                <w:szCs w:val="18"/>
                <w:color w:val="auto"/>
                <w:w w:val="98"/>
              </w:rPr>
              <w:t>(490,584)</w:t>
            </w:r>
          </w:p>
        </w:tc>
        <w:tc>
          <w:tcPr>
            <w:tcW w:w="1300" w:type="dxa"/>
            <w:vAlign w:val="bottom"/>
            <w:gridSpan w:val="4"/>
          </w:tcPr>
          <w:p>
            <w:pPr>
              <w:jc w:val="right"/>
              <w:ind w:right="60"/>
              <w:spacing w:after="0"/>
              <w:rPr>
                <w:sz w:val="20"/>
                <w:szCs w:val="20"/>
                <w:color w:val="auto"/>
              </w:rPr>
            </w:pPr>
            <w:r>
              <w:rPr>
                <w:rFonts w:ascii="Arial" w:cs="Arial" w:eastAsia="Arial" w:hAnsi="Arial"/>
                <w:sz w:val="18"/>
                <w:szCs w:val="18"/>
                <w:color w:val="auto"/>
              </w:rPr>
              <w:t>(473,577)</w:t>
            </w:r>
          </w:p>
        </w:tc>
        <w:tc>
          <w:tcPr>
            <w:tcW w:w="0" w:type="dxa"/>
            <w:vAlign w:val="bottom"/>
          </w:tcPr>
          <w:p>
            <w:pPr>
              <w:spacing w:after="0"/>
              <w:rPr>
                <w:sz w:val="1"/>
                <w:szCs w:val="1"/>
                <w:color w:val="auto"/>
              </w:rPr>
            </w:pPr>
          </w:p>
        </w:tc>
      </w:tr>
      <w:tr>
        <w:trPr>
          <w:trHeight w:val="27"/>
        </w:trPr>
        <w:tc>
          <w:tcPr>
            <w:tcW w:w="1140" w:type="dxa"/>
            <w:vAlign w:val="bottom"/>
            <w:vMerge w:val="restart"/>
          </w:tcPr>
          <w:p>
            <w:pPr>
              <w:spacing w:after="0"/>
              <w:rPr>
                <w:sz w:val="2"/>
                <w:szCs w:val="2"/>
                <w:color w:val="auto"/>
              </w:rPr>
            </w:pPr>
          </w:p>
        </w:tc>
        <w:tc>
          <w:tcPr>
            <w:tcW w:w="3900" w:type="dxa"/>
            <w:vAlign w:val="bottom"/>
          </w:tcPr>
          <w:p>
            <w:pPr>
              <w:spacing w:after="0"/>
              <w:rPr>
                <w:sz w:val="2"/>
                <w:szCs w:val="2"/>
                <w:color w:val="auto"/>
              </w:rPr>
            </w:pPr>
          </w:p>
        </w:tc>
        <w:tc>
          <w:tcPr>
            <w:tcW w:w="27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520" w:type="dxa"/>
            <w:vAlign w:val="bottom"/>
            <w:tcBorders>
              <w:right w:val="single" w:sz="8" w:color="auto"/>
            </w:tcBorders>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1140" w:type="dxa"/>
            <w:vAlign w:val="bottom"/>
            <w:vMerge w:val="continue"/>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Property and equipment, net</w:t>
            </w:r>
          </w:p>
        </w:tc>
        <w:tc>
          <w:tcPr>
            <w:tcW w:w="34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$ 354,483</w:t>
            </w:r>
          </w:p>
        </w:tc>
        <w:tc>
          <w:tcPr>
            <w:tcW w:w="6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$ 358,440</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140" w:type="dxa"/>
            <w:vAlign w:val="bottom"/>
          </w:tcPr>
          <w:p>
            <w:pPr>
              <w:spacing w:after="0" w:line="20" w:lineRule="exact"/>
              <w:rPr>
                <w:sz w:val="1"/>
                <w:szCs w:val="1"/>
                <w:color w:val="auto"/>
              </w:rPr>
            </w:pPr>
          </w:p>
        </w:tc>
        <w:tc>
          <w:tcPr>
            <w:tcW w:w="3900" w:type="dxa"/>
            <w:vAlign w:val="bottom"/>
          </w:tcPr>
          <w:p>
            <w:pPr>
              <w:spacing w:after="0" w:line="20" w:lineRule="exact"/>
              <w:rPr>
                <w:sz w:val="1"/>
                <w:szCs w:val="1"/>
                <w:color w:val="auto"/>
              </w:rPr>
            </w:pPr>
          </w:p>
        </w:tc>
        <w:tc>
          <w:tcPr>
            <w:tcW w:w="2700" w:type="dxa"/>
            <w:vAlign w:val="bottom"/>
            <w:vMerge w:val="restart"/>
          </w:tcPr>
          <w:p>
            <w:pPr>
              <w:jc w:val="right"/>
              <w:ind w:right="2132"/>
              <w:spacing w:after="0"/>
              <w:rPr>
                <w:sz w:val="20"/>
                <w:szCs w:val="20"/>
                <w:color w:val="auto"/>
              </w:rPr>
            </w:pPr>
            <w:r>
              <w:rPr>
                <w:rFonts w:ascii="Arial" w:cs="Arial" w:eastAsia="Arial" w:hAnsi="Arial"/>
                <w:sz w:val="18"/>
                <w:szCs w:val="18"/>
                <w:color w:val="auto"/>
              </w:rPr>
              <w:t>7</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1140" w:type="dxa"/>
            <w:vAlign w:val="bottom"/>
          </w:tcPr>
          <w:p>
            <w:pPr>
              <w:spacing w:after="0"/>
              <w:rPr>
                <w:sz w:val="24"/>
                <w:szCs w:val="24"/>
                <w:color w:val="auto"/>
              </w:rPr>
            </w:pPr>
          </w:p>
        </w:tc>
        <w:tc>
          <w:tcPr>
            <w:tcW w:w="3900" w:type="dxa"/>
            <w:vAlign w:val="bottom"/>
          </w:tcPr>
          <w:p>
            <w:pPr>
              <w:spacing w:after="0"/>
              <w:rPr>
                <w:sz w:val="24"/>
                <w:szCs w:val="24"/>
                <w:color w:val="auto"/>
              </w:rPr>
            </w:pPr>
          </w:p>
        </w:tc>
        <w:tc>
          <w:tcPr>
            <w:tcW w:w="270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40"/>
        <w:spacing w:after="0"/>
        <w:rPr>
          <w:sz w:val="20"/>
          <w:szCs w:val="20"/>
          <w:color w:val="auto"/>
        </w:rPr>
      </w:pPr>
      <w:r>
        <w:rPr>
          <w:rFonts w:ascii="Arial" w:cs="Arial" w:eastAsia="Arial" w:hAnsi="Arial"/>
          <w:sz w:val="18"/>
          <w:szCs w:val="18"/>
          <w:b w:val="1"/>
          <w:bCs w:val="1"/>
          <w:color w:val="auto"/>
        </w:rPr>
        <w:t>Other non-current assets</w:t>
      </w:r>
    </w:p>
    <w:p>
      <w:pPr>
        <w:spacing w:after="0" w:line="201" w:lineRule="exact"/>
        <w:rPr>
          <w:sz w:val="20"/>
          <w:szCs w:val="20"/>
          <w:color w:val="auto"/>
        </w:rPr>
      </w:pPr>
    </w:p>
    <w:tbl>
      <w:tblPr>
        <w:tblLayout w:type="fixed"/>
        <w:tblInd w:w="240" w:type="dxa"/>
        <w:tblCellMar>
          <w:top w:w="0" w:type="dxa"/>
          <w:left w:w="0" w:type="dxa"/>
          <w:bottom w:w="0" w:type="dxa"/>
          <w:right w:w="0" w:type="dxa"/>
        </w:tblCellMar>
      </w:tblPr>
      <w:tr>
        <w:trPr>
          <w:trHeight w:val="161"/>
        </w:trPr>
        <w:tc>
          <w:tcPr>
            <w:tcW w:w="1140" w:type="dxa"/>
            <w:vAlign w:val="bottom"/>
          </w:tcPr>
          <w:p>
            <w:pPr>
              <w:spacing w:after="0"/>
              <w:rPr>
                <w:sz w:val="14"/>
                <w:szCs w:val="14"/>
                <w:color w:val="auto"/>
              </w:rPr>
            </w:pPr>
          </w:p>
        </w:tc>
        <w:tc>
          <w:tcPr>
            <w:tcW w:w="3820" w:type="dxa"/>
            <w:vAlign w:val="bottom"/>
          </w:tcPr>
          <w:p>
            <w:pPr>
              <w:spacing w:after="0"/>
              <w:rPr>
                <w:sz w:val="14"/>
                <w:szCs w:val="14"/>
                <w:color w:val="auto"/>
              </w:rPr>
            </w:pPr>
          </w:p>
        </w:tc>
        <w:tc>
          <w:tcPr>
            <w:tcW w:w="2880" w:type="dxa"/>
            <w:vAlign w:val="bottom"/>
          </w:tcPr>
          <w:p>
            <w:pPr>
              <w:spacing w:after="0"/>
              <w:rPr>
                <w:sz w:val="14"/>
                <w:szCs w:val="14"/>
                <w:color w:val="auto"/>
              </w:rPr>
            </w:pPr>
          </w:p>
        </w:tc>
        <w:tc>
          <w:tcPr>
            <w:tcW w:w="680" w:type="dxa"/>
            <w:vAlign w:val="bottom"/>
            <w:gridSpan w:val="2"/>
          </w:tcPr>
          <w:p>
            <w:pPr>
              <w:jc w:val="right"/>
              <w:ind w:right="6"/>
              <w:spacing w:after="0"/>
              <w:rPr>
                <w:sz w:val="20"/>
                <w:szCs w:val="20"/>
                <w:color w:val="auto"/>
              </w:rPr>
            </w:pPr>
            <w:r>
              <w:rPr>
                <w:rFonts w:ascii="Arial" w:cs="Arial" w:eastAsia="Arial" w:hAnsi="Arial"/>
                <w:sz w:val="14"/>
                <w:szCs w:val="14"/>
                <w:b w:val="1"/>
                <w:bCs w:val="1"/>
                <w:color w:val="auto"/>
              </w:rPr>
              <w:t>April 30,</w:t>
            </w:r>
          </w:p>
        </w:tc>
        <w:tc>
          <w:tcPr>
            <w:tcW w:w="1300" w:type="dxa"/>
            <w:vAlign w:val="bottom"/>
            <w:gridSpan w:val="4"/>
          </w:tcPr>
          <w:p>
            <w:pPr>
              <w:ind w:left="500"/>
              <w:spacing w:after="0"/>
              <w:rPr>
                <w:sz w:val="20"/>
                <w:szCs w:val="20"/>
                <w:color w:val="auto"/>
              </w:rPr>
            </w:pPr>
            <w:r>
              <w:rPr>
                <w:rFonts w:ascii="Arial" w:cs="Arial" w:eastAsia="Arial" w:hAnsi="Arial"/>
                <w:sz w:val="14"/>
                <w:szCs w:val="14"/>
                <w:b w:val="1"/>
                <w:bCs w:val="1"/>
                <w:color w:val="auto"/>
              </w:rPr>
              <w:t>January 29,</w:t>
            </w:r>
          </w:p>
        </w:tc>
        <w:tc>
          <w:tcPr>
            <w:tcW w:w="0" w:type="dxa"/>
            <w:vAlign w:val="bottom"/>
          </w:tcPr>
          <w:p>
            <w:pPr>
              <w:spacing w:after="0"/>
              <w:rPr>
                <w:sz w:val="1"/>
                <w:szCs w:val="1"/>
                <w:color w:val="auto"/>
              </w:rPr>
            </w:pPr>
          </w:p>
        </w:tc>
      </w:tr>
      <w:tr>
        <w:trPr>
          <w:trHeight w:val="161"/>
        </w:trPr>
        <w:tc>
          <w:tcPr>
            <w:tcW w:w="1140" w:type="dxa"/>
            <w:vAlign w:val="bottom"/>
          </w:tcPr>
          <w:p>
            <w:pPr>
              <w:spacing w:after="0"/>
              <w:rPr>
                <w:sz w:val="14"/>
                <w:szCs w:val="14"/>
                <w:color w:val="auto"/>
              </w:rPr>
            </w:pPr>
          </w:p>
        </w:tc>
        <w:tc>
          <w:tcPr>
            <w:tcW w:w="3820" w:type="dxa"/>
            <w:vAlign w:val="bottom"/>
          </w:tcPr>
          <w:p>
            <w:pPr>
              <w:spacing w:after="0"/>
              <w:rPr>
                <w:sz w:val="14"/>
                <w:szCs w:val="14"/>
                <w:color w:val="auto"/>
              </w:rPr>
            </w:pPr>
          </w:p>
        </w:tc>
        <w:tc>
          <w:tcPr>
            <w:tcW w:w="2880" w:type="dxa"/>
            <w:vAlign w:val="bottom"/>
          </w:tcPr>
          <w:p>
            <w:pPr>
              <w:spacing w:after="0"/>
              <w:rPr>
                <w:sz w:val="14"/>
                <w:szCs w:val="14"/>
                <w:color w:val="auto"/>
              </w:rPr>
            </w:pPr>
          </w:p>
        </w:tc>
        <w:tc>
          <w:tcPr>
            <w:tcW w:w="680" w:type="dxa"/>
            <w:vAlign w:val="bottom"/>
            <w:tcBorders>
              <w:bottom w:val="single" w:sz="8" w:color="auto"/>
            </w:tcBorders>
            <w:gridSpan w:val="2"/>
          </w:tcPr>
          <w:p>
            <w:pPr>
              <w:jc w:val="right"/>
              <w:ind w:right="146"/>
              <w:spacing w:after="0"/>
              <w:rPr>
                <w:sz w:val="20"/>
                <w:szCs w:val="20"/>
                <w:color w:val="auto"/>
              </w:rPr>
            </w:pPr>
            <w:r>
              <w:rPr>
                <w:rFonts w:ascii="Arial" w:cs="Arial" w:eastAsia="Arial" w:hAnsi="Arial"/>
                <w:sz w:val="14"/>
                <w:szCs w:val="14"/>
                <w:b w:val="1"/>
                <w:bCs w:val="1"/>
                <w:color w:val="auto"/>
              </w:rPr>
              <w:t>2011</w:t>
            </w:r>
          </w:p>
        </w:tc>
        <w:tc>
          <w:tcPr>
            <w:tcW w:w="5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w w:val="96"/>
              </w:rPr>
              <w:t>2011</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1140" w:type="dxa"/>
            <w:vAlign w:val="bottom"/>
          </w:tcPr>
          <w:p>
            <w:pPr>
              <w:spacing w:after="0"/>
              <w:rPr>
                <w:sz w:val="18"/>
                <w:szCs w:val="18"/>
                <w:color w:val="auto"/>
              </w:rPr>
            </w:pPr>
          </w:p>
        </w:tc>
        <w:tc>
          <w:tcPr>
            <w:tcW w:w="3820" w:type="dxa"/>
            <w:vAlign w:val="bottom"/>
            <w:shd w:val="clear" w:color="auto" w:fill="CCEEFF"/>
          </w:tcPr>
          <w:p>
            <w:pPr>
              <w:spacing w:after="0"/>
              <w:rPr>
                <w:sz w:val="20"/>
                <w:szCs w:val="20"/>
                <w:color w:val="auto"/>
              </w:rPr>
            </w:pPr>
            <w:r>
              <w:rPr>
                <w:rFonts w:ascii="Arial" w:cs="Arial" w:eastAsia="Arial" w:hAnsi="Arial"/>
                <w:sz w:val="18"/>
                <w:szCs w:val="18"/>
                <w:color w:val="auto"/>
              </w:rPr>
              <w:t>Technology licenses</w:t>
            </w:r>
          </w:p>
        </w:tc>
        <w:tc>
          <w:tcPr>
            <w:tcW w:w="35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$ 47,734</w:t>
            </w:r>
          </w:p>
        </w:tc>
        <w:tc>
          <w:tcPr>
            <w:tcW w:w="66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51,642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20" w:type="dxa"/>
            <w:vAlign w:val="bottom"/>
          </w:tcPr>
          <w:p>
            <w:pPr>
              <w:spacing w:after="0"/>
              <w:rPr>
                <w:sz w:val="20"/>
                <w:szCs w:val="20"/>
                <w:color w:val="auto"/>
              </w:rPr>
            </w:pPr>
            <w:r>
              <w:rPr>
                <w:rFonts w:ascii="Arial" w:cs="Arial" w:eastAsia="Arial" w:hAnsi="Arial"/>
                <w:sz w:val="18"/>
                <w:szCs w:val="18"/>
                <w:color w:val="auto"/>
              </w:rPr>
              <w:t>Deferred tax assets</w:t>
            </w:r>
          </w:p>
        </w:tc>
        <w:tc>
          <w:tcPr>
            <w:tcW w:w="3560" w:type="dxa"/>
            <w:vAlign w:val="bottom"/>
            <w:gridSpan w:val="3"/>
          </w:tcPr>
          <w:p>
            <w:pPr>
              <w:jc w:val="right"/>
              <w:spacing w:after="0"/>
              <w:rPr>
                <w:sz w:val="20"/>
                <w:szCs w:val="20"/>
                <w:color w:val="auto"/>
              </w:rPr>
            </w:pPr>
            <w:r>
              <w:rPr>
                <w:rFonts w:ascii="Arial" w:cs="Arial" w:eastAsia="Arial" w:hAnsi="Arial"/>
                <w:sz w:val="18"/>
                <w:szCs w:val="18"/>
                <w:color w:val="auto"/>
              </w:rPr>
              <w:t>27,943</w:t>
            </w:r>
          </w:p>
        </w:tc>
        <w:tc>
          <w:tcPr>
            <w:tcW w:w="5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27,671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20" w:type="dxa"/>
            <w:vAlign w:val="bottom"/>
            <w:shd w:val="clear" w:color="auto" w:fill="CCEEFF"/>
          </w:tcPr>
          <w:p>
            <w:pPr>
              <w:spacing w:after="0"/>
              <w:rPr>
                <w:sz w:val="20"/>
                <w:szCs w:val="20"/>
                <w:color w:val="auto"/>
              </w:rPr>
            </w:pPr>
            <w:r>
              <w:rPr>
                <w:rFonts w:ascii="Arial" w:cs="Arial" w:eastAsia="Arial" w:hAnsi="Arial"/>
                <w:sz w:val="18"/>
                <w:szCs w:val="18"/>
                <w:color w:val="auto"/>
              </w:rPr>
              <w:t>Deferred compensation</w:t>
            </w:r>
          </w:p>
        </w:tc>
        <w:tc>
          <w:tcPr>
            <w:tcW w:w="35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5,459</w:t>
            </w:r>
          </w:p>
        </w:tc>
        <w:tc>
          <w:tcPr>
            <w:tcW w:w="5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6,169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20" w:type="dxa"/>
            <w:vAlign w:val="bottom"/>
          </w:tcPr>
          <w:p>
            <w:pPr>
              <w:spacing w:after="0"/>
              <w:rPr>
                <w:sz w:val="20"/>
                <w:szCs w:val="20"/>
                <w:color w:val="auto"/>
              </w:rPr>
            </w:pPr>
            <w:r>
              <w:rPr>
                <w:rFonts w:ascii="Arial" w:cs="Arial" w:eastAsia="Arial" w:hAnsi="Arial"/>
                <w:sz w:val="18"/>
                <w:szCs w:val="18"/>
                <w:color w:val="auto"/>
              </w:rPr>
              <w:t>Prepayments for foundry capacity</w:t>
            </w:r>
          </w:p>
        </w:tc>
        <w:tc>
          <w:tcPr>
            <w:tcW w:w="3560" w:type="dxa"/>
            <w:vAlign w:val="bottom"/>
            <w:gridSpan w:val="3"/>
          </w:tcPr>
          <w:p>
            <w:pPr>
              <w:jc w:val="right"/>
              <w:spacing w:after="0"/>
              <w:rPr>
                <w:sz w:val="20"/>
                <w:szCs w:val="20"/>
                <w:color w:val="auto"/>
              </w:rPr>
            </w:pPr>
            <w:r>
              <w:rPr>
                <w:rFonts w:ascii="Arial" w:cs="Arial" w:eastAsia="Arial" w:hAnsi="Arial"/>
                <w:sz w:val="18"/>
                <w:szCs w:val="18"/>
                <w:color w:val="auto"/>
              </w:rPr>
              <w:t>5,289</w:t>
            </w:r>
          </w:p>
        </w:tc>
        <w:tc>
          <w:tcPr>
            <w:tcW w:w="5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5,289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20" w:type="dxa"/>
            <w:vAlign w:val="bottom"/>
            <w:shd w:val="clear" w:color="auto" w:fill="CCEEFF"/>
          </w:tcPr>
          <w:p>
            <w:pPr>
              <w:spacing w:after="0"/>
              <w:rPr>
                <w:sz w:val="20"/>
                <w:szCs w:val="20"/>
                <w:color w:val="auto"/>
              </w:rPr>
            </w:pPr>
            <w:r>
              <w:rPr>
                <w:rFonts w:ascii="Arial" w:cs="Arial" w:eastAsia="Arial" w:hAnsi="Arial"/>
                <w:sz w:val="18"/>
                <w:szCs w:val="18"/>
                <w:color w:val="auto"/>
              </w:rPr>
              <w:t>Severance fund</w:t>
            </w:r>
          </w:p>
        </w:tc>
        <w:tc>
          <w:tcPr>
            <w:tcW w:w="35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5,347</w:t>
            </w:r>
          </w:p>
        </w:tc>
        <w:tc>
          <w:tcPr>
            <w:tcW w:w="5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4,819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20" w:type="dxa"/>
            <w:vAlign w:val="bottom"/>
          </w:tcPr>
          <w:p>
            <w:pPr>
              <w:spacing w:after="0"/>
              <w:rPr>
                <w:sz w:val="20"/>
                <w:szCs w:val="20"/>
                <w:color w:val="auto"/>
              </w:rPr>
            </w:pPr>
            <w:r>
              <w:rPr>
                <w:rFonts w:ascii="Arial" w:cs="Arial" w:eastAsia="Arial" w:hAnsi="Arial"/>
                <w:sz w:val="18"/>
                <w:szCs w:val="18"/>
                <w:color w:val="auto"/>
              </w:rPr>
              <w:t>Equity investments in privately held companies</w:t>
            </w:r>
          </w:p>
        </w:tc>
        <w:tc>
          <w:tcPr>
            <w:tcW w:w="3560" w:type="dxa"/>
            <w:vAlign w:val="bottom"/>
            <w:gridSpan w:val="3"/>
          </w:tcPr>
          <w:p>
            <w:pPr>
              <w:jc w:val="right"/>
              <w:spacing w:after="0"/>
              <w:rPr>
                <w:sz w:val="20"/>
                <w:szCs w:val="20"/>
                <w:color w:val="auto"/>
              </w:rPr>
            </w:pPr>
            <w:r>
              <w:rPr>
                <w:rFonts w:ascii="Arial" w:cs="Arial" w:eastAsia="Arial" w:hAnsi="Arial"/>
                <w:sz w:val="18"/>
                <w:szCs w:val="18"/>
                <w:color w:val="auto"/>
              </w:rPr>
              <w:t>5,700</w:t>
            </w:r>
          </w:p>
        </w:tc>
        <w:tc>
          <w:tcPr>
            <w:tcW w:w="5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3,950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2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2880" w:type="dxa"/>
            <w:vAlign w:val="bottom"/>
            <w:shd w:val="clear" w:color="auto" w:fill="CCEEFF"/>
          </w:tcPr>
          <w:p>
            <w:pPr>
              <w:spacing w:after="0"/>
              <w:rPr>
                <w:sz w:val="18"/>
                <w:szCs w:val="18"/>
                <w:color w:val="auto"/>
              </w:rPr>
            </w:pPr>
          </w:p>
        </w:tc>
        <w:tc>
          <w:tcPr>
            <w:tcW w:w="68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11,671</w:t>
            </w:r>
          </w:p>
        </w:tc>
        <w:tc>
          <w:tcPr>
            <w:tcW w:w="5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11,840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4960" w:type="dxa"/>
            <w:vAlign w:val="bottom"/>
            <w:gridSpan w:val="2"/>
          </w:tcPr>
          <w:p>
            <w:pPr>
              <w:ind w:left="1140"/>
              <w:spacing w:after="0"/>
              <w:rPr>
                <w:sz w:val="20"/>
                <w:szCs w:val="20"/>
                <w:color w:val="auto"/>
              </w:rPr>
            </w:pPr>
            <w:r>
              <w:rPr>
                <w:rFonts w:ascii="Arial" w:cs="Arial" w:eastAsia="Arial" w:hAnsi="Arial"/>
                <w:sz w:val="18"/>
                <w:szCs w:val="18"/>
                <w:color w:val="auto"/>
              </w:rPr>
              <w:t>Other non-current assets</w:t>
            </w:r>
          </w:p>
        </w:tc>
        <w:tc>
          <w:tcPr>
            <w:tcW w:w="3560" w:type="dxa"/>
            <w:vAlign w:val="bottom"/>
            <w:gridSpan w:val="3"/>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109,143</w:t>
            </w:r>
          </w:p>
        </w:tc>
        <w:tc>
          <w:tcPr>
            <w:tcW w:w="1200" w:type="dxa"/>
            <w:vAlign w:val="bottom"/>
            <w:gridSpan w:val="3"/>
          </w:tcPr>
          <w:p>
            <w:pPr>
              <w:jc w:val="right"/>
              <w:spacing w:after="0"/>
              <w:rPr>
                <w:sz w:val="20"/>
                <w:szCs w:val="20"/>
                <w:color w:val="auto"/>
              </w:rPr>
            </w:pPr>
            <w:r>
              <w:rPr>
                <w:rFonts w:ascii="Arial" w:cs="Arial" w:eastAsia="Arial" w:hAnsi="Arial"/>
                <w:sz w:val="18"/>
                <w:szCs w:val="18"/>
                <w:color w:val="auto"/>
              </w:rPr>
              <w:t>$ 111,380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96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Accrued liabilities</w:t>
            </w:r>
          </w:p>
        </w:tc>
        <w:tc>
          <w:tcPr>
            <w:tcW w:w="28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3"/>
        </w:trPr>
        <w:tc>
          <w:tcPr>
            <w:tcW w:w="4960" w:type="dxa"/>
            <w:vAlign w:val="bottom"/>
            <w:gridSpan w:val="2"/>
            <w:vMerge w:val="continue"/>
          </w:tcPr>
          <w:p>
            <w:pPr>
              <w:spacing w:after="0"/>
              <w:rPr>
                <w:sz w:val="24"/>
                <w:szCs w:val="24"/>
                <w:color w:val="auto"/>
              </w:rPr>
            </w:pPr>
          </w:p>
        </w:tc>
        <w:tc>
          <w:tcPr>
            <w:tcW w:w="28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1140" w:type="dxa"/>
            <w:vAlign w:val="bottom"/>
          </w:tcPr>
          <w:p>
            <w:pPr>
              <w:spacing w:after="0"/>
              <w:rPr>
                <w:sz w:val="24"/>
                <w:szCs w:val="24"/>
                <w:color w:val="auto"/>
              </w:rPr>
            </w:pPr>
          </w:p>
        </w:tc>
        <w:tc>
          <w:tcPr>
            <w:tcW w:w="3820" w:type="dxa"/>
            <w:vAlign w:val="bottom"/>
          </w:tcPr>
          <w:p>
            <w:pPr>
              <w:spacing w:after="0"/>
              <w:rPr>
                <w:sz w:val="24"/>
                <w:szCs w:val="24"/>
                <w:color w:val="auto"/>
              </w:rPr>
            </w:pPr>
          </w:p>
        </w:tc>
        <w:tc>
          <w:tcPr>
            <w:tcW w:w="28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jc w:val="center"/>
              <w:spacing w:after="0"/>
              <w:rPr>
                <w:sz w:val="20"/>
                <w:szCs w:val="20"/>
                <w:color w:val="auto"/>
              </w:rPr>
            </w:pPr>
            <w:r>
              <w:rPr>
                <w:rFonts w:ascii="Arial" w:cs="Arial" w:eastAsia="Arial" w:hAnsi="Arial"/>
                <w:sz w:val="14"/>
                <w:szCs w:val="14"/>
                <w:b w:val="1"/>
                <w:bCs w:val="1"/>
                <w:color w:val="auto"/>
                <w:w w:val="94"/>
              </w:rPr>
              <w:t>April 30,</w:t>
            </w:r>
          </w:p>
        </w:tc>
        <w:tc>
          <w:tcPr>
            <w:tcW w:w="1300" w:type="dxa"/>
            <w:vAlign w:val="bottom"/>
            <w:gridSpan w:val="4"/>
          </w:tcPr>
          <w:p>
            <w:pPr>
              <w:ind w:left="500"/>
              <w:spacing w:after="0"/>
              <w:rPr>
                <w:sz w:val="20"/>
                <w:szCs w:val="20"/>
                <w:color w:val="auto"/>
              </w:rPr>
            </w:pPr>
            <w:r>
              <w:rPr>
                <w:rFonts w:ascii="Arial" w:cs="Arial" w:eastAsia="Arial" w:hAnsi="Arial"/>
                <w:sz w:val="14"/>
                <w:szCs w:val="14"/>
                <w:b w:val="1"/>
                <w:bCs w:val="1"/>
                <w:color w:val="auto"/>
              </w:rPr>
              <w:t>January 29,</w:t>
            </w:r>
          </w:p>
        </w:tc>
        <w:tc>
          <w:tcPr>
            <w:tcW w:w="0" w:type="dxa"/>
            <w:vAlign w:val="bottom"/>
          </w:tcPr>
          <w:p>
            <w:pPr>
              <w:spacing w:after="0"/>
              <w:rPr>
                <w:sz w:val="1"/>
                <w:szCs w:val="1"/>
                <w:color w:val="auto"/>
              </w:rPr>
            </w:pPr>
          </w:p>
        </w:tc>
      </w:tr>
      <w:tr>
        <w:trPr>
          <w:trHeight w:val="161"/>
        </w:trPr>
        <w:tc>
          <w:tcPr>
            <w:tcW w:w="1140" w:type="dxa"/>
            <w:vAlign w:val="bottom"/>
          </w:tcPr>
          <w:p>
            <w:pPr>
              <w:spacing w:after="0"/>
              <w:rPr>
                <w:sz w:val="14"/>
                <w:szCs w:val="14"/>
                <w:color w:val="auto"/>
              </w:rPr>
            </w:pPr>
          </w:p>
        </w:tc>
        <w:tc>
          <w:tcPr>
            <w:tcW w:w="3820" w:type="dxa"/>
            <w:vAlign w:val="bottom"/>
          </w:tcPr>
          <w:p>
            <w:pPr>
              <w:spacing w:after="0"/>
              <w:rPr>
                <w:sz w:val="14"/>
                <w:szCs w:val="14"/>
                <w:color w:val="auto"/>
              </w:rPr>
            </w:pPr>
          </w:p>
        </w:tc>
        <w:tc>
          <w:tcPr>
            <w:tcW w:w="2980" w:type="dxa"/>
            <w:vAlign w:val="bottom"/>
            <w:gridSpan w:val="2"/>
          </w:tcPr>
          <w:p>
            <w:pPr>
              <w:spacing w:after="0"/>
              <w:rPr>
                <w:sz w:val="14"/>
                <w:szCs w:val="14"/>
                <w:color w:val="auto"/>
              </w:rPr>
            </w:pPr>
          </w:p>
        </w:tc>
        <w:tc>
          <w:tcPr>
            <w:tcW w:w="5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3"/>
              </w:rPr>
              <w:t>2011</w:t>
            </w:r>
          </w:p>
        </w:tc>
        <w:tc>
          <w:tcPr>
            <w:tcW w:w="5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w w:val="96"/>
              </w:rPr>
              <w:t>2011</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1140" w:type="dxa"/>
            <w:vAlign w:val="bottom"/>
          </w:tcPr>
          <w:p>
            <w:pPr>
              <w:spacing w:after="0"/>
              <w:rPr>
                <w:sz w:val="18"/>
                <w:szCs w:val="18"/>
                <w:color w:val="auto"/>
              </w:rPr>
            </w:pPr>
          </w:p>
        </w:tc>
        <w:tc>
          <w:tcPr>
            <w:tcW w:w="3820" w:type="dxa"/>
            <w:vAlign w:val="bottom"/>
            <w:shd w:val="clear" w:color="auto" w:fill="CCEEFF"/>
          </w:tcPr>
          <w:p>
            <w:pPr>
              <w:spacing w:after="0"/>
              <w:rPr>
                <w:sz w:val="20"/>
                <w:szCs w:val="20"/>
                <w:color w:val="auto"/>
              </w:rPr>
            </w:pPr>
            <w:r>
              <w:rPr>
                <w:rFonts w:ascii="Arial" w:cs="Arial" w:eastAsia="Arial" w:hAnsi="Arial"/>
                <w:sz w:val="18"/>
                <w:szCs w:val="18"/>
                <w:color w:val="auto"/>
              </w:rPr>
              <w:t>Accrued rebates</w:t>
            </w:r>
          </w:p>
        </w:tc>
        <w:tc>
          <w:tcPr>
            <w:tcW w:w="35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$22,701</w:t>
            </w:r>
          </w:p>
        </w:tc>
        <w:tc>
          <w:tcPr>
            <w:tcW w:w="66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32,405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20" w:type="dxa"/>
            <w:vAlign w:val="bottom"/>
          </w:tcPr>
          <w:p>
            <w:pPr>
              <w:spacing w:after="0"/>
              <w:rPr>
                <w:sz w:val="20"/>
                <w:szCs w:val="20"/>
                <w:color w:val="auto"/>
              </w:rPr>
            </w:pPr>
            <w:r>
              <w:rPr>
                <w:rFonts w:ascii="Arial" w:cs="Arial" w:eastAsia="Arial" w:hAnsi="Arial"/>
                <w:sz w:val="18"/>
                <w:szCs w:val="18"/>
                <w:color w:val="auto"/>
              </w:rPr>
              <w:t>Accrued royalties</w:t>
            </w:r>
          </w:p>
        </w:tc>
        <w:tc>
          <w:tcPr>
            <w:tcW w:w="3560" w:type="dxa"/>
            <w:vAlign w:val="bottom"/>
            <w:gridSpan w:val="3"/>
          </w:tcPr>
          <w:p>
            <w:pPr>
              <w:jc w:val="right"/>
              <w:spacing w:after="0"/>
              <w:rPr>
                <w:sz w:val="20"/>
                <w:szCs w:val="20"/>
                <w:color w:val="auto"/>
              </w:rPr>
            </w:pPr>
            <w:r>
              <w:rPr>
                <w:rFonts w:ascii="Arial" w:cs="Arial" w:eastAsia="Arial" w:hAnsi="Arial"/>
                <w:sz w:val="18"/>
                <w:szCs w:val="18"/>
                <w:color w:val="auto"/>
              </w:rPr>
              <w:t>15,228</w:t>
            </w:r>
          </w:p>
        </w:tc>
        <w:tc>
          <w:tcPr>
            <w:tcW w:w="5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14,018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20" w:type="dxa"/>
            <w:vAlign w:val="bottom"/>
            <w:shd w:val="clear" w:color="auto" w:fill="CCEEFF"/>
          </w:tcPr>
          <w:p>
            <w:pPr>
              <w:spacing w:after="0"/>
              <w:rPr>
                <w:sz w:val="20"/>
                <w:szCs w:val="20"/>
                <w:color w:val="auto"/>
              </w:rPr>
            </w:pPr>
            <w:r>
              <w:rPr>
                <w:rFonts w:ascii="Arial" w:cs="Arial" w:eastAsia="Arial" w:hAnsi="Arial"/>
                <w:sz w:val="18"/>
                <w:szCs w:val="18"/>
                <w:color w:val="auto"/>
              </w:rPr>
              <w:t>Accrued legal and professional services</w:t>
            </w:r>
          </w:p>
        </w:tc>
        <w:tc>
          <w:tcPr>
            <w:tcW w:w="35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9,603</w:t>
            </w:r>
          </w:p>
        </w:tc>
        <w:tc>
          <w:tcPr>
            <w:tcW w:w="5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10,676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20" w:type="dxa"/>
            <w:vAlign w:val="bottom"/>
          </w:tcPr>
          <w:p>
            <w:pPr>
              <w:spacing w:after="0"/>
              <w:rPr>
                <w:sz w:val="20"/>
                <w:szCs w:val="20"/>
                <w:color w:val="auto"/>
              </w:rPr>
            </w:pPr>
            <w:r>
              <w:rPr>
                <w:rFonts w:ascii="Arial" w:cs="Arial" w:eastAsia="Arial" w:hAnsi="Arial"/>
                <w:sz w:val="18"/>
                <w:szCs w:val="18"/>
                <w:color w:val="auto"/>
              </w:rPr>
              <w:t>Customer advances</w:t>
            </w:r>
          </w:p>
        </w:tc>
        <w:tc>
          <w:tcPr>
            <w:tcW w:w="3560" w:type="dxa"/>
            <w:vAlign w:val="bottom"/>
            <w:gridSpan w:val="3"/>
          </w:tcPr>
          <w:p>
            <w:pPr>
              <w:jc w:val="right"/>
              <w:spacing w:after="0"/>
              <w:rPr>
                <w:sz w:val="20"/>
                <w:szCs w:val="20"/>
                <w:color w:val="auto"/>
              </w:rPr>
            </w:pPr>
            <w:r>
              <w:rPr>
                <w:rFonts w:ascii="Arial" w:cs="Arial" w:eastAsia="Arial" w:hAnsi="Arial"/>
                <w:sz w:val="18"/>
                <w:szCs w:val="18"/>
                <w:color w:val="auto"/>
              </w:rPr>
              <w:t>3,150</w:t>
            </w:r>
          </w:p>
        </w:tc>
        <w:tc>
          <w:tcPr>
            <w:tcW w:w="5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3,515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20" w:type="dxa"/>
            <w:vAlign w:val="bottom"/>
            <w:shd w:val="clear" w:color="auto" w:fill="CCEEFF"/>
          </w:tcPr>
          <w:p>
            <w:pPr>
              <w:spacing w:after="0"/>
              <w:rPr>
                <w:sz w:val="20"/>
                <w:szCs w:val="20"/>
                <w:color w:val="auto"/>
              </w:rPr>
            </w:pPr>
            <w:r>
              <w:rPr>
                <w:rFonts w:ascii="Arial" w:cs="Arial" w:eastAsia="Arial" w:hAnsi="Arial"/>
                <w:sz w:val="18"/>
                <w:szCs w:val="18"/>
                <w:color w:val="auto"/>
              </w:rPr>
              <w:t>Technology license obligation</w:t>
            </w:r>
          </w:p>
        </w:tc>
        <w:tc>
          <w:tcPr>
            <w:tcW w:w="35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8,850</w:t>
            </w:r>
          </w:p>
        </w:tc>
        <w:tc>
          <w:tcPr>
            <w:tcW w:w="5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4,850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20" w:type="dxa"/>
            <w:vAlign w:val="bottom"/>
          </w:tcPr>
          <w:p>
            <w:pPr>
              <w:spacing w:after="0"/>
              <w:rPr>
                <w:sz w:val="20"/>
                <w:szCs w:val="20"/>
                <w:color w:val="auto"/>
              </w:rPr>
            </w:pPr>
            <w:r>
              <w:rPr>
                <w:rFonts w:ascii="Arial" w:cs="Arial" w:eastAsia="Arial" w:hAnsi="Arial"/>
                <w:sz w:val="18"/>
                <w:szCs w:val="18"/>
                <w:color w:val="auto"/>
              </w:rPr>
              <w:t>Accrued sales/goods and services tax</w:t>
            </w:r>
          </w:p>
        </w:tc>
        <w:tc>
          <w:tcPr>
            <w:tcW w:w="3560" w:type="dxa"/>
            <w:vAlign w:val="bottom"/>
            <w:gridSpan w:val="3"/>
          </w:tcPr>
          <w:p>
            <w:pPr>
              <w:jc w:val="right"/>
              <w:spacing w:after="0"/>
              <w:rPr>
                <w:sz w:val="20"/>
                <w:szCs w:val="20"/>
                <w:color w:val="auto"/>
              </w:rPr>
            </w:pPr>
            <w:r>
              <w:rPr>
                <w:rFonts w:ascii="Arial" w:cs="Arial" w:eastAsia="Arial" w:hAnsi="Arial"/>
                <w:sz w:val="18"/>
                <w:szCs w:val="18"/>
                <w:color w:val="auto"/>
              </w:rPr>
              <w:t>2,518</w:t>
            </w:r>
          </w:p>
        </w:tc>
        <w:tc>
          <w:tcPr>
            <w:tcW w:w="5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3,679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2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2980" w:type="dxa"/>
            <w:vAlign w:val="bottom"/>
            <w:gridSpan w:val="2"/>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17,143</w:t>
            </w:r>
          </w:p>
        </w:tc>
        <w:tc>
          <w:tcPr>
            <w:tcW w:w="5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16,851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4960" w:type="dxa"/>
            <w:vAlign w:val="bottom"/>
            <w:gridSpan w:val="2"/>
          </w:tcPr>
          <w:p>
            <w:pPr>
              <w:ind w:left="1140"/>
              <w:spacing w:after="0"/>
              <w:rPr>
                <w:sz w:val="20"/>
                <w:szCs w:val="20"/>
                <w:color w:val="auto"/>
              </w:rPr>
            </w:pPr>
            <w:r>
              <w:rPr>
                <w:rFonts w:ascii="Arial" w:cs="Arial" w:eastAsia="Arial" w:hAnsi="Arial"/>
                <w:sz w:val="18"/>
                <w:szCs w:val="18"/>
                <w:color w:val="auto"/>
              </w:rPr>
              <w:t>Accrued liabilities</w:t>
            </w:r>
          </w:p>
        </w:tc>
        <w:tc>
          <w:tcPr>
            <w:tcW w:w="3560" w:type="dxa"/>
            <w:vAlign w:val="bottom"/>
            <w:gridSpan w:val="3"/>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79,193</w:t>
            </w:r>
          </w:p>
        </w:tc>
        <w:tc>
          <w:tcPr>
            <w:tcW w:w="66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85,994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96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Other long-term liabilities</w:t>
            </w:r>
          </w:p>
        </w:tc>
        <w:tc>
          <w:tcPr>
            <w:tcW w:w="28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3"/>
        </w:trPr>
        <w:tc>
          <w:tcPr>
            <w:tcW w:w="4960" w:type="dxa"/>
            <w:vAlign w:val="bottom"/>
            <w:gridSpan w:val="2"/>
            <w:vMerge w:val="continue"/>
          </w:tcPr>
          <w:p>
            <w:pPr>
              <w:spacing w:after="0"/>
              <w:rPr>
                <w:sz w:val="24"/>
                <w:szCs w:val="24"/>
                <w:color w:val="auto"/>
              </w:rPr>
            </w:pPr>
          </w:p>
        </w:tc>
        <w:tc>
          <w:tcPr>
            <w:tcW w:w="28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1140" w:type="dxa"/>
            <w:vAlign w:val="bottom"/>
          </w:tcPr>
          <w:p>
            <w:pPr>
              <w:spacing w:after="0"/>
              <w:rPr>
                <w:sz w:val="24"/>
                <w:szCs w:val="24"/>
                <w:color w:val="auto"/>
              </w:rPr>
            </w:pPr>
          </w:p>
        </w:tc>
        <w:tc>
          <w:tcPr>
            <w:tcW w:w="3820" w:type="dxa"/>
            <w:vAlign w:val="bottom"/>
          </w:tcPr>
          <w:p>
            <w:pPr>
              <w:spacing w:after="0"/>
              <w:rPr>
                <w:sz w:val="24"/>
                <w:szCs w:val="24"/>
                <w:color w:val="auto"/>
              </w:rPr>
            </w:pPr>
          </w:p>
        </w:tc>
        <w:tc>
          <w:tcPr>
            <w:tcW w:w="28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jc w:val="center"/>
              <w:spacing w:after="0"/>
              <w:rPr>
                <w:sz w:val="20"/>
                <w:szCs w:val="20"/>
                <w:color w:val="auto"/>
              </w:rPr>
            </w:pPr>
            <w:r>
              <w:rPr>
                <w:rFonts w:ascii="Arial" w:cs="Arial" w:eastAsia="Arial" w:hAnsi="Arial"/>
                <w:sz w:val="14"/>
                <w:szCs w:val="14"/>
                <w:b w:val="1"/>
                <w:bCs w:val="1"/>
                <w:color w:val="auto"/>
                <w:w w:val="94"/>
              </w:rPr>
              <w:t>April 30,</w:t>
            </w:r>
          </w:p>
        </w:tc>
        <w:tc>
          <w:tcPr>
            <w:tcW w:w="1300" w:type="dxa"/>
            <w:vAlign w:val="bottom"/>
            <w:gridSpan w:val="4"/>
          </w:tcPr>
          <w:p>
            <w:pPr>
              <w:ind w:left="500"/>
              <w:spacing w:after="0"/>
              <w:rPr>
                <w:sz w:val="20"/>
                <w:szCs w:val="20"/>
                <w:color w:val="auto"/>
              </w:rPr>
            </w:pPr>
            <w:r>
              <w:rPr>
                <w:rFonts w:ascii="Arial" w:cs="Arial" w:eastAsia="Arial" w:hAnsi="Arial"/>
                <w:sz w:val="14"/>
                <w:szCs w:val="14"/>
                <w:b w:val="1"/>
                <w:bCs w:val="1"/>
                <w:color w:val="auto"/>
              </w:rPr>
              <w:t>January 29,</w:t>
            </w:r>
          </w:p>
        </w:tc>
        <w:tc>
          <w:tcPr>
            <w:tcW w:w="0" w:type="dxa"/>
            <w:vAlign w:val="bottom"/>
          </w:tcPr>
          <w:p>
            <w:pPr>
              <w:spacing w:after="0"/>
              <w:rPr>
                <w:sz w:val="1"/>
                <w:szCs w:val="1"/>
                <w:color w:val="auto"/>
              </w:rPr>
            </w:pPr>
          </w:p>
        </w:tc>
      </w:tr>
      <w:tr>
        <w:trPr>
          <w:trHeight w:val="161"/>
        </w:trPr>
        <w:tc>
          <w:tcPr>
            <w:tcW w:w="1140" w:type="dxa"/>
            <w:vAlign w:val="bottom"/>
          </w:tcPr>
          <w:p>
            <w:pPr>
              <w:spacing w:after="0"/>
              <w:rPr>
                <w:sz w:val="14"/>
                <w:szCs w:val="14"/>
                <w:color w:val="auto"/>
              </w:rPr>
            </w:pPr>
          </w:p>
        </w:tc>
        <w:tc>
          <w:tcPr>
            <w:tcW w:w="3820" w:type="dxa"/>
            <w:vAlign w:val="bottom"/>
          </w:tcPr>
          <w:p>
            <w:pPr>
              <w:spacing w:after="0"/>
              <w:rPr>
                <w:sz w:val="14"/>
                <w:szCs w:val="14"/>
                <w:color w:val="auto"/>
              </w:rPr>
            </w:pPr>
          </w:p>
        </w:tc>
        <w:tc>
          <w:tcPr>
            <w:tcW w:w="2980" w:type="dxa"/>
            <w:vAlign w:val="bottom"/>
            <w:gridSpan w:val="2"/>
          </w:tcPr>
          <w:p>
            <w:pPr>
              <w:spacing w:after="0"/>
              <w:rPr>
                <w:sz w:val="14"/>
                <w:szCs w:val="14"/>
                <w:color w:val="auto"/>
              </w:rPr>
            </w:pPr>
          </w:p>
        </w:tc>
        <w:tc>
          <w:tcPr>
            <w:tcW w:w="5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3"/>
              </w:rPr>
              <w:t>2011</w:t>
            </w:r>
          </w:p>
        </w:tc>
        <w:tc>
          <w:tcPr>
            <w:tcW w:w="5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w w:val="96"/>
              </w:rPr>
              <w:t>2011</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1140" w:type="dxa"/>
            <w:vAlign w:val="bottom"/>
          </w:tcPr>
          <w:p>
            <w:pPr>
              <w:spacing w:after="0"/>
              <w:rPr>
                <w:sz w:val="18"/>
                <w:szCs w:val="18"/>
                <w:color w:val="auto"/>
              </w:rPr>
            </w:pPr>
          </w:p>
        </w:tc>
        <w:tc>
          <w:tcPr>
            <w:tcW w:w="3820" w:type="dxa"/>
            <w:vAlign w:val="bottom"/>
            <w:shd w:val="clear" w:color="auto" w:fill="CCEEFF"/>
          </w:tcPr>
          <w:p>
            <w:pPr>
              <w:spacing w:after="0"/>
              <w:rPr>
                <w:sz w:val="20"/>
                <w:szCs w:val="20"/>
                <w:color w:val="auto"/>
              </w:rPr>
            </w:pPr>
            <w:r>
              <w:rPr>
                <w:rFonts w:ascii="Arial" w:cs="Arial" w:eastAsia="Arial" w:hAnsi="Arial"/>
                <w:sz w:val="18"/>
                <w:szCs w:val="18"/>
                <w:color w:val="auto"/>
              </w:rPr>
              <w:t>Accrued severance</w:t>
            </w:r>
          </w:p>
        </w:tc>
        <w:tc>
          <w:tcPr>
            <w:tcW w:w="35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$ 3,666</w:t>
            </w:r>
          </w:p>
        </w:tc>
        <w:tc>
          <w:tcPr>
            <w:tcW w:w="66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3,226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20" w:type="dxa"/>
            <w:vAlign w:val="bottom"/>
          </w:tcPr>
          <w:p>
            <w:pPr>
              <w:spacing w:after="0"/>
              <w:rPr>
                <w:sz w:val="20"/>
                <w:szCs w:val="20"/>
                <w:color w:val="auto"/>
              </w:rPr>
            </w:pPr>
            <w:r>
              <w:rPr>
                <w:rFonts w:ascii="Arial" w:cs="Arial" w:eastAsia="Arial" w:hAnsi="Arial"/>
                <w:sz w:val="18"/>
                <w:szCs w:val="18"/>
                <w:color w:val="auto"/>
              </w:rPr>
              <w:t>Facilities consolidation</w:t>
            </w:r>
          </w:p>
        </w:tc>
        <w:tc>
          <w:tcPr>
            <w:tcW w:w="3560" w:type="dxa"/>
            <w:vAlign w:val="bottom"/>
            <w:gridSpan w:val="3"/>
          </w:tcPr>
          <w:p>
            <w:pPr>
              <w:jc w:val="right"/>
              <w:spacing w:after="0"/>
              <w:rPr>
                <w:sz w:val="20"/>
                <w:szCs w:val="20"/>
                <w:color w:val="auto"/>
              </w:rPr>
            </w:pPr>
            <w:r>
              <w:rPr>
                <w:rFonts w:ascii="Arial" w:cs="Arial" w:eastAsia="Arial" w:hAnsi="Arial"/>
                <w:sz w:val="18"/>
                <w:szCs w:val="18"/>
                <w:color w:val="auto"/>
              </w:rPr>
              <w:t>2,729</w:t>
            </w:r>
          </w:p>
        </w:tc>
        <w:tc>
          <w:tcPr>
            <w:tcW w:w="5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3,271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20" w:type="dxa"/>
            <w:vAlign w:val="bottom"/>
            <w:shd w:val="clear" w:color="auto" w:fill="CCEEFF"/>
          </w:tcPr>
          <w:p>
            <w:pPr>
              <w:spacing w:after="0"/>
              <w:rPr>
                <w:sz w:val="20"/>
                <w:szCs w:val="20"/>
                <w:color w:val="auto"/>
              </w:rPr>
            </w:pPr>
            <w:r>
              <w:rPr>
                <w:rFonts w:ascii="Arial" w:cs="Arial" w:eastAsia="Arial" w:hAnsi="Arial"/>
                <w:sz w:val="18"/>
                <w:szCs w:val="18"/>
                <w:color w:val="auto"/>
              </w:rPr>
              <w:t>Technology license obligation</w:t>
            </w:r>
          </w:p>
        </w:tc>
        <w:tc>
          <w:tcPr>
            <w:tcW w:w="35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13,865</w:t>
            </w:r>
          </w:p>
        </w:tc>
        <w:tc>
          <w:tcPr>
            <w:tcW w:w="5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19,218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20" w:type="dxa"/>
            <w:vAlign w:val="bottom"/>
          </w:tcPr>
          <w:p>
            <w:pPr>
              <w:spacing w:after="0"/>
              <w:rPr>
                <w:sz w:val="20"/>
                <w:szCs w:val="20"/>
                <w:color w:val="auto"/>
              </w:rPr>
            </w:pPr>
            <w:r>
              <w:rPr>
                <w:rFonts w:ascii="Arial" w:cs="Arial" w:eastAsia="Arial" w:hAnsi="Arial"/>
                <w:sz w:val="18"/>
                <w:szCs w:val="18"/>
                <w:color w:val="auto"/>
              </w:rPr>
              <w:t>Long-term accrued employee compensation</w:t>
            </w:r>
          </w:p>
        </w:tc>
        <w:tc>
          <w:tcPr>
            <w:tcW w:w="3560" w:type="dxa"/>
            <w:vAlign w:val="bottom"/>
            <w:gridSpan w:val="3"/>
          </w:tcPr>
          <w:p>
            <w:pPr>
              <w:jc w:val="right"/>
              <w:spacing w:after="0"/>
              <w:rPr>
                <w:sz w:val="20"/>
                <w:szCs w:val="20"/>
                <w:color w:val="auto"/>
              </w:rPr>
            </w:pPr>
            <w:r>
              <w:rPr>
                <w:rFonts w:ascii="Arial" w:cs="Arial" w:eastAsia="Arial" w:hAnsi="Arial"/>
                <w:sz w:val="18"/>
                <w:szCs w:val="18"/>
                <w:color w:val="auto"/>
              </w:rPr>
              <w:t>8,548</w:t>
            </w:r>
          </w:p>
        </w:tc>
        <w:tc>
          <w:tcPr>
            <w:tcW w:w="5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9,258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2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2980" w:type="dxa"/>
            <w:vAlign w:val="bottom"/>
            <w:gridSpan w:val="2"/>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8,214</w:t>
            </w:r>
          </w:p>
        </w:tc>
        <w:tc>
          <w:tcPr>
            <w:tcW w:w="5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4,367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4960" w:type="dxa"/>
            <w:vAlign w:val="bottom"/>
            <w:gridSpan w:val="2"/>
          </w:tcPr>
          <w:p>
            <w:pPr>
              <w:ind w:left="1140"/>
              <w:spacing w:after="0"/>
              <w:rPr>
                <w:sz w:val="20"/>
                <w:szCs w:val="20"/>
                <w:color w:val="auto"/>
              </w:rPr>
            </w:pPr>
            <w:r>
              <w:rPr>
                <w:rFonts w:ascii="Arial" w:cs="Arial" w:eastAsia="Arial" w:hAnsi="Arial"/>
                <w:sz w:val="18"/>
                <w:szCs w:val="18"/>
                <w:color w:val="auto"/>
              </w:rPr>
              <w:t>Other long-term liabilities</w:t>
            </w:r>
          </w:p>
        </w:tc>
        <w:tc>
          <w:tcPr>
            <w:tcW w:w="3560" w:type="dxa"/>
            <w:vAlign w:val="bottom"/>
            <w:gridSpan w:val="3"/>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37,022</w:t>
            </w:r>
          </w:p>
        </w:tc>
        <w:tc>
          <w:tcPr>
            <w:tcW w:w="66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39,340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1140" w:type="dxa"/>
            <w:vAlign w:val="bottom"/>
          </w:tcPr>
          <w:p>
            <w:pPr>
              <w:spacing w:after="0" w:line="20" w:lineRule="exact"/>
              <w:rPr>
                <w:sz w:val="1"/>
                <w:szCs w:val="1"/>
                <w:color w:val="auto"/>
              </w:rPr>
            </w:pPr>
          </w:p>
        </w:tc>
        <w:tc>
          <w:tcPr>
            <w:tcW w:w="3820" w:type="dxa"/>
            <w:vAlign w:val="bottom"/>
          </w:tcPr>
          <w:p>
            <w:pPr>
              <w:spacing w:after="0" w:line="20" w:lineRule="exact"/>
              <w:rPr>
                <w:sz w:val="1"/>
                <w:szCs w:val="1"/>
                <w:color w:val="auto"/>
              </w:rPr>
            </w:pPr>
          </w:p>
        </w:tc>
        <w:tc>
          <w:tcPr>
            <w:tcW w:w="2880" w:type="dxa"/>
            <w:vAlign w:val="bottom"/>
            <w:vMerge w:val="restart"/>
          </w:tcPr>
          <w:p>
            <w:pPr>
              <w:jc w:val="right"/>
              <w:ind w:right="2232"/>
              <w:spacing w:after="0"/>
              <w:rPr>
                <w:sz w:val="20"/>
                <w:szCs w:val="20"/>
                <w:color w:val="auto"/>
              </w:rPr>
            </w:pPr>
            <w:r>
              <w:rPr>
                <w:rFonts w:ascii="Arial" w:cs="Arial" w:eastAsia="Arial" w:hAnsi="Arial"/>
                <w:sz w:val="18"/>
                <w:szCs w:val="18"/>
                <w:color w:val="auto"/>
              </w:rPr>
              <w:t>8</w:t>
            </w:r>
          </w:p>
        </w:tc>
        <w:tc>
          <w:tcPr>
            <w:tcW w:w="1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1140" w:type="dxa"/>
            <w:vAlign w:val="bottom"/>
          </w:tcPr>
          <w:p>
            <w:pPr>
              <w:spacing w:after="0"/>
              <w:rPr>
                <w:sz w:val="24"/>
                <w:szCs w:val="24"/>
                <w:color w:val="auto"/>
              </w:rPr>
            </w:pPr>
          </w:p>
        </w:tc>
        <w:tc>
          <w:tcPr>
            <w:tcW w:w="3820" w:type="dxa"/>
            <w:vAlign w:val="bottom"/>
          </w:tcPr>
          <w:p>
            <w:pPr>
              <w:spacing w:after="0"/>
              <w:rPr>
                <w:sz w:val="24"/>
                <w:szCs w:val="24"/>
                <w:color w:val="auto"/>
              </w:rPr>
            </w:pPr>
          </w:p>
        </w:tc>
        <w:tc>
          <w:tcPr>
            <w:tcW w:w="288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219"/>
          </w:cols>
          <w:pgMar w:left="240" w:top="459" w:right="1440"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Net income per share</w:t>
      </w:r>
    </w:p>
    <w:p>
      <w:pPr>
        <w:spacing w:after="0" w:line="96" w:lineRule="exact"/>
        <w:rPr>
          <w:sz w:val="20"/>
          <w:szCs w:val="20"/>
          <w:color w:val="auto"/>
        </w:rPr>
      </w:pPr>
    </w:p>
    <w:p>
      <w:pPr>
        <w:ind w:right="160" w:firstLine="456"/>
        <w:spacing w:after="0" w:line="306" w:lineRule="auto"/>
        <w:rPr>
          <w:sz w:val="20"/>
          <w:szCs w:val="20"/>
          <w:color w:val="auto"/>
        </w:rPr>
      </w:pPr>
      <w:r>
        <w:rPr>
          <w:rFonts w:ascii="Arial" w:cs="Arial" w:eastAsia="Arial" w:hAnsi="Arial"/>
          <w:sz w:val="16"/>
          <w:szCs w:val="16"/>
          <w:color w:val="auto"/>
        </w:rPr>
        <w:t>The Company reports both basic net income per share, which is based upon the weighted average number of common shares outstanding and diluted net income per share, which is based on the weighted average number of common shares outstanding and dilutive potential common shares. The computations of basic and diluted net income per share are presented in the following table (in thousands, except per share amounts):</w:t>
      </w:r>
    </w:p>
    <w:p>
      <w:pPr>
        <w:spacing w:after="0" w:line="143"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5020" w:type="dxa"/>
            <w:vAlign w:val="bottom"/>
          </w:tcPr>
          <w:p>
            <w:pPr>
              <w:spacing w:after="0"/>
              <w:rPr>
                <w:sz w:val="14"/>
                <w:szCs w:val="14"/>
                <w:color w:val="auto"/>
              </w:rPr>
            </w:pPr>
          </w:p>
        </w:tc>
        <w:tc>
          <w:tcPr>
            <w:tcW w:w="17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800" w:type="dxa"/>
            <w:vAlign w:val="bottom"/>
            <w:gridSpan w:val="5"/>
          </w:tcPr>
          <w:p>
            <w:pPr>
              <w:ind w:left="18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29"/>
        </w:trPr>
        <w:tc>
          <w:tcPr>
            <w:tcW w:w="5020" w:type="dxa"/>
            <w:vAlign w:val="bottom"/>
          </w:tcPr>
          <w:p>
            <w:pPr>
              <w:spacing w:after="0"/>
              <w:rPr>
                <w:sz w:val="11"/>
                <w:szCs w:val="11"/>
                <w:color w:val="auto"/>
              </w:rPr>
            </w:pPr>
          </w:p>
        </w:tc>
        <w:tc>
          <w:tcPr>
            <w:tcW w:w="1780" w:type="dxa"/>
            <w:vAlign w:val="bottom"/>
          </w:tcPr>
          <w:p>
            <w:pPr>
              <w:spacing w:after="0"/>
              <w:rPr>
                <w:sz w:val="11"/>
                <w:szCs w:val="11"/>
                <w:color w:val="auto"/>
              </w:rPr>
            </w:pPr>
          </w:p>
        </w:tc>
        <w:tc>
          <w:tcPr>
            <w:tcW w:w="680" w:type="dxa"/>
            <w:vAlign w:val="bottom"/>
            <w:tcBorders>
              <w:top w:val="single" w:sz="8" w:color="auto"/>
            </w:tcBorders>
            <w:gridSpan w:val="2"/>
          </w:tcPr>
          <w:p>
            <w:pPr>
              <w:jc w:val="right"/>
              <w:ind w:right="17"/>
              <w:spacing w:after="0" w:line="129" w:lineRule="exact"/>
              <w:rPr>
                <w:sz w:val="20"/>
                <w:szCs w:val="20"/>
                <w:color w:val="auto"/>
              </w:rPr>
            </w:pPr>
            <w:r>
              <w:rPr>
                <w:rFonts w:ascii="Arial" w:cs="Arial" w:eastAsia="Arial" w:hAnsi="Arial"/>
                <w:sz w:val="14"/>
                <w:szCs w:val="14"/>
                <w:b w:val="1"/>
                <w:bCs w:val="1"/>
                <w:color w:val="auto"/>
              </w:rPr>
              <w:t>April 30,</w:t>
            </w:r>
          </w:p>
        </w:tc>
        <w:tc>
          <w:tcPr>
            <w:tcW w:w="42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ind w:right="57"/>
              <w:spacing w:after="0" w:line="129" w:lineRule="exact"/>
              <w:rPr>
                <w:sz w:val="20"/>
                <w:szCs w:val="20"/>
                <w:color w:val="auto"/>
              </w:rPr>
            </w:pPr>
            <w:r>
              <w:rPr>
                <w:rFonts w:ascii="Arial" w:cs="Arial" w:eastAsia="Arial" w:hAnsi="Arial"/>
                <w:sz w:val="14"/>
                <w:szCs w:val="14"/>
                <w:b w:val="1"/>
                <w:bCs w:val="1"/>
                <w:color w:val="auto"/>
                <w:w w:val="98"/>
              </w:rPr>
              <w:t>May 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020" w:type="dxa"/>
            <w:vAlign w:val="bottom"/>
          </w:tcPr>
          <w:p>
            <w:pPr>
              <w:spacing w:after="0"/>
              <w:rPr>
                <w:sz w:val="14"/>
                <w:szCs w:val="14"/>
                <w:color w:val="auto"/>
              </w:rPr>
            </w:pPr>
          </w:p>
        </w:tc>
        <w:tc>
          <w:tcPr>
            <w:tcW w:w="178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7"/>
              <w:spacing w:after="0"/>
              <w:rPr>
                <w:sz w:val="20"/>
                <w:szCs w:val="20"/>
                <w:color w:val="auto"/>
              </w:rPr>
            </w:pPr>
            <w:r>
              <w:rPr>
                <w:rFonts w:ascii="Arial" w:cs="Arial" w:eastAsia="Arial" w:hAnsi="Arial"/>
                <w:sz w:val="14"/>
                <w:szCs w:val="14"/>
                <w:b w:val="1"/>
                <w:bCs w:val="1"/>
                <w:color w:val="auto"/>
              </w:rPr>
              <w:t>2011</w:t>
            </w:r>
          </w:p>
        </w:tc>
        <w:tc>
          <w:tcPr>
            <w:tcW w:w="4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7"/>
              <w:spacing w:after="0"/>
              <w:rPr>
                <w:sz w:val="20"/>
                <w:szCs w:val="20"/>
                <w:color w:val="auto"/>
              </w:rPr>
            </w:pPr>
            <w:r>
              <w:rPr>
                <w:rFonts w:ascii="Arial" w:cs="Arial" w:eastAsia="Arial" w:hAnsi="Arial"/>
                <w:sz w:val="14"/>
                <w:szCs w:val="14"/>
                <w:b w:val="1"/>
                <w:bCs w:val="1"/>
                <w:color w:val="auto"/>
              </w:rPr>
              <w:t>2010</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Numerator:</w:t>
            </w:r>
          </w:p>
        </w:tc>
        <w:tc>
          <w:tcPr>
            <w:tcW w:w="17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020" w:type="dxa"/>
            <w:vAlign w:val="bottom"/>
          </w:tcPr>
          <w:p>
            <w:pPr>
              <w:ind w:left="440"/>
              <w:spacing w:after="0"/>
              <w:rPr>
                <w:sz w:val="20"/>
                <w:szCs w:val="20"/>
                <w:color w:val="auto"/>
              </w:rPr>
            </w:pPr>
            <w:r>
              <w:rPr>
                <w:rFonts w:ascii="Arial" w:cs="Arial" w:eastAsia="Arial" w:hAnsi="Arial"/>
                <w:sz w:val="18"/>
                <w:szCs w:val="18"/>
                <w:color w:val="auto"/>
              </w:rPr>
              <w:t>Net income</w:t>
            </w:r>
          </w:p>
        </w:tc>
        <w:tc>
          <w:tcPr>
            <w:tcW w:w="186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86"/>
              </w:rPr>
              <w:t>146,861</w:t>
            </w:r>
          </w:p>
        </w:tc>
        <w:tc>
          <w:tcPr>
            <w:tcW w:w="520" w:type="dxa"/>
            <w:vAlign w:val="bottom"/>
            <w:gridSpan w:val="2"/>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205,767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020" w:type="dxa"/>
            <w:vAlign w:val="bottom"/>
          </w:tcPr>
          <w:p>
            <w:pPr>
              <w:spacing w:after="0" w:line="20" w:lineRule="exact"/>
              <w:rPr>
                <w:sz w:val="1"/>
                <w:szCs w:val="1"/>
                <w:color w:val="auto"/>
              </w:rPr>
            </w:pPr>
          </w:p>
        </w:tc>
        <w:tc>
          <w:tcPr>
            <w:tcW w:w="17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Denominator:</w:t>
            </w:r>
          </w:p>
        </w:tc>
        <w:tc>
          <w:tcPr>
            <w:tcW w:w="17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020" w:type="dxa"/>
            <w:vAlign w:val="bottom"/>
          </w:tcPr>
          <w:p>
            <w:pPr>
              <w:spacing w:after="0"/>
              <w:rPr>
                <w:sz w:val="20"/>
                <w:szCs w:val="20"/>
                <w:color w:val="auto"/>
              </w:rPr>
            </w:pPr>
            <w:r>
              <w:rPr>
                <w:rFonts w:ascii="Arial" w:cs="Arial" w:eastAsia="Arial" w:hAnsi="Arial"/>
                <w:sz w:val="18"/>
                <w:szCs w:val="18"/>
                <w:color w:val="auto"/>
              </w:rPr>
              <w:t>Weighted average common shares outstanding</w:t>
            </w:r>
          </w:p>
        </w:tc>
        <w:tc>
          <w:tcPr>
            <w:tcW w:w="1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6"/>
              </w:rPr>
              <w:t>638,946</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640,926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Effect of dilutive securities:</w:t>
            </w:r>
          </w:p>
        </w:tc>
        <w:tc>
          <w:tcPr>
            <w:tcW w:w="17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5020" w:type="dxa"/>
            <w:vAlign w:val="bottom"/>
          </w:tcPr>
          <w:p>
            <w:pPr>
              <w:spacing w:after="0"/>
              <w:rPr>
                <w:sz w:val="20"/>
                <w:szCs w:val="20"/>
                <w:color w:val="auto"/>
              </w:rPr>
            </w:pPr>
            <w:r>
              <w:rPr>
                <w:rFonts w:ascii="Arial" w:cs="Arial" w:eastAsia="Arial" w:hAnsi="Arial"/>
                <w:sz w:val="18"/>
                <w:szCs w:val="18"/>
                <w:color w:val="auto"/>
              </w:rPr>
              <w:t>Common share options and other</w:t>
            </w:r>
          </w:p>
        </w:tc>
        <w:tc>
          <w:tcPr>
            <w:tcW w:w="178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18,194</w:t>
            </w:r>
          </w:p>
        </w:tc>
        <w:tc>
          <w:tcPr>
            <w:tcW w:w="4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37,133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50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Weighted average shares — diluted</w:t>
            </w:r>
          </w:p>
        </w:tc>
        <w:tc>
          <w:tcPr>
            <w:tcW w:w="178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657,140</w:t>
            </w:r>
          </w:p>
        </w:tc>
        <w:tc>
          <w:tcPr>
            <w:tcW w:w="4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678,059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020" w:type="dxa"/>
            <w:vAlign w:val="bottom"/>
            <w:vMerge w:val="restart"/>
          </w:tcPr>
          <w:p>
            <w:pPr>
              <w:spacing w:after="0"/>
              <w:rPr>
                <w:sz w:val="20"/>
                <w:szCs w:val="20"/>
                <w:color w:val="auto"/>
              </w:rPr>
            </w:pPr>
            <w:r>
              <w:rPr>
                <w:rFonts w:ascii="Arial" w:cs="Arial" w:eastAsia="Arial" w:hAnsi="Arial"/>
                <w:sz w:val="18"/>
                <w:szCs w:val="18"/>
                <w:color w:val="auto"/>
              </w:rPr>
              <w:t>Net income per share:</w:t>
            </w:r>
          </w:p>
        </w:tc>
        <w:tc>
          <w:tcPr>
            <w:tcW w:w="178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020" w:type="dxa"/>
            <w:vAlign w:val="bottom"/>
            <w:vMerge w:val="continue"/>
          </w:tcPr>
          <w:p>
            <w:pPr>
              <w:spacing w:after="0"/>
              <w:rPr>
                <w:sz w:val="18"/>
                <w:szCs w:val="18"/>
                <w:color w:val="auto"/>
              </w:rPr>
            </w:pPr>
          </w:p>
        </w:tc>
        <w:tc>
          <w:tcPr>
            <w:tcW w:w="1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50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Basic</w:t>
            </w:r>
          </w:p>
        </w:tc>
        <w:tc>
          <w:tcPr>
            <w:tcW w:w="1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0.23</w:t>
            </w:r>
          </w:p>
        </w:tc>
        <w:tc>
          <w:tcPr>
            <w:tcW w:w="5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5020" w:type="dxa"/>
            <w:vAlign w:val="bottom"/>
          </w:tcPr>
          <w:p>
            <w:pPr>
              <w:ind w:left="440"/>
              <w:spacing w:after="0"/>
              <w:rPr>
                <w:sz w:val="20"/>
                <w:szCs w:val="20"/>
                <w:color w:val="auto"/>
              </w:rPr>
            </w:pPr>
            <w:r>
              <w:rPr>
                <w:rFonts w:ascii="Arial" w:cs="Arial" w:eastAsia="Arial" w:hAnsi="Arial"/>
                <w:sz w:val="18"/>
                <w:szCs w:val="18"/>
                <w:color w:val="auto"/>
              </w:rPr>
              <w:t>Diluted</w:t>
            </w:r>
          </w:p>
        </w:tc>
        <w:tc>
          <w:tcPr>
            <w:tcW w:w="18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0.22</w:t>
            </w:r>
          </w:p>
        </w:tc>
        <w:tc>
          <w:tcPr>
            <w:tcW w:w="52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0.30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Options to purchase 13.2 million common shares at a weighted average exercise price of $20.83 have been excluded from the computation of diluted net income per share for the three months ended April 30, 2011 because including them would have been anti-dilutive. In addition, the options granted during the three months ended April 30, 2011, which contain a market condition for vesting, have been excluded from the computation of diluted net income per share, as the market value of our shares as of April 30, 2011 was lower than the required market condition. Refer to “Note 11 – Stock-Based Compensation” for additional details.</w:t>
      </w:r>
    </w:p>
    <w:p>
      <w:pPr>
        <w:spacing w:after="0" w:line="143" w:lineRule="exact"/>
        <w:rPr>
          <w:sz w:val="20"/>
          <w:szCs w:val="20"/>
          <w:color w:val="auto"/>
        </w:rPr>
      </w:pPr>
    </w:p>
    <w:p>
      <w:pPr>
        <w:ind w:right="240" w:firstLine="456"/>
        <w:spacing w:after="0" w:line="332" w:lineRule="auto"/>
        <w:rPr>
          <w:sz w:val="20"/>
          <w:szCs w:val="20"/>
          <w:color w:val="auto"/>
        </w:rPr>
      </w:pPr>
      <w:r>
        <w:rPr>
          <w:rFonts w:ascii="Arial" w:cs="Arial" w:eastAsia="Arial" w:hAnsi="Arial"/>
          <w:sz w:val="16"/>
          <w:szCs w:val="16"/>
          <w:color w:val="auto"/>
        </w:rPr>
        <w:t>Options to purchase 9.2 million common shares at a weighted average exercise price of $22.63 have been excluded from the computation of diluted net income per share for the three months ended May 1, 2010 because including them would have been anti-dilutive.</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Comprehensive income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changes in the components of other comprehensive income were as follows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920" w:type="dxa"/>
            <w:vAlign w:val="bottom"/>
          </w:tcPr>
          <w:p>
            <w:pPr>
              <w:spacing w:after="0"/>
              <w:rPr>
                <w:sz w:val="14"/>
                <w:szCs w:val="14"/>
                <w:color w:val="auto"/>
              </w:rPr>
            </w:pPr>
          </w:p>
        </w:tc>
        <w:tc>
          <w:tcPr>
            <w:tcW w:w="61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880" w:type="dxa"/>
            <w:vAlign w:val="bottom"/>
            <w:gridSpan w:val="9"/>
          </w:tcPr>
          <w:p>
            <w:pPr>
              <w:jc w:val="right"/>
              <w:ind w:right="38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29"/>
        </w:trPr>
        <w:tc>
          <w:tcPr>
            <w:tcW w:w="920" w:type="dxa"/>
            <w:vAlign w:val="bottom"/>
          </w:tcPr>
          <w:p>
            <w:pPr>
              <w:spacing w:after="0"/>
              <w:rPr>
                <w:sz w:val="11"/>
                <w:szCs w:val="11"/>
                <w:color w:val="auto"/>
              </w:rPr>
            </w:pPr>
          </w:p>
        </w:tc>
        <w:tc>
          <w:tcPr>
            <w:tcW w:w="61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900" w:type="dxa"/>
            <w:vAlign w:val="bottom"/>
            <w:tcBorders>
              <w:top w:val="single" w:sz="8" w:color="auto"/>
            </w:tcBorders>
            <w:gridSpan w:val="3"/>
          </w:tcPr>
          <w:p>
            <w:pPr>
              <w:jc w:val="right"/>
              <w:ind w:right="320"/>
              <w:spacing w:after="0" w:line="129" w:lineRule="exact"/>
              <w:rPr>
                <w:sz w:val="20"/>
                <w:szCs w:val="20"/>
                <w:color w:val="auto"/>
              </w:rPr>
            </w:pPr>
            <w:r>
              <w:rPr>
                <w:rFonts w:ascii="Arial" w:cs="Arial" w:eastAsia="Arial" w:hAnsi="Arial"/>
                <w:sz w:val="14"/>
                <w:szCs w:val="14"/>
                <w:b w:val="1"/>
                <w:bCs w:val="1"/>
                <w:color w:val="auto"/>
              </w:rPr>
              <w:t>April 30,</w:t>
            </w:r>
          </w:p>
        </w:tc>
        <w:tc>
          <w:tcPr>
            <w:tcW w:w="180" w:type="dxa"/>
            <w:vAlign w:val="bottom"/>
            <w:tcBorders>
              <w:top w:val="single" w:sz="8" w:color="auto"/>
            </w:tcBorders>
          </w:tcPr>
          <w:p>
            <w:pPr>
              <w:spacing w:after="0"/>
              <w:rPr>
                <w:sz w:val="11"/>
                <w:szCs w:val="11"/>
                <w:color w:val="auto"/>
              </w:rPr>
            </w:pPr>
          </w:p>
        </w:tc>
        <w:tc>
          <w:tcPr>
            <w:tcW w:w="2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gridSpan w:val="2"/>
          </w:tcPr>
          <w:p>
            <w:pPr>
              <w:jc w:val="center"/>
              <w:ind w:right="100"/>
              <w:spacing w:after="0" w:line="129" w:lineRule="exact"/>
              <w:rPr>
                <w:sz w:val="20"/>
                <w:szCs w:val="20"/>
                <w:color w:val="auto"/>
              </w:rPr>
            </w:pPr>
            <w:r>
              <w:rPr>
                <w:rFonts w:ascii="Arial" w:cs="Arial" w:eastAsia="Arial" w:hAnsi="Arial"/>
                <w:sz w:val="14"/>
                <w:szCs w:val="14"/>
                <w:b w:val="1"/>
                <w:bCs w:val="1"/>
                <w:color w:val="auto"/>
                <w:w w:val="93"/>
              </w:rPr>
              <w:t>May 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920" w:type="dxa"/>
            <w:vAlign w:val="bottom"/>
          </w:tcPr>
          <w:p>
            <w:pPr>
              <w:spacing w:after="0"/>
              <w:rPr>
                <w:sz w:val="14"/>
                <w:szCs w:val="14"/>
                <w:color w:val="auto"/>
              </w:rPr>
            </w:pPr>
          </w:p>
        </w:tc>
        <w:tc>
          <w:tcPr>
            <w:tcW w:w="6180" w:type="dxa"/>
            <w:vAlign w:val="bottom"/>
          </w:tcPr>
          <w:p>
            <w:pPr>
              <w:spacing w:after="0"/>
              <w:rPr>
                <w:sz w:val="14"/>
                <w:szCs w:val="14"/>
                <w:color w:val="auto"/>
              </w:rPr>
            </w:pPr>
          </w:p>
        </w:tc>
        <w:tc>
          <w:tcPr>
            <w:tcW w:w="620" w:type="dxa"/>
            <w:vAlign w:val="bottom"/>
            <w:gridSpan w:val="2"/>
          </w:tcPr>
          <w:p>
            <w:pPr>
              <w:spacing w:after="0"/>
              <w:rPr>
                <w:sz w:val="14"/>
                <w:szCs w:val="14"/>
                <w:color w:val="auto"/>
              </w:rPr>
            </w:pPr>
          </w:p>
        </w:tc>
        <w:tc>
          <w:tcPr>
            <w:tcW w:w="680" w:type="dxa"/>
            <w:vAlign w:val="bottom"/>
            <w:tcBorders>
              <w:bottom w:val="single" w:sz="8" w:color="auto"/>
            </w:tcBorders>
            <w:gridSpan w:val="2"/>
          </w:tcPr>
          <w:p>
            <w:pPr>
              <w:jc w:val="right"/>
              <w:ind w:right="220"/>
              <w:spacing w:after="0"/>
              <w:rPr>
                <w:sz w:val="20"/>
                <w:szCs w:val="20"/>
                <w:color w:val="auto"/>
              </w:rPr>
            </w:pPr>
            <w:r>
              <w:rPr>
                <w:rFonts w:ascii="Arial" w:cs="Arial" w:eastAsia="Arial" w:hAnsi="Arial"/>
                <w:sz w:val="14"/>
                <w:szCs w:val="14"/>
                <w:b w:val="1"/>
                <w:bCs w:val="1"/>
                <w:color w:val="auto"/>
              </w:rPr>
              <w:t>2011</w:t>
            </w:r>
          </w:p>
        </w:tc>
        <w:tc>
          <w:tcPr>
            <w:tcW w:w="2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2010</w:t>
            </w:r>
          </w:p>
        </w:tc>
        <w:tc>
          <w:tcPr>
            <w:tcW w:w="2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920" w:type="dxa"/>
            <w:vAlign w:val="bottom"/>
          </w:tcPr>
          <w:p>
            <w:pPr>
              <w:spacing w:after="0"/>
              <w:rPr>
                <w:sz w:val="18"/>
                <w:szCs w:val="18"/>
                <w:color w:val="auto"/>
              </w:rPr>
            </w:pPr>
          </w:p>
        </w:tc>
        <w:tc>
          <w:tcPr>
            <w:tcW w:w="618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130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color w:val="auto"/>
              </w:rPr>
              <w:t>$146,861</w:t>
            </w:r>
          </w:p>
        </w:tc>
        <w:tc>
          <w:tcPr>
            <w:tcW w:w="220" w:type="dxa"/>
            <w:vAlign w:val="bottom"/>
            <w:shd w:val="clear" w:color="auto" w:fill="CCEEFF"/>
          </w:tcPr>
          <w:p>
            <w:pPr>
              <w:spacing w:after="0"/>
              <w:rPr>
                <w:sz w:val="18"/>
                <w:szCs w:val="18"/>
                <w:color w:val="auto"/>
              </w:rPr>
            </w:pPr>
          </w:p>
        </w:tc>
        <w:tc>
          <w:tcPr>
            <w:tcW w:w="88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rPr>
              <w:t>$205,767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180" w:type="dxa"/>
            <w:vAlign w:val="bottom"/>
          </w:tcPr>
          <w:p>
            <w:pPr>
              <w:spacing w:after="0"/>
              <w:rPr>
                <w:sz w:val="20"/>
                <w:szCs w:val="20"/>
                <w:color w:val="auto"/>
              </w:rPr>
            </w:pPr>
            <w:r>
              <w:rPr>
                <w:rFonts w:ascii="Arial" w:cs="Arial" w:eastAsia="Arial" w:hAnsi="Arial"/>
                <w:sz w:val="18"/>
                <w:szCs w:val="18"/>
                <w:color w:val="auto"/>
              </w:rPr>
              <w:t>Other comprehensive income</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1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Change in unrealized gain on marketable securities</w:t>
            </w:r>
          </w:p>
        </w:tc>
        <w:tc>
          <w:tcPr>
            <w:tcW w:w="130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color w:val="auto"/>
              </w:rPr>
              <w:t>1,604</w:t>
            </w: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180" w:type="dxa"/>
            <w:vAlign w:val="bottom"/>
          </w:tcPr>
          <w:p>
            <w:pPr>
              <w:ind w:left="440"/>
              <w:spacing w:after="0"/>
              <w:rPr>
                <w:sz w:val="20"/>
                <w:szCs w:val="20"/>
                <w:color w:val="auto"/>
              </w:rPr>
            </w:pPr>
            <w:r>
              <w:rPr>
                <w:rFonts w:ascii="Arial" w:cs="Arial" w:eastAsia="Arial" w:hAnsi="Arial"/>
                <w:sz w:val="18"/>
                <w:szCs w:val="18"/>
                <w:color w:val="auto"/>
              </w:rPr>
              <w:t>Change in unrealized loss on auction rate securities</w:t>
            </w:r>
          </w:p>
        </w:tc>
        <w:tc>
          <w:tcPr>
            <w:tcW w:w="1520" w:type="dxa"/>
            <w:vAlign w:val="bottom"/>
            <w:gridSpan w:val="5"/>
          </w:tcPr>
          <w:p>
            <w:pPr>
              <w:jc w:val="right"/>
              <w:ind w:right="180"/>
              <w:spacing w:after="0"/>
              <w:rPr>
                <w:sz w:val="20"/>
                <w:szCs w:val="20"/>
                <w:color w:val="auto"/>
              </w:rPr>
            </w:pPr>
            <w:r>
              <w:rPr>
                <w:rFonts w:ascii="Arial" w:cs="Arial" w:eastAsia="Arial" w:hAnsi="Arial"/>
                <w:sz w:val="18"/>
                <w:szCs w:val="18"/>
                <w:color w:val="auto"/>
              </w:rPr>
              <w:t>(56)</w:t>
            </w:r>
          </w:p>
        </w:tc>
        <w:tc>
          <w:tcPr>
            <w:tcW w:w="1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1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Change in unrealized gain (loss) on cash flow hedges</w:t>
            </w:r>
          </w:p>
        </w:tc>
        <w:tc>
          <w:tcPr>
            <w:tcW w:w="130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color w:val="auto"/>
              </w:rPr>
              <w:t>3,940</w:t>
            </w: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199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920" w:type="dxa"/>
            <w:vAlign w:val="bottom"/>
          </w:tcPr>
          <w:p>
            <w:pPr>
              <w:spacing w:after="0"/>
              <w:rPr>
                <w:sz w:val="19"/>
                <w:szCs w:val="19"/>
                <w:color w:val="auto"/>
              </w:rPr>
            </w:pPr>
          </w:p>
        </w:tc>
        <w:tc>
          <w:tcPr>
            <w:tcW w:w="6180" w:type="dxa"/>
            <w:vAlign w:val="bottom"/>
          </w:tcPr>
          <w:p>
            <w:pPr>
              <w:ind w:left="440"/>
              <w:spacing w:after="0"/>
              <w:rPr>
                <w:sz w:val="20"/>
                <w:szCs w:val="20"/>
                <w:color w:val="auto"/>
              </w:rPr>
            </w:pPr>
            <w:r>
              <w:rPr>
                <w:rFonts w:ascii="Arial" w:cs="Arial" w:eastAsia="Arial" w:hAnsi="Arial"/>
                <w:sz w:val="18"/>
                <w:szCs w:val="18"/>
                <w:color w:val="auto"/>
              </w:rPr>
              <w:t>Change in other</w:t>
            </w:r>
          </w:p>
        </w:tc>
        <w:tc>
          <w:tcPr>
            <w:tcW w:w="5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80" w:type="dxa"/>
            <w:vAlign w:val="bottom"/>
            <w:tcBorders>
              <w:bottom w:val="single" w:sz="8" w:color="auto"/>
            </w:tcBorders>
            <w:gridSpan w:val="2"/>
          </w:tcPr>
          <w:p>
            <w:pPr>
              <w:jc w:val="right"/>
              <w:ind w:right="10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gridSpan w:val="2"/>
          </w:tcPr>
          <w:p>
            <w:pPr>
              <w:jc w:val="right"/>
              <w:ind w:right="1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180" w:type="dxa"/>
            <w:vAlign w:val="bottom"/>
            <w:shd w:val="clear" w:color="auto" w:fill="CCEEFF"/>
          </w:tcPr>
          <w:p>
            <w:pPr>
              <w:spacing w:after="0"/>
              <w:rPr>
                <w:sz w:val="20"/>
                <w:szCs w:val="20"/>
                <w:color w:val="auto"/>
              </w:rPr>
            </w:pPr>
            <w:r>
              <w:rPr>
                <w:rFonts w:ascii="Arial" w:cs="Arial" w:eastAsia="Arial" w:hAnsi="Arial"/>
                <w:sz w:val="18"/>
                <w:szCs w:val="18"/>
                <w:color w:val="auto"/>
              </w:rPr>
              <w:t>Total comprehensive income</w:t>
            </w:r>
          </w:p>
        </w:tc>
        <w:tc>
          <w:tcPr>
            <w:tcW w:w="130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152,349</w:t>
            </w:r>
          </w:p>
        </w:tc>
        <w:tc>
          <w:tcPr>
            <w:tcW w:w="220" w:type="dxa"/>
            <w:vAlign w:val="bottom"/>
            <w:shd w:val="clear" w:color="auto" w:fill="CCEEFF"/>
          </w:tcPr>
          <w:p>
            <w:pPr>
              <w:spacing w:after="0"/>
              <w:rPr>
                <w:sz w:val="18"/>
                <w:szCs w:val="18"/>
                <w:color w:val="auto"/>
              </w:rPr>
            </w:pPr>
          </w:p>
        </w:tc>
        <w:tc>
          <w:tcPr>
            <w:tcW w:w="880" w:type="dxa"/>
            <w:vAlign w:val="bottom"/>
            <w:gridSpan w:val="5"/>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206,092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100" w:type="dxa"/>
            <w:vAlign w:val="bottom"/>
            <w:gridSpan w:val="2"/>
            <w:vMerge w:val="restart"/>
          </w:tcPr>
          <w:p>
            <w:pPr>
              <w:jc w:val="right"/>
              <w:ind w:right="412"/>
              <w:spacing w:after="0"/>
              <w:rPr>
                <w:sz w:val="20"/>
                <w:szCs w:val="20"/>
                <w:color w:val="auto"/>
              </w:rPr>
            </w:pPr>
            <w:r>
              <w:rPr>
                <w:rFonts w:ascii="Arial" w:cs="Arial" w:eastAsia="Arial" w:hAnsi="Arial"/>
                <w:sz w:val="18"/>
                <w:szCs w:val="18"/>
                <w:color w:val="auto"/>
                <w:w w:val="87"/>
              </w:rPr>
              <w:t>The components of accumulated other comprehensive income were as follows (in thousands):</w:t>
            </w:r>
          </w:p>
        </w:tc>
        <w:tc>
          <w:tcPr>
            <w:tcW w:w="5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0"/>
        </w:trPr>
        <w:tc>
          <w:tcPr>
            <w:tcW w:w="7100" w:type="dxa"/>
            <w:vAlign w:val="bottom"/>
            <w:gridSpan w:val="2"/>
            <w:vMerge w:val="continue"/>
          </w:tcPr>
          <w:p>
            <w:pPr>
              <w:spacing w:after="0"/>
              <w:rPr>
                <w:sz w:val="24"/>
                <w:szCs w:val="24"/>
                <w:color w:val="auto"/>
              </w:rPr>
            </w:pPr>
          </w:p>
        </w:tc>
        <w:tc>
          <w:tcPr>
            <w:tcW w:w="5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920" w:type="dxa"/>
            <w:vAlign w:val="bottom"/>
          </w:tcPr>
          <w:p>
            <w:pPr>
              <w:spacing w:after="0"/>
              <w:rPr>
                <w:sz w:val="24"/>
                <w:szCs w:val="24"/>
                <w:color w:val="auto"/>
              </w:rPr>
            </w:pPr>
          </w:p>
        </w:tc>
        <w:tc>
          <w:tcPr>
            <w:tcW w:w="61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20" w:type="dxa"/>
            <w:vAlign w:val="bottom"/>
            <w:gridSpan w:val="4"/>
          </w:tcPr>
          <w:p>
            <w:pPr>
              <w:jc w:val="right"/>
              <w:ind w:right="500"/>
              <w:spacing w:after="0"/>
              <w:rPr>
                <w:sz w:val="20"/>
                <w:szCs w:val="20"/>
                <w:color w:val="auto"/>
              </w:rPr>
            </w:pPr>
            <w:r>
              <w:rPr>
                <w:rFonts w:ascii="Arial" w:cs="Arial" w:eastAsia="Arial" w:hAnsi="Arial"/>
                <w:sz w:val="14"/>
                <w:szCs w:val="14"/>
                <w:b w:val="1"/>
                <w:bCs w:val="1"/>
                <w:color w:val="auto"/>
                <w:w w:val="90"/>
              </w:rPr>
              <w:t>April 30,</w:t>
            </w:r>
          </w:p>
        </w:tc>
        <w:tc>
          <w:tcPr>
            <w:tcW w:w="980" w:type="dxa"/>
            <w:vAlign w:val="bottom"/>
            <w:gridSpan w:val="6"/>
          </w:tcPr>
          <w:p>
            <w:pPr>
              <w:jc w:val="center"/>
              <w:spacing w:after="0"/>
              <w:rPr>
                <w:sz w:val="20"/>
                <w:szCs w:val="20"/>
                <w:color w:val="auto"/>
              </w:rPr>
            </w:pPr>
            <w:r>
              <w:rPr>
                <w:rFonts w:ascii="Arial" w:cs="Arial" w:eastAsia="Arial" w:hAnsi="Arial"/>
                <w:sz w:val="14"/>
                <w:szCs w:val="14"/>
                <w:b w:val="1"/>
                <w:bCs w:val="1"/>
                <w:color w:val="auto"/>
                <w:w w:val="88"/>
              </w:rPr>
              <w:t>January 29,</w:t>
            </w:r>
          </w:p>
        </w:tc>
        <w:tc>
          <w:tcPr>
            <w:tcW w:w="0" w:type="dxa"/>
            <w:vAlign w:val="bottom"/>
          </w:tcPr>
          <w:p>
            <w:pPr>
              <w:spacing w:after="0"/>
              <w:rPr>
                <w:sz w:val="1"/>
                <w:szCs w:val="1"/>
                <w:color w:val="auto"/>
              </w:rPr>
            </w:pPr>
          </w:p>
        </w:tc>
      </w:tr>
      <w:tr>
        <w:trPr>
          <w:trHeight w:val="161"/>
        </w:trPr>
        <w:tc>
          <w:tcPr>
            <w:tcW w:w="920" w:type="dxa"/>
            <w:vAlign w:val="bottom"/>
          </w:tcPr>
          <w:p>
            <w:pPr>
              <w:spacing w:after="0"/>
              <w:rPr>
                <w:sz w:val="14"/>
                <w:szCs w:val="14"/>
                <w:color w:val="auto"/>
              </w:rPr>
            </w:pPr>
          </w:p>
        </w:tc>
        <w:tc>
          <w:tcPr>
            <w:tcW w:w="61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60" w:type="dxa"/>
            <w:vAlign w:val="bottom"/>
            <w:tcBorders>
              <w:bottom w:val="single" w:sz="8" w:color="auto"/>
            </w:tcBorders>
            <w:gridSpan w:val="2"/>
          </w:tcPr>
          <w:p>
            <w:pPr>
              <w:jc w:val="right"/>
              <w:ind w:right="87"/>
              <w:spacing w:after="0"/>
              <w:rPr>
                <w:sz w:val="20"/>
                <w:szCs w:val="20"/>
                <w:color w:val="auto"/>
              </w:rPr>
            </w:pPr>
            <w:r>
              <w:rPr>
                <w:rFonts w:ascii="Arial" w:cs="Arial" w:eastAsia="Arial" w:hAnsi="Arial"/>
                <w:sz w:val="14"/>
                <w:szCs w:val="14"/>
                <w:b w:val="1"/>
                <w:bCs w:val="1"/>
                <w:color w:val="auto"/>
              </w:rPr>
              <w:t>2011</w:t>
            </w:r>
          </w:p>
        </w:tc>
        <w:tc>
          <w:tcPr>
            <w:tcW w:w="2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center"/>
              <w:ind w:right="57"/>
              <w:spacing w:after="0"/>
              <w:rPr>
                <w:sz w:val="20"/>
                <w:szCs w:val="20"/>
                <w:color w:val="auto"/>
              </w:rPr>
            </w:pPr>
            <w:r>
              <w:rPr>
                <w:rFonts w:ascii="Arial" w:cs="Arial" w:eastAsia="Arial" w:hAnsi="Arial"/>
                <w:sz w:val="14"/>
                <w:szCs w:val="14"/>
                <w:b w:val="1"/>
                <w:bCs w:val="1"/>
                <w:color w:val="auto"/>
                <w:w w:val="83"/>
              </w:rPr>
              <w:t>2011</w:t>
            </w: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920" w:type="dxa"/>
            <w:vAlign w:val="bottom"/>
          </w:tcPr>
          <w:p>
            <w:pPr>
              <w:spacing w:after="0"/>
              <w:rPr>
                <w:sz w:val="18"/>
                <w:szCs w:val="18"/>
                <w:color w:val="auto"/>
              </w:rPr>
            </w:pPr>
          </w:p>
        </w:tc>
        <w:tc>
          <w:tcPr>
            <w:tcW w:w="6180" w:type="dxa"/>
            <w:vAlign w:val="bottom"/>
            <w:shd w:val="clear" w:color="auto" w:fill="CCEEFF"/>
          </w:tcPr>
          <w:p>
            <w:pPr>
              <w:spacing w:after="0"/>
              <w:rPr>
                <w:sz w:val="20"/>
                <w:szCs w:val="20"/>
                <w:color w:val="auto"/>
              </w:rPr>
            </w:pPr>
            <w:r>
              <w:rPr>
                <w:rFonts w:ascii="Arial" w:cs="Arial" w:eastAsia="Arial" w:hAnsi="Arial"/>
                <w:sz w:val="18"/>
                <w:szCs w:val="18"/>
                <w:color w:val="auto"/>
              </w:rPr>
              <w:t>Unrealized gain on marketable securities</w:t>
            </w:r>
          </w:p>
        </w:tc>
        <w:tc>
          <w:tcPr>
            <w:tcW w:w="10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$ 5,108</w:t>
            </w:r>
          </w:p>
        </w:tc>
        <w:tc>
          <w:tcPr>
            <w:tcW w:w="2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30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3,504</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180" w:type="dxa"/>
            <w:vAlign w:val="bottom"/>
          </w:tcPr>
          <w:p>
            <w:pPr>
              <w:spacing w:after="0"/>
              <w:rPr>
                <w:sz w:val="20"/>
                <w:szCs w:val="20"/>
                <w:color w:val="auto"/>
              </w:rPr>
            </w:pPr>
            <w:r>
              <w:rPr>
                <w:rFonts w:ascii="Arial" w:cs="Arial" w:eastAsia="Arial" w:hAnsi="Arial"/>
                <w:sz w:val="18"/>
                <w:szCs w:val="18"/>
                <w:color w:val="auto"/>
              </w:rPr>
              <w:t>Unrealized loss on auction rate securities</w:t>
            </w:r>
          </w:p>
        </w:tc>
        <w:tc>
          <w:tcPr>
            <w:tcW w:w="1300" w:type="dxa"/>
            <w:vAlign w:val="bottom"/>
            <w:gridSpan w:val="4"/>
          </w:tcPr>
          <w:p>
            <w:pPr>
              <w:jc w:val="right"/>
              <w:ind w:right="200"/>
              <w:spacing w:after="0"/>
              <w:rPr>
                <w:sz w:val="20"/>
                <w:szCs w:val="20"/>
                <w:color w:val="auto"/>
              </w:rPr>
            </w:pPr>
            <w:r>
              <w:rPr>
                <w:rFonts w:ascii="Arial" w:cs="Arial" w:eastAsia="Arial" w:hAnsi="Arial"/>
                <w:sz w:val="18"/>
                <w:szCs w:val="18"/>
                <w:color w:val="auto"/>
              </w:rPr>
              <w:t>(1,680)</w:t>
            </w: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3"/>
          </w:tcPr>
          <w:p>
            <w:pPr>
              <w:jc w:val="right"/>
              <w:ind w:right="60"/>
              <w:spacing w:after="0"/>
              <w:rPr>
                <w:sz w:val="20"/>
                <w:szCs w:val="20"/>
                <w:color w:val="auto"/>
              </w:rPr>
            </w:pPr>
            <w:r>
              <w:rPr>
                <w:rFonts w:ascii="Arial" w:cs="Arial" w:eastAsia="Arial" w:hAnsi="Arial"/>
                <w:sz w:val="18"/>
                <w:szCs w:val="18"/>
                <w:color w:val="auto"/>
              </w:rPr>
              <w:t>(1,624)</w:t>
            </w: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180" w:type="dxa"/>
            <w:vAlign w:val="bottom"/>
            <w:shd w:val="clear" w:color="auto" w:fill="CCEEFF"/>
          </w:tcPr>
          <w:p>
            <w:pPr>
              <w:spacing w:after="0"/>
              <w:rPr>
                <w:sz w:val="20"/>
                <w:szCs w:val="20"/>
                <w:color w:val="auto"/>
              </w:rPr>
            </w:pPr>
            <w:r>
              <w:rPr>
                <w:rFonts w:ascii="Arial" w:cs="Arial" w:eastAsia="Arial" w:hAnsi="Arial"/>
                <w:sz w:val="18"/>
                <w:szCs w:val="18"/>
                <w:color w:val="auto"/>
              </w:rPr>
              <w:t>Unrealized gain (loss) on cash flow hedges</w:t>
            </w:r>
          </w:p>
        </w:tc>
        <w:tc>
          <w:tcPr>
            <w:tcW w:w="10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3,147</w:t>
            </w:r>
          </w:p>
        </w:tc>
        <w:tc>
          <w:tcPr>
            <w:tcW w:w="2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(793)</w:t>
            </w:r>
          </w:p>
        </w:tc>
        <w:tc>
          <w:tcPr>
            <w:tcW w:w="0" w:type="dxa"/>
            <w:vAlign w:val="bottom"/>
          </w:tcPr>
          <w:p>
            <w:pPr>
              <w:spacing w:after="0"/>
              <w:rPr>
                <w:sz w:val="1"/>
                <w:szCs w:val="1"/>
                <w:color w:val="auto"/>
              </w:rPr>
            </w:pPr>
          </w:p>
        </w:tc>
      </w:tr>
      <w:tr>
        <w:trPr>
          <w:trHeight w:val="223"/>
        </w:trPr>
        <w:tc>
          <w:tcPr>
            <w:tcW w:w="920" w:type="dxa"/>
            <w:vAlign w:val="bottom"/>
          </w:tcPr>
          <w:p>
            <w:pPr>
              <w:spacing w:after="0"/>
              <w:rPr>
                <w:sz w:val="19"/>
                <w:szCs w:val="19"/>
                <w:color w:val="auto"/>
              </w:rPr>
            </w:pPr>
          </w:p>
        </w:tc>
        <w:tc>
          <w:tcPr>
            <w:tcW w:w="6180" w:type="dxa"/>
            <w:vAlign w:val="bottom"/>
          </w:tcPr>
          <w:p>
            <w:pPr>
              <w:spacing w:after="0"/>
              <w:rPr>
                <w:sz w:val="20"/>
                <w:szCs w:val="20"/>
                <w:color w:val="auto"/>
              </w:rPr>
            </w:pPr>
            <w:r>
              <w:rPr>
                <w:rFonts w:ascii="Arial" w:cs="Arial" w:eastAsia="Arial" w:hAnsi="Arial"/>
                <w:sz w:val="18"/>
                <w:szCs w:val="18"/>
                <w:color w:val="auto"/>
              </w:rPr>
              <w:t>Other</w:t>
            </w:r>
          </w:p>
        </w:tc>
        <w:tc>
          <w:tcPr>
            <w:tcW w:w="500" w:type="dxa"/>
            <w:vAlign w:val="bottom"/>
          </w:tcPr>
          <w:p>
            <w:pPr>
              <w:spacing w:after="0"/>
              <w:rPr>
                <w:sz w:val="19"/>
                <w:szCs w:val="19"/>
                <w:color w:val="auto"/>
              </w:rPr>
            </w:pPr>
          </w:p>
        </w:tc>
        <w:tc>
          <w:tcPr>
            <w:tcW w:w="56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5</w:t>
            </w:r>
          </w:p>
        </w:tc>
        <w:tc>
          <w:tcPr>
            <w:tcW w:w="2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180" w:type="dxa"/>
            <w:vAlign w:val="bottom"/>
            <w:shd w:val="clear" w:color="auto" w:fill="CCEEFF"/>
          </w:tcPr>
          <w:p>
            <w:pPr>
              <w:spacing w:after="0"/>
              <w:rPr>
                <w:sz w:val="20"/>
                <w:szCs w:val="20"/>
                <w:color w:val="auto"/>
              </w:rPr>
            </w:pPr>
            <w:r>
              <w:rPr>
                <w:rFonts w:ascii="Arial" w:cs="Arial" w:eastAsia="Arial" w:hAnsi="Arial"/>
                <w:sz w:val="18"/>
                <w:szCs w:val="18"/>
                <w:color w:val="auto"/>
              </w:rPr>
              <w:t>Accumulated other comprehensive income</w:t>
            </w:r>
          </w:p>
        </w:tc>
        <w:tc>
          <w:tcPr>
            <w:tcW w:w="10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$ 6,580</w:t>
            </w:r>
          </w:p>
        </w:tc>
        <w:tc>
          <w:tcPr>
            <w:tcW w:w="2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30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1,092</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100" w:type="dxa"/>
            <w:vAlign w:val="bottom"/>
            <w:gridSpan w:val="2"/>
            <w:vMerge w:val="restart"/>
          </w:tcPr>
          <w:p>
            <w:pPr>
              <w:jc w:val="right"/>
              <w:ind w:right="1712"/>
              <w:spacing w:after="0"/>
              <w:rPr>
                <w:sz w:val="20"/>
                <w:szCs w:val="20"/>
                <w:color w:val="auto"/>
              </w:rPr>
            </w:pPr>
            <w:r>
              <w:rPr>
                <w:rFonts w:ascii="Arial" w:cs="Arial" w:eastAsia="Arial" w:hAnsi="Arial"/>
                <w:sz w:val="18"/>
                <w:szCs w:val="18"/>
                <w:color w:val="auto"/>
              </w:rPr>
              <w:t>9</w:t>
            </w:r>
          </w:p>
        </w:tc>
        <w:tc>
          <w:tcPr>
            <w:tcW w:w="5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7100" w:type="dxa"/>
            <w:vAlign w:val="bottom"/>
            <w:gridSpan w:val="2"/>
            <w:vMerge w:val="continue"/>
          </w:tcPr>
          <w:p>
            <w:pPr>
              <w:spacing w:after="0"/>
              <w:rPr>
                <w:sz w:val="24"/>
                <w:szCs w:val="24"/>
                <w:color w:val="auto"/>
              </w:rPr>
            </w:pPr>
          </w:p>
        </w:tc>
        <w:tc>
          <w:tcPr>
            <w:tcW w:w="5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40"/>
          </w:cols>
          <w:pgMar w:left="240" w:top="459" w:right="31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Derivative Financial Instruments</w:t>
      </w:r>
    </w:p>
    <w:p>
      <w:pPr>
        <w:spacing w:after="0" w:line="96"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The Company manages some of its foreign currency exchange rate risk through the purchase of foreign currency exchange contracts that hedge against the short term impact of currency fluctuations. The Company’s policy is to enter into foreign currency forward contracts with maturities generally less than 12 months that mitigate the impact of rate fluctuations on certain local currency denominated operating expenses. All derivatives are recorded at fair value in either prepaid expenses and other current assets or accrued liabilities. The Company reports cash flows from derivative instruments in cash flows from operating activities. The Company uses quoted prices to value its derivative instruments.</w:t>
      </w:r>
    </w:p>
    <w:p>
      <w:pPr>
        <w:spacing w:after="0" w:line="11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 of April 30, 2011 and January 29, 2011, the notional amounts of outstanding forward contracts were as follows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5060" w:type="dxa"/>
            <w:vAlign w:val="bottom"/>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540" w:type="dxa"/>
            <w:vAlign w:val="bottom"/>
            <w:tcBorders>
              <w:bottom w:val="single" w:sz="8" w:color="auto"/>
            </w:tcBorders>
            <w:gridSpan w:val="3"/>
          </w:tcPr>
          <w:p>
            <w:pPr>
              <w:jc w:val="right"/>
              <w:ind w:right="132"/>
              <w:spacing w:after="0"/>
              <w:rPr>
                <w:sz w:val="20"/>
                <w:szCs w:val="20"/>
                <w:color w:val="auto"/>
              </w:rPr>
            </w:pPr>
            <w:r>
              <w:rPr>
                <w:rFonts w:ascii="Arial" w:cs="Arial" w:eastAsia="Arial" w:hAnsi="Arial"/>
                <w:sz w:val="14"/>
                <w:szCs w:val="14"/>
                <w:b w:val="1"/>
                <w:bCs w:val="1"/>
                <w:color w:val="auto"/>
              </w:rPr>
              <w:t>April 30, 2011</w:t>
            </w:r>
          </w:p>
        </w:tc>
        <w:tc>
          <w:tcPr>
            <w:tcW w:w="580" w:type="dxa"/>
            <w:vAlign w:val="bottom"/>
            <w:tcBorders>
              <w:bottom w:val="single" w:sz="8" w:color="auto"/>
            </w:tcBorders>
          </w:tcPr>
          <w:p>
            <w:pPr>
              <w:spacing w:after="0"/>
              <w:rPr>
                <w:sz w:val="14"/>
                <w:szCs w:val="14"/>
                <w:color w:val="auto"/>
              </w:rPr>
            </w:pPr>
          </w:p>
        </w:tc>
        <w:tc>
          <w:tcPr>
            <w:tcW w:w="3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560" w:type="dxa"/>
            <w:vAlign w:val="bottom"/>
            <w:tcBorders>
              <w:bottom w:val="single" w:sz="8" w:color="auto"/>
            </w:tcBorders>
            <w:gridSpan w:val="4"/>
          </w:tcPr>
          <w:p>
            <w:pPr>
              <w:ind w:left="440"/>
              <w:spacing w:after="0"/>
              <w:rPr>
                <w:sz w:val="20"/>
                <w:szCs w:val="20"/>
                <w:color w:val="auto"/>
              </w:rPr>
            </w:pPr>
            <w:r>
              <w:rPr>
                <w:rFonts w:ascii="Arial" w:cs="Arial" w:eastAsia="Arial" w:hAnsi="Arial"/>
                <w:sz w:val="14"/>
                <w:szCs w:val="14"/>
                <w:b w:val="1"/>
                <w:bCs w:val="1"/>
                <w:color w:val="auto"/>
                <w:w w:val="98"/>
              </w:rPr>
              <w:t>January 29, 2011</w:t>
            </w:r>
          </w:p>
        </w:tc>
        <w:tc>
          <w:tcPr>
            <w:tcW w:w="5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42"/>
        </w:trPr>
        <w:tc>
          <w:tcPr>
            <w:tcW w:w="5060" w:type="dxa"/>
            <w:vAlign w:val="bottom"/>
          </w:tcPr>
          <w:p>
            <w:pPr>
              <w:spacing w:after="0"/>
              <w:rPr>
                <w:sz w:val="12"/>
                <w:szCs w:val="12"/>
                <w:color w:val="auto"/>
              </w:rPr>
            </w:pPr>
          </w:p>
        </w:tc>
        <w:tc>
          <w:tcPr>
            <w:tcW w:w="840" w:type="dxa"/>
            <w:vAlign w:val="bottom"/>
            <w:gridSpan w:val="2"/>
          </w:tcPr>
          <w:p>
            <w:pPr>
              <w:spacing w:after="0" w:line="142" w:lineRule="exact"/>
              <w:rPr>
                <w:sz w:val="20"/>
                <w:szCs w:val="20"/>
                <w:color w:val="auto"/>
              </w:rPr>
            </w:pPr>
            <w:r>
              <w:rPr>
                <w:rFonts w:ascii="Arial" w:cs="Arial" w:eastAsia="Arial" w:hAnsi="Arial"/>
                <w:sz w:val="14"/>
                <w:szCs w:val="14"/>
                <w:b w:val="1"/>
                <w:bCs w:val="1"/>
                <w:color w:val="auto"/>
                <w:w w:val="85"/>
              </w:rPr>
              <w:t>Buy Contracts</w:t>
            </w:r>
          </w:p>
        </w:tc>
        <w:tc>
          <w:tcPr>
            <w:tcW w:w="680" w:type="dxa"/>
            <w:vAlign w:val="bottom"/>
          </w:tcPr>
          <w:p>
            <w:pPr>
              <w:spacing w:after="0"/>
              <w:rPr>
                <w:sz w:val="12"/>
                <w:szCs w:val="12"/>
                <w:color w:val="auto"/>
              </w:rPr>
            </w:pPr>
          </w:p>
        </w:tc>
        <w:tc>
          <w:tcPr>
            <w:tcW w:w="820" w:type="dxa"/>
            <w:vAlign w:val="bottom"/>
            <w:gridSpan w:val="2"/>
          </w:tcPr>
          <w:p>
            <w:pPr>
              <w:jc w:val="right"/>
              <w:spacing w:after="0" w:line="142" w:lineRule="exact"/>
              <w:rPr>
                <w:sz w:val="20"/>
                <w:szCs w:val="20"/>
                <w:color w:val="auto"/>
              </w:rPr>
            </w:pPr>
            <w:r>
              <w:rPr>
                <w:rFonts w:ascii="Arial" w:cs="Arial" w:eastAsia="Arial" w:hAnsi="Arial"/>
                <w:sz w:val="14"/>
                <w:szCs w:val="14"/>
                <w:b w:val="1"/>
                <w:bCs w:val="1"/>
                <w:color w:val="auto"/>
                <w:w w:val="82"/>
              </w:rPr>
              <w:t>Sell Contracts</w:t>
            </w:r>
          </w:p>
        </w:tc>
        <w:tc>
          <w:tcPr>
            <w:tcW w:w="3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180" w:type="dxa"/>
            <w:vAlign w:val="bottom"/>
            <w:gridSpan w:val="3"/>
          </w:tcPr>
          <w:p>
            <w:pPr>
              <w:ind w:left="20"/>
              <w:spacing w:after="0" w:line="142" w:lineRule="exact"/>
              <w:rPr>
                <w:sz w:val="20"/>
                <w:szCs w:val="20"/>
                <w:color w:val="auto"/>
              </w:rPr>
            </w:pPr>
            <w:r>
              <w:rPr>
                <w:rFonts w:ascii="Arial" w:cs="Arial" w:eastAsia="Arial" w:hAnsi="Arial"/>
                <w:sz w:val="14"/>
                <w:szCs w:val="14"/>
                <w:b w:val="1"/>
                <w:bCs w:val="1"/>
                <w:color w:val="auto"/>
              </w:rPr>
              <w:t>Buy Contracts</w:t>
            </w:r>
          </w:p>
        </w:tc>
        <w:tc>
          <w:tcPr>
            <w:tcW w:w="340" w:type="dxa"/>
            <w:vAlign w:val="bottom"/>
          </w:tcPr>
          <w:p>
            <w:pPr>
              <w:spacing w:after="0"/>
              <w:rPr>
                <w:sz w:val="12"/>
                <w:szCs w:val="12"/>
                <w:color w:val="auto"/>
              </w:rPr>
            </w:pPr>
          </w:p>
        </w:tc>
        <w:tc>
          <w:tcPr>
            <w:tcW w:w="820" w:type="dxa"/>
            <w:vAlign w:val="bottom"/>
            <w:gridSpan w:val="2"/>
          </w:tcPr>
          <w:p>
            <w:pPr>
              <w:spacing w:after="0" w:line="142" w:lineRule="exact"/>
              <w:rPr>
                <w:sz w:val="20"/>
                <w:szCs w:val="20"/>
                <w:color w:val="auto"/>
              </w:rPr>
            </w:pPr>
            <w:r>
              <w:rPr>
                <w:rFonts w:ascii="Arial" w:cs="Arial" w:eastAsia="Arial" w:hAnsi="Arial"/>
                <w:sz w:val="14"/>
                <w:szCs w:val="14"/>
                <w:b w:val="1"/>
                <w:bCs w:val="1"/>
                <w:color w:val="auto"/>
                <w:w w:val="84"/>
              </w:rPr>
              <w:t>Sell Contracts</w:t>
            </w:r>
          </w:p>
        </w:tc>
        <w:tc>
          <w:tcPr>
            <w:tcW w:w="100" w:type="dxa"/>
            <w:vAlign w:val="bottom"/>
          </w:tcPr>
          <w:p>
            <w:pPr>
              <w:spacing w:after="0"/>
              <w:rPr>
                <w:sz w:val="12"/>
                <w:szCs w:val="12"/>
                <w:color w:val="auto"/>
              </w:rPr>
            </w:pPr>
          </w:p>
        </w:tc>
      </w:tr>
      <w:tr>
        <w:trPr>
          <w:trHeight w:val="20"/>
        </w:trPr>
        <w:tc>
          <w:tcPr>
            <w:tcW w:w="5060" w:type="dxa"/>
            <w:vAlign w:val="bottom"/>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210"/>
        </w:trPr>
        <w:tc>
          <w:tcPr>
            <w:tcW w:w="5060" w:type="dxa"/>
            <w:vAlign w:val="bottom"/>
            <w:shd w:val="clear" w:color="auto" w:fill="CCEEFF"/>
          </w:tcPr>
          <w:p>
            <w:pPr>
              <w:spacing w:after="0"/>
              <w:rPr>
                <w:sz w:val="20"/>
                <w:szCs w:val="20"/>
                <w:color w:val="auto"/>
              </w:rPr>
            </w:pPr>
            <w:r>
              <w:rPr>
                <w:rFonts w:ascii="Arial" w:cs="Arial" w:eastAsia="Arial" w:hAnsi="Arial"/>
                <w:sz w:val="18"/>
                <w:szCs w:val="18"/>
                <w:color w:val="auto"/>
              </w:rPr>
              <w:t>Israeli shekel</w:t>
            </w:r>
          </w:p>
        </w:tc>
        <w:tc>
          <w:tcPr>
            <w:tcW w:w="22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46,434</w:t>
            </w:r>
          </w:p>
        </w:tc>
        <w:tc>
          <w:tcPr>
            <w:tcW w:w="920" w:type="dxa"/>
            <w:vAlign w:val="bottom"/>
            <w:gridSpan w:val="2"/>
            <w:shd w:val="clear" w:color="auto" w:fill="CCEEFF"/>
          </w:tcPr>
          <w:p>
            <w:pPr>
              <w:jc w:val="right"/>
              <w:ind w:right="92"/>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56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56,360</w:t>
            </w:r>
          </w:p>
        </w:tc>
        <w:tc>
          <w:tcPr>
            <w:tcW w:w="62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r>
      <w:tr>
        <w:trPr>
          <w:trHeight w:val="223"/>
        </w:trPr>
        <w:tc>
          <w:tcPr>
            <w:tcW w:w="5060" w:type="dxa"/>
            <w:vAlign w:val="bottom"/>
          </w:tcPr>
          <w:p>
            <w:pPr>
              <w:spacing w:after="0"/>
              <w:rPr>
                <w:sz w:val="20"/>
                <w:szCs w:val="20"/>
                <w:color w:val="auto"/>
              </w:rPr>
            </w:pPr>
            <w:r>
              <w:rPr>
                <w:rFonts w:ascii="Arial" w:cs="Arial" w:eastAsia="Arial" w:hAnsi="Arial"/>
                <w:sz w:val="18"/>
                <w:szCs w:val="18"/>
                <w:color w:val="auto"/>
              </w:rPr>
              <w:t>Euro</w:t>
            </w:r>
          </w:p>
        </w:tc>
        <w:tc>
          <w:tcPr>
            <w:tcW w:w="220" w:type="dxa"/>
            <w:vAlign w:val="bottom"/>
            <w:tcBorders>
              <w:bottom w:val="single" w:sz="8" w:color="auto"/>
            </w:tcBorders>
          </w:tcPr>
          <w:p>
            <w:pPr>
              <w:spacing w:after="0"/>
              <w:rPr>
                <w:sz w:val="19"/>
                <w:szCs w:val="19"/>
                <w:color w:val="auto"/>
              </w:rPr>
            </w:pPr>
          </w:p>
        </w:tc>
        <w:tc>
          <w:tcPr>
            <w:tcW w:w="620" w:type="dxa"/>
            <w:vAlign w:val="bottom"/>
            <w:tcBorders>
              <w:bottom w:val="single" w:sz="8" w:color="auto"/>
            </w:tcBorders>
          </w:tcPr>
          <w:p>
            <w:pPr>
              <w:jc w:val="right"/>
              <w:ind w:right="17"/>
              <w:spacing w:after="0"/>
              <w:rPr>
                <w:sz w:val="20"/>
                <w:szCs w:val="20"/>
                <w:color w:val="auto"/>
              </w:rPr>
            </w:pPr>
            <w:r>
              <w:rPr>
                <w:rFonts w:ascii="Arial" w:cs="Arial" w:eastAsia="Arial" w:hAnsi="Arial"/>
                <w:sz w:val="18"/>
                <w:szCs w:val="18"/>
                <w:color w:val="auto"/>
              </w:rPr>
              <w:t>—</w:t>
            </w:r>
          </w:p>
        </w:tc>
        <w:tc>
          <w:tcPr>
            <w:tcW w:w="680" w:type="dxa"/>
            <w:vAlign w:val="bottom"/>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3,853</w:t>
            </w:r>
          </w:p>
        </w:tc>
        <w:tc>
          <w:tcPr>
            <w:tcW w:w="3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ind w:left="34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3,698</w:t>
            </w:r>
          </w:p>
        </w:tc>
        <w:tc>
          <w:tcPr>
            <w:tcW w:w="100" w:type="dxa"/>
            <w:vAlign w:val="bottom"/>
          </w:tcPr>
          <w:p>
            <w:pPr>
              <w:spacing w:after="0"/>
              <w:rPr>
                <w:sz w:val="19"/>
                <w:szCs w:val="19"/>
                <w:color w:val="auto"/>
              </w:rPr>
            </w:pPr>
          </w:p>
        </w:tc>
      </w:tr>
      <w:tr>
        <w:trPr>
          <w:trHeight w:val="216"/>
        </w:trPr>
        <w:tc>
          <w:tcPr>
            <w:tcW w:w="50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46,434</w:t>
            </w:r>
          </w:p>
        </w:tc>
        <w:tc>
          <w:tcPr>
            <w:tcW w:w="920" w:type="dxa"/>
            <w:vAlign w:val="bottom"/>
            <w:gridSpan w:val="2"/>
            <w:shd w:val="clear" w:color="auto" w:fill="CCEEFF"/>
          </w:tcPr>
          <w:p>
            <w:pPr>
              <w:jc w:val="right"/>
              <w:ind w:right="92"/>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3,853</w:t>
            </w:r>
          </w:p>
        </w:tc>
        <w:tc>
          <w:tcPr>
            <w:tcW w:w="56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56,360</w:t>
            </w:r>
          </w:p>
        </w:tc>
        <w:tc>
          <w:tcPr>
            <w:tcW w:w="62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3,698</w:t>
            </w:r>
          </w:p>
        </w:tc>
        <w:tc>
          <w:tcPr>
            <w:tcW w:w="100" w:type="dxa"/>
            <w:vAlign w:val="bottom"/>
            <w:shd w:val="clear" w:color="auto" w:fill="CCEEFF"/>
          </w:tcPr>
          <w:p>
            <w:pPr>
              <w:spacing w:after="0"/>
              <w:rPr>
                <w:sz w:val="18"/>
                <w:szCs w:val="18"/>
                <w:color w:val="auto"/>
              </w:rPr>
            </w:pPr>
          </w:p>
        </w:tc>
      </w:tr>
      <w:tr>
        <w:trPr>
          <w:trHeight w:val="20"/>
        </w:trPr>
        <w:tc>
          <w:tcPr>
            <w:tcW w:w="5060" w:type="dxa"/>
            <w:vAlign w:val="bottom"/>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320" w:firstLine="456"/>
        <w:spacing w:after="0" w:line="256" w:lineRule="auto"/>
        <w:rPr>
          <w:sz w:val="20"/>
          <w:szCs w:val="20"/>
          <w:color w:val="auto"/>
        </w:rPr>
      </w:pPr>
      <w:r>
        <w:rPr>
          <w:rFonts w:ascii="Arial" w:cs="Arial" w:eastAsia="Arial" w:hAnsi="Arial"/>
          <w:sz w:val="18"/>
          <w:szCs w:val="18"/>
          <w:i w:val="1"/>
          <w:iCs w:val="1"/>
          <w:color w:val="auto"/>
        </w:rPr>
        <w:t xml:space="preserve">Cash Flow Hedges. </w:t>
      </w:r>
      <w:r>
        <w:rPr>
          <w:rFonts w:ascii="Arial" w:cs="Arial" w:eastAsia="Arial" w:hAnsi="Arial"/>
          <w:sz w:val="18"/>
          <w:szCs w:val="18"/>
          <w:color w:val="auto"/>
        </w:rPr>
        <w:t>The Company designates and documents its foreign currency forward exchange contracts as cash flow hedges for certain operating</w:t>
      </w:r>
      <w:r>
        <w:rPr>
          <w:rFonts w:ascii="Arial" w:cs="Arial" w:eastAsia="Arial" w:hAnsi="Arial"/>
          <w:sz w:val="18"/>
          <w:szCs w:val="18"/>
          <w:i w:val="1"/>
          <w:iCs w:val="1"/>
          <w:color w:val="auto"/>
        </w:rPr>
        <w:t xml:space="preserve"> </w:t>
      </w:r>
      <w:r>
        <w:rPr>
          <w:rFonts w:ascii="Arial" w:cs="Arial" w:eastAsia="Arial" w:hAnsi="Arial"/>
          <w:sz w:val="18"/>
          <w:szCs w:val="18"/>
          <w:color w:val="auto"/>
        </w:rPr>
        <w:t>expenses denominated in Israeli shekels. The Company evaluates and calculates the effectiveness of each hedge at least quarterly. The effective change is recorded in accumulated other comprehensive income and is subsequently reclassified to operating expense when the hedged expense is recognized. Ineffectiveness is recorded in interest and other income, net.</w:t>
      </w:r>
    </w:p>
    <w:p>
      <w:pPr>
        <w:spacing w:after="0" w:line="143" w:lineRule="exact"/>
        <w:rPr>
          <w:sz w:val="20"/>
          <w:szCs w:val="20"/>
          <w:color w:val="auto"/>
        </w:rPr>
      </w:pPr>
    </w:p>
    <w:p>
      <w:pPr>
        <w:jc w:val="both"/>
        <w:ind w:right="140" w:firstLine="456"/>
        <w:spacing w:after="0" w:line="306" w:lineRule="auto"/>
        <w:rPr>
          <w:sz w:val="20"/>
          <w:szCs w:val="20"/>
          <w:color w:val="auto"/>
        </w:rPr>
      </w:pPr>
      <w:r>
        <w:rPr>
          <w:rFonts w:ascii="Arial" w:cs="Arial" w:eastAsia="Arial" w:hAnsi="Arial"/>
          <w:sz w:val="16"/>
          <w:szCs w:val="16"/>
          <w:i w:val="1"/>
          <w:iCs w:val="1"/>
          <w:color w:val="auto"/>
        </w:rPr>
        <w:t xml:space="preserve">Other Foreign Currency Forward Contracts. </w:t>
      </w:r>
      <w:r>
        <w:rPr>
          <w:rFonts w:ascii="Arial" w:cs="Arial" w:eastAsia="Arial" w:hAnsi="Arial"/>
          <w:sz w:val="16"/>
          <w:szCs w:val="16"/>
          <w:color w:val="auto"/>
        </w:rPr>
        <w:t>The Company enters into foreign currency forward exchange contracts to hedge certain assets and liabilities</w:t>
      </w:r>
      <w:r>
        <w:rPr>
          <w:rFonts w:ascii="Arial" w:cs="Arial" w:eastAsia="Arial" w:hAnsi="Arial"/>
          <w:sz w:val="16"/>
          <w:szCs w:val="16"/>
          <w:i w:val="1"/>
          <w:iCs w:val="1"/>
          <w:color w:val="auto"/>
        </w:rPr>
        <w:t xml:space="preserve"> </w:t>
      </w:r>
      <w:r>
        <w:rPr>
          <w:rFonts w:ascii="Arial" w:cs="Arial" w:eastAsia="Arial" w:hAnsi="Arial"/>
          <w:sz w:val="16"/>
          <w:szCs w:val="16"/>
          <w:color w:val="auto"/>
        </w:rPr>
        <w:t>denominated in various foreign currencies that it does not designate as hedges for accounting purposes. The maturities of these contracts are generally less than 12 months. Gains or losses arising from the remeasurement of these contracts to fair value each period are recorded in interest and other expense, net.</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fair value of foreign exchange contract derivatives were not significant as of any period presented.</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Fair Value Measurements</w:t>
      </w:r>
    </w:p>
    <w:p>
      <w:pPr>
        <w:spacing w:after="0" w:line="96"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Fair value is an exit price representing the amount that would be received to sell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value hierarchy, which prioritizes the inputs used in the valuation methodologies in measuring fair value:</w:t>
      </w:r>
    </w:p>
    <w:p>
      <w:pPr>
        <w:spacing w:after="0" w:line="62" w:lineRule="exact"/>
        <w:rPr>
          <w:sz w:val="20"/>
          <w:szCs w:val="20"/>
          <w:color w:val="auto"/>
        </w:rPr>
      </w:pPr>
    </w:p>
    <w:p>
      <w:pPr>
        <w:ind w:left="920"/>
        <w:spacing w:after="0"/>
        <w:rPr>
          <w:sz w:val="20"/>
          <w:szCs w:val="20"/>
          <w:color w:val="auto"/>
        </w:rPr>
      </w:pPr>
      <w:r>
        <w:rPr>
          <w:rFonts w:ascii="Arial" w:cs="Arial" w:eastAsia="Arial" w:hAnsi="Arial"/>
          <w:sz w:val="18"/>
          <w:szCs w:val="18"/>
          <w:color w:val="auto"/>
        </w:rPr>
        <w:t>Level 1 - Observable inputs that reflect quoted prices (unadjusted) for identical assets or liabilities in active markets.</w:t>
      </w:r>
    </w:p>
    <w:p>
      <w:pPr>
        <w:spacing w:after="0" w:line="90" w:lineRule="exact"/>
        <w:rPr>
          <w:sz w:val="20"/>
          <w:szCs w:val="20"/>
          <w:color w:val="auto"/>
        </w:rPr>
      </w:pPr>
    </w:p>
    <w:p>
      <w:pPr>
        <w:ind w:left="920"/>
        <w:spacing w:after="0"/>
        <w:rPr>
          <w:sz w:val="20"/>
          <w:szCs w:val="20"/>
          <w:color w:val="auto"/>
        </w:rPr>
      </w:pPr>
      <w:r>
        <w:rPr>
          <w:rFonts w:ascii="Arial" w:cs="Arial" w:eastAsia="Arial" w:hAnsi="Arial"/>
          <w:sz w:val="18"/>
          <w:szCs w:val="18"/>
          <w:color w:val="auto"/>
        </w:rPr>
        <w:t>Level 2 - Include other inputs that are directly or indirectly observable in the marketplace.</w:t>
      </w:r>
    </w:p>
    <w:p>
      <w:pPr>
        <w:spacing w:after="0" w:line="90" w:lineRule="exact"/>
        <w:rPr>
          <w:sz w:val="20"/>
          <w:szCs w:val="20"/>
          <w:color w:val="auto"/>
        </w:rPr>
      </w:pPr>
    </w:p>
    <w:p>
      <w:pPr>
        <w:ind w:left="920"/>
        <w:spacing w:after="0"/>
        <w:rPr>
          <w:sz w:val="20"/>
          <w:szCs w:val="20"/>
          <w:color w:val="auto"/>
        </w:rPr>
      </w:pPr>
      <w:r>
        <w:rPr>
          <w:rFonts w:ascii="Arial" w:cs="Arial" w:eastAsia="Arial" w:hAnsi="Arial"/>
          <w:sz w:val="18"/>
          <w:szCs w:val="18"/>
          <w:color w:val="auto"/>
        </w:rPr>
        <w:t>Level 3 - Unobservable inputs that are supported by little or no market activity.</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fair value hierarchy also requires an entity to maximize the use of observable inputs and minimize the use of unobservable inputs when measuring fair</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value.</w:t>
      </w:r>
    </w:p>
    <w:p>
      <w:pPr>
        <w:spacing w:after="0" w:line="165"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The Company measures its cash equivalents and marketable securities at fair value. The Company’s cash equivalents and marketable securities are primarily classified within Level 1 with the exception of its investments in auction rate securities, which are classified within Level 3. Cash equivalents and marketable securities are valued primarily using quoted market prices utilizing market observable inputs. The Company’s investments in corporate debt securities are classified within Level 2 as the market inputs to value these instruments consist of market yields, reported trades and broker/dealer quotes. In addition, foreign currency contracts are classified within Level 2 as the valuation inputs are based on quoted prices and market observable data of similar instruments. The Company’s investments in auction rate securities are classified within Level 3 because there are no active markets for the auction rate securities and therefore the Company is unable to obtain independent valuations from market sources. Therefore, the auction rate securities were valued using a discounted cash flow model. Some of the inputs to the cash flow model are unobservable in the market. The total amount of assets measured using Level 3 valuation methodologies represented 0.5% of total assets as of April 30, 2011.</w:t>
      </w:r>
    </w:p>
    <w:p>
      <w:pPr>
        <w:spacing w:after="0" w:line="1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400"/>
          </w:cols>
          <w:pgMar w:left="240" w:top="459" w:right="25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00" w:firstLine="456"/>
        <w:spacing w:after="0" w:line="332" w:lineRule="auto"/>
        <w:rPr>
          <w:sz w:val="20"/>
          <w:szCs w:val="20"/>
          <w:color w:val="auto"/>
        </w:rPr>
      </w:pPr>
      <w:r>
        <w:rPr>
          <w:rFonts w:ascii="Arial" w:cs="Arial" w:eastAsia="Arial" w:hAnsi="Arial"/>
          <w:sz w:val="16"/>
          <w:szCs w:val="16"/>
          <w:color w:val="auto"/>
        </w:rPr>
        <w:t>The tables below set forth, by level, the Company’s financial assets that were accounted for at fair value as of April 30, 2011 and January 29, 2011. The tables do not include assets and liabilities that are measured at historical cost or any basis other than fair value (in thousands):</w:t>
      </w:r>
    </w:p>
    <w:p>
      <w:pPr>
        <w:spacing w:after="0" w:line="10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520" w:type="dxa"/>
            <w:vAlign w:val="bottom"/>
          </w:tcPr>
          <w:p>
            <w:pPr>
              <w:spacing w:after="0"/>
              <w:rPr>
                <w:sz w:val="14"/>
                <w:szCs w:val="14"/>
                <w:color w:val="auto"/>
              </w:rPr>
            </w:pPr>
          </w:p>
        </w:tc>
        <w:tc>
          <w:tcPr>
            <w:tcW w:w="23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7"/>
              </w:rPr>
              <w:t>Portion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520" w:type="dxa"/>
            <w:vAlign w:val="bottom"/>
          </w:tcPr>
          <w:p>
            <w:pPr>
              <w:spacing w:after="0"/>
              <w:rPr>
                <w:sz w:val="12"/>
                <w:szCs w:val="12"/>
                <w:color w:val="auto"/>
              </w:rPr>
            </w:pPr>
          </w:p>
        </w:tc>
        <w:tc>
          <w:tcPr>
            <w:tcW w:w="23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4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91"/>
              </w:rPr>
              <w:t>Carrying Value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520" w:type="dxa"/>
            <w:vAlign w:val="bottom"/>
          </w:tcPr>
          <w:p>
            <w:pPr>
              <w:spacing w:after="0"/>
              <w:rPr>
                <w:sz w:val="12"/>
                <w:szCs w:val="12"/>
                <w:color w:val="auto"/>
              </w:rPr>
            </w:pPr>
          </w:p>
        </w:tc>
        <w:tc>
          <w:tcPr>
            <w:tcW w:w="23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240" w:type="dxa"/>
            <w:vAlign w:val="bottom"/>
            <w:gridSpan w:val="3"/>
          </w:tcPr>
          <w:p>
            <w:pPr>
              <w:jc w:val="center"/>
              <w:ind w:right="80"/>
              <w:spacing w:after="0" w:line="149" w:lineRule="exact"/>
              <w:rPr>
                <w:sz w:val="20"/>
                <w:szCs w:val="20"/>
                <w:color w:val="auto"/>
              </w:rPr>
            </w:pPr>
            <w:r>
              <w:rPr>
                <w:rFonts w:ascii="Arial" w:cs="Arial" w:eastAsia="Arial" w:hAnsi="Arial"/>
                <w:sz w:val="14"/>
                <w:szCs w:val="14"/>
                <w:b w:val="1"/>
                <w:bCs w:val="1"/>
                <w:color w:val="auto"/>
                <w:w w:val="89"/>
              </w:rPr>
              <w:t>Measured at Fair</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520" w:type="dxa"/>
            <w:vAlign w:val="bottom"/>
          </w:tcPr>
          <w:p>
            <w:pPr>
              <w:spacing w:after="0"/>
              <w:rPr>
                <w:sz w:val="12"/>
                <w:szCs w:val="12"/>
                <w:color w:val="auto"/>
              </w:rPr>
            </w:pPr>
          </w:p>
        </w:tc>
        <w:tc>
          <w:tcPr>
            <w:tcW w:w="23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4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90"/>
              </w:rPr>
              <w:t>Value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520" w:type="dxa"/>
            <w:vAlign w:val="bottom"/>
          </w:tcPr>
          <w:p>
            <w:pPr>
              <w:spacing w:after="0"/>
              <w:rPr>
                <w:sz w:val="14"/>
                <w:szCs w:val="14"/>
                <w:color w:val="auto"/>
              </w:rPr>
            </w:pPr>
          </w:p>
        </w:tc>
        <w:tc>
          <w:tcPr>
            <w:tcW w:w="23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jc w:val="right"/>
              <w:ind w:right="94"/>
              <w:spacing w:after="0"/>
              <w:rPr>
                <w:sz w:val="20"/>
                <w:szCs w:val="20"/>
                <w:color w:val="auto"/>
              </w:rPr>
            </w:pPr>
            <w:r>
              <w:rPr>
                <w:rFonts w:ascii="Arial" w:cs="Arial" w:eastAsia="Arial" w:hAnsi="Arial"/>
                <w:sz w:val="14"/>
                <w:szCs w:val="14"/>
                <w:b w:val="1"/>
                <w:bCs w:val="1"/>
                <w:color w:val="auto"/>
              </w:rPr>
              <w:t>Level 1</w:t>
            </w:r>
          </w:p>
        </w:tc>
        <w:tc>
          <w:tcPr>
            <w:tcW w:w="4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80" w:type="dxa"/>
            <w:vAlign w:val="bottom"/>
          </w:tcPr>
          <w:p>
            <w:pPr>
              <w:jc w:val="right"/>
              <w:ind w:right="34"/>
              <w:spacing w:after="0"/>
              <w:rPr>
                <w:sz w:val="20"/>
                <w:szCs w:val="20"/>
                <w:color w:val="auto"/>
              </w:rPr>
            </w:pPr>
            <w:r>
              <w:rPr>
                <w:rFonts w:ascii="Arial" w:cs="Arial" w:eastAsia="Arial" w:hAnsi="Arial"/>
                <w:sz w:val="14"/>
                <w:szCs w:val="14"/>
                <w:b w:val="1"/>
                <w:bCs w:val="1"/>
                <w:color w:val="auto"/>
                <w:w w:val="92"/>
              </w:rPr>
              <w:t>Level 2</w:t>
            </w:r>
          </w:p>
        </w:tc>
        <w:tc>
          <w:tcPr>
            <w:tcW w:w="420" w:type="dxa"/>
            <w:vAlign w:val="bottom"/>
          </w:tcPr>
          <w:p>
            <w:pPr>
              <w:spacing w:after="0"/>
              <w:rPr>
                <w:sz w:val="14"/>
                <w:szCs w:val="14"/>
                <w:color w:val="auto"/>
              </w:rPr>
            </w:pPr>
          </w:p>
        </w:tc>
        <w:tc>
          <w:tcPr>
            <w:tcW w:w="780" w:type="dxa"/>
            <w:vAlign w:val="bottom"/>
            <w:gridSpan w:val="3"/>
          </w:tcPr>
          <w:p>
            <w:pPr>
              <w:ind w:left="80"/>
              <w:spacing w:after="0"/>
              <w:rPr>
                <w:sz w:val="20"/>
                <w:szCs w:val="20"/>
                <w:color w:val="auto"/>
              </w:rPr>
            </w:pPr>
            <w:r>
              <w:rPr>
                <w:rFonts w:ascii="Arial" w:cs="Arial" w:eastAsia="Arial" w:hAnsi="Arial"/>
                <w:sz w:val="14"/>
                <w:szCs w:val="14"/>
                <w:b w:val="1"/>
                <w:bCs w:val="1"/>
                <w:color w:val="auto"/>
              </w:rPr>
              <w:t>Level 3</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8"/>
              </w:rPr>
              <w:t>at April 30, 2011</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Items measured at fair value on a recurring basis:</w:t>
            </w:r>
          </w:p>
        </w:tc>
        <w:tc>
          <w:tcPr>
            <w:tcW w:w="236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104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spacing w:after="0"/>
              <w:rPr>
                <w:sz w:val="20"/>
                <w:szCs w:val="20"/>
                <w:color w:val="auto"/>
              </w:rPr>
            </w:pPr>
            <w:r>
              <w:rPr>
                <w:rFonts w:ascii="Arial" w:cs="Arial" w:eastAsia="Arial" w:hAnsi="Arial"/>
                <w:sz w:val="18"/>
                <w:szCs w:val="18"/>
                <w:color w:val="auto"/>
              </w:rPr>
              <w:t>Assets</w:t>
            </w:r>
          </w:p>
        </w:tc>
        <w:tc>
          <w:tcPr>
            <w:tcW w:w="2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2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Money market funds</w:t>
            </w:r>
          </w:p>
        </w:tc>
        <w:tc>
          <w:tcPr>
            <w:tcW w:w="24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356,357</w:t>
            </w: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300" w:type="dxa"/>
            <w:vAlign w:val="bottom"/>
            <w:gridSpan w:val="2"/>
          </w:tcPr>
          <w:p>
            <w:pPr>
              <w:ind w:left="200"/>
              <w:spacing w:after="0"/>
              <w:rPr>
                <w:sz w:val="20"/>
                <w:szCs w:val="20"/>
                <w:color w:val="auto"/>
              </w:rPr>
            </w:pPr>
            <w:r>
              <w:rPr>
                <w:rFonts w:ascii="Arial" w:cs="Arial" w:eastAsia="Arial" w:hAnsi="Arial"/>
                <w:sz w:val="18"/>
                <w:szCs w:val="18"/>
                <w:color w:val="auto"/>
                <w:w w:val="79"/>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356,357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U.S. government and agencies</w:t>
            </w:r>
          </w:p>
        </w:tc>
        <w:tc>
          <w:tcPr>
            <w:tcW w:w="2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19,999</w:t>
            </w:r>
          </w:p>
        </w:tc>
        <w:tc>
          <w:tcPr>
            <w:tcW w:w="4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19,999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Corporate debt securities</w:t>
            </w:r>
          </w:p>
        </w:tc>
        <w:tc>
          <w:tcPr>
            <w:tcW w:w="2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56,688</w:t>
            </w:r>
          </w:p>
        </w:tc>
        <w:tc>
          <w:tcPr>
            <w:tcW w:w="4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56,688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Time deposit</w:t>
            </w:r>
          </w:p>
        </w:tc>
        <w:tc>
          <w:tcPr>
            <w:tcW w:w="2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121,926</w:t>
            </w:r>
          </w:p>
        </w:tc>
        <w:tc>
          <w:tcPr>
            <w:tcW w:w="4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121,926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spacing w:after="0"/>
              <w:rPr>
                <w:sz w:val="20"/>
                <w:szCs w:val="20"/>
                <w:color w:val="auto"/>
              </w:rPr>
            </w:pPr>
            <w:r>
              <w:rPr>
                <w:rFonts w:ascii="Arial" w:cs="Arial" w:eastAsia="Arial" w:hAnsi="Arial"/>
                <w:sz w:val="18"/>
                <w:szCs w:val="18"/>
                <w:color w:val="auto"/>
              </w:rPr>
              <w:t>Short-term investments:</w:t>
            </w:r>
          </w:p>
        </w:tc>
        <w:tc>
          <w:tcPr>
            <w:tcW w:w="2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U.S. government and agencies</w:t>
            </w:r>
          </w:p>
        </w:tc>
        <w:tc>
          <w:tcPr>
            <w:tcW w:w="2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624,223</w:t>
            </w:r>
          </w:p>
        </w:tc>
        <w:tc>
          <w:tcPr>
            <w:tcW w:w="4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624,223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Corporate debt securities</w:t>
            </w:r>
          </w:p>
        </w:tc>
        <w:tc>
          <w:tcPr>
            <w:tcW w:w="2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861,215</w:t>
            </w:r>
          </w:p>
        </w:tc>
        <w:tc>
          <w:tcPr>
            <w:tcW w:w="4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861,215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2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Auction rate securities</w:t>
            </w:r>
          </w:p>
        </w:tc>
        <w:tc>
          <w:tcPr>
            <w:tcW w:w="2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gridSpan w:val="2"/>
          </w:tcPr>
          <w:p>
            <w:pPr>
              <w:spacing w:after="0"/>
              <w:rPr>
                <w:sz w:val="20"/>
                <w:szCs w:val="20"/>
                <w:color w:val="auto"/>
              </w:rPr>
            </w:pPr>
            <w:r>
              <w:rPr>
                <w:rFonts w:ascii="Arial" w:cs="Arial" w:eastAsia="Arial" w:hAnsi="Arial"/>
                <w:sz w:val="18"/>
                <w:szCs w:val="18"/>
                <w:color w:val="auto"/>
              </w:rPr>
              <w:t>26,070</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26,070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Prepaid expenses and other current assets:</w:t>
            </w:r>
          </w:p>
        </w:tc>
        <w:tc>
          <w:tcPr>
            <w:tcW w:w="2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Forward contracts</w:t>
            </w:r>
          </w:p>
        </w:tc>
        <w:tc>
          <w:tcPr>
            <w:tcW w:w="2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2,959</w:t>
            </w:r>
          </w:p>
        </w:tc>
        <w:tc>
          <w:tcPr>
            <w:tcW w:w="4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2,959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2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Severance pay fund</w:t>
            </w:r>
          </w:p>
        </w:tc>
        <w:tc>
          <w:tcPr>
            <w:tcW w:w="23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2,615</w:t>
            </w:r>
          </w:p>
        </w:tc>
        <w:tc>
          <w:tcPr>
            <w:tcW w:w="4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2,732</w:t>
            </w:r>
          </w:p>
        </w:tc>
        <w:tc>
          <w:tcPr>
            <w:tcW w:w="4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ind w:lef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5,347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Total assets</w:t>
            </w:r>
          </w:p>
        </w:tc>
        <w:tc>
          <w:tcPr>
            <w:tcW w:w="246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1,125,120</w:t>
            </w:r>
          </w:p>
        </w:tc>
        <w:tc>
          <w:tcPr>
            <w:tcW w:w="5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923,594</w:t>
            </w:r>
          </w:p>
        </w:tc>
        <w:tc>
          <w:tcPr>
            <w:tcW w:w="5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26,070</w:t>
            </w:r>
          </w:p>
        </w:tc>
        <w:tc>
          <w:tcPr>
            <w:tcW w:w="30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w w:val="79"/>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2,074,784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540" w:type="dxa"/>
            <w:vAlign w:val="bottom"/>
            <w:gridSpan w:val="2"/>
            <w:vMerge w:val="restart"/>
          </w:tcPr>
          <w:p>
            <w:pPr>
              <w:spacing w:after="0"/>
              <w:rPr>
                <w:sz w:val="20"/>
                <w:szCs w:val="20"/>
                <w:color w:val="auto"/>
              </w:rPr>
            </w:pPr>
            <w:r>
              <w:rPr>
                <w:rFonts w:ascii="Arial" w:cs="Arial" w:eastAsia="Arial" w:hAnsi="Arial"/>
                <w:sz w:val="18"/>
                <w:szCs w:val="18"/>
                <w:color w:val="auto"/>
              </w:rPr>
              <w:t>Liabilities</w:t>
            </w:r>
          </w:p>
        </w:tc>
        <w:tc>
          <w:tcPr>
            <w:tcW w:w="23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4540" w:type="dxa"/>
            <w:vAlign w:val="bottom"/>
            <w:gridSpan w:val="2"/>
            <w:vMerge w:val="continue"/>
          </w:tcPr>
          <w:p>
            <w:pPr>
              <w:spacing w:after="0"/>
              <w:rPr>
                <w:sz w:val="18"/>
                <w:szCs w:val="18"/>
                <w:color w:val="auto"/>
              </w:rPr>
            </w:pPr>
          </w:p>
        </w:tc>
        <w:tc>
          <w:tcPr>
            <w:tcW w:w="2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Accrued liabilities:</w:t>
            </w:r>
          </w:p>
        </w:tc>
        <w:tc>
          <w:tcPr>
            <w:tcW w:w="2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Forward contracts</w:t>
            </w:r>
          </w:p>
        </w:tc>
        <w:tc>
          <w:tcPr>
            <w:tcW w:w="236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97</w:t>
            </w: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300" w:type="dxa"/>
            <w:vAlign w:val="bottom"/>
            <w:gridSpan w:val="2"/>
          </w:tcPr>
          <w:p>
            <w:pPr>
              <w:ind w:left="200"/>
              <w:spacing w:after="0"/>
              <w:rPr>
                <w:sz w:val="20"/>
                <w:szCs w:val="20"/>
                <w:color w:val="auto"/>
              </w:rPr>
            </w:pPr>
            <w:r>
              <w:rPr>
                <w:rFonts w:ascii="Arial" w:cs="Arial" w:eastAsia="Arial" w:hAnsi="Arial"/>
                <w:sz w:val="18"/>
                <w:szCs w:val="18"/>
                <w:color w:val="auto"/>
                <w:w w:val="79"/>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97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520" w:type="dxa"/>
            <w:vAlign w:val="bottom"/>
          </w:tcPr>
          <w:p>
            <w:pPr>
              <w:spacing w:after="0"/>
              <w:rPr>
                <w:sz w:val="2"/>
                <w:szCs w:val="2"/>
                <w:color w:val="auto"/>
              </w:rPr>
            </w:pPr>
          </w:p>
        </w:tc>
        <w:tc>
          <w:tcPr>
            <w:tcW w:w="23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10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Total liabilities</w:t>
            </w:r>
          </w:p>
        </w:tc>
        <w:tc>
          <w:tcPr>
            <w:tcW w:w="236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w:t>
            </w:r>
          </w:p>
        </w:tc>
        <w:tc>
          <w:tcPr>
            <w:tcW w:w="5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30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w w:val="79"/>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20" w:type="dxa"/>
            <w:vAlign w:val="bottom"/>
          </w:tcPr>
          <w:p>
            <w:pPr>
              <w:spacing w:after="0" w:line="20" w:lineRule="exact"/>
              <w:rPr>
                <w:sz w:val="1"/>
                <w:szCs w:val="1"/>
                <w:color w:val="auto"/>
              </w:rPr>
            </w:pPr>
          </w:p>
        </w:tc>
        <w:tc>
          <w:tcPr>
            <w:tcW w:w="23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140" w:type="dxa"/>
            <w:vAlign w:val="bottom"/>
            <w:tcBorders>
              <w:top w:val="single" w:sz="8" w:color="auto"/>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6"/>
        </w:trPr>
        <w:tc>
          <w:tcPr>
            <w:tcW w:w="20" w:type="dxa"/>
            <w:vAlign w:val="bottom"/>
          </w:tcPr>
          <w:p>
            <w:pPr>
              <w:spacing w:after="0"/>
              <w:rPr>
                <w:sz w:val="24"/>
                <w:szCs w:val="24"/>
                <w:color w:val="auto"/>
              </w:rPr>
            </w:pPr>
          </w:p>
        </w:tc>
        <w:tc>
          <w:tcPr>
            <w:tcW w:w="4520" w:type="dxa"/>
            <w:vAlign w:val="bottom"/>
          </w:tcPr>
          <w:p>
            <w:pPr>
              <w:spacing w:after="0"/>
              <w:rPr>
                <w:sz w:val="24"/>
                <w:szCs w:val="24"/>
                <w:color w:val="auto"/>
              </w:rPr>
            </w:pPr>
          </w:p>
        </w:tc>
        <w:tc>
          <w:tcPr>
            <w:tcW w:w="23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440" w:type="dxa"/>
            <w:vAlign w:val="bottom"/>
            <w:gridSpan w:val="4"/>
          </w:tcPr>
          <w:p>
            <w:pPr>
              <w:ind w:left="200"/>
              <w:spacing w:after="0"/>
              <w:rPr>
                <w:sz w:val="20"/>
                <w:szCs w:val="20"/>
                <w:color w:val="auto"/>
              </w:rPr>
            </w:pPr>
            <w:r>
              <w:rPr>
                <w:rFonts w:ascii="Arial" w:cs="Arial" w:eastAsia="Arial" w:hAnsi="Arial"/>
                <w:sz w:val="14"/>
                <w:szCs w:val="14"/>
                <w:b w:val="1"/>
                <w:bCs w:val="1"/>
                <w:color w:val="auto"/>
                <w:w w:val="95"/>
              </w:rPr>
              <w:t>Portion of Carrying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520" w:type="dxa"/>
            <w:vAlign w:val="bottom"/>
          </w:tcPr>
          <w:p>
            <w:pPr>
              <w:spacing w:after="0"/>
              <w:rPr>
                <w:sz w:val="12"/>
                <w:szCs w:val="12"/>
                <w:color w:val="auto"/>
              </w:rPr>
            </w:pPr>
          </w:p>
        </w:tc>
        <w:tc>
          <w:tcPr>
            <w:tcW w:w="23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240" w:type="dxa"/>
            <w:vAlign w:val="bottom"/>
            <w:gridSpan w:val="3"/>
          </w:tcPr>
          <w:p>
            <w:pPr>
              <w:jc w:val="center"/>
              <w:ind w:right="80"/>
              <w:spacing w:after="0" w:line="149" w:lineRule="exact"/>
              <w:rPr>
                <w:sz w:val="20"/>
                <w:szCs w:val="20"/>
                <w:color w:val="auto"/>
              </w:rPr>
            </w:pPr>
            <w:r>
              <w:rPr>
                <w:rFonts w:ascii="Arial" w:cs="Arial" w:eastAsia="Arial" w:hAnsi="Arial"/>
                <w:sz w:val="14"/>
                <w:szCs w:val="14"/>
                <w:b w:val="1"/>
                <w:bCs w:val="1"/>
                <w:color w:val="auto"/>
                <w:w w:val="87"/>
              </w:rPr>
              <w:t>Value Measured at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520" w:type="dxa"/>
            <w:vAlign w:val="bottom"/>
          </w:tcPr>
          <w:p>
            <w:pPr>
              <w:spacing w:after="0"/>
              <w:rPr>
                <w:sz w:val="12"/>
                <w:szCs w:val="12"/>
                <w:color w:val="auto"/>
              </w:rPr>
            </w:pPr>
          </w:p>
        </w:tc>
        <w:tc>
          <w:tcPr>
            <w:tcW w:w="23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4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92"/>
              </w:rPr>
              <w:t>Fair Value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520" w:type="dxa"/>
            <w:vAlign w:val="bottom"/>
          </w:tcPr>
          <w:p>
            <w:pPr>
              <w:spacing w:after="0"/>
              <w:rPr>
                <w:sz w:val="14"/>
                <w:szCs w:val="14"/>
                <w:color w:val="auto"/>
              </w:rPr>
            </w:pPr>
          </w:p>
        </w:tc>
        <w:tc>
          <w:tcPr>
            <w:tcW w:w="23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jc w:val="right"/>
              <w:ind w:right="94"/>
              <w:spacing w:after="0"/>
              <w:rPr>
                <w:sz w:val="20"/>
                <w:szCs w:val="20"/>
                <w:color w:val="auto"/>
              </w:rPr>
            </w:pPr>
            <w:r>
              <w:rPr>
                <w:rFonts w:ascii="Arial" w:cs="Arial" w:eastAsia="Arial" w:hAnsi="Arial"/>
                <w:sz w:val="14"/>
                <w:szCs w:val="14"/>
                <w:b w:val="1"/>
                <w:bCs w:val="1"/>
                <w:color w:val="auto"/>
              </w:rPr>
              <w:t>Level 1</w:t>
            </w:r>
          </w:p>
        </w:tc>
        <w:tc>
          <w:tcPr>
            <w:tcW w:w="4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80" w:type="dxa"/>
            <w:vAlign w:val="bottom"/>
          </w:tcPr>
          <w:p>
            <w:pPr>
              <w:jc w:val="right"/>
              <w:ind w:right="34"/>
              <w:spacing w:after="0"/>
              <w:rPr>
                <w:sz w:val="20"/>
                <w:szCs w:val="20"/>
                <w:color w:val="auto"/>
              </w:rPr>
            </w:pPr>
            <w:r>
              <w:rPr>
                <w:rFonts w:ascii="Arial" w:cs="Arial" w:eastAsia="Arial" w:hAnsi="Arial"/>
                <w:sz w:val="14"/>
                <w:szCs w:val="14"/>
                <w:b w:val="1"/>
                <w:bCs w:val="1"/>
                <w:color w:val="auto"/>
                <w:w w:val="92"/>
              </w:rPr>
              <w:t>Level 2</w:t>
            </w:r>
          </w:p>
        </w:tc>
        <w:tc>
          <w:tcPr>
            <w:tcW w:w="420" w:type="dxa"/>
            <w:vAlign w:val="bottom"/>
          </w:tcPr>
          <w:p>
            <w:pPr>
              <w:spacing w:after="0"/>
              <w:rPr>
                <w:sz w:val="14"/>
                <w:szCs w:val="14"/>
                <w:color w:val="auto"/>
              </w:rPr>
            </w:pPr>
          </w:p>
        </w:tc>
        <w:tc>
          <w:tcPr>
            <w:tcW w:w="780" w:type="dxa"/>
            <w:vAlign w:val="bottom"/>
            <w:gridSpan w:val="3"/>
          </w:tcPr>
          <w:p>
            <w:pPr>
              <w:ind w:left="80"/>
              <w:spacing w:after="0"/>
              <w:rPr>
                <w:sz w:val="20"/>
                <w:szCs w:val="20"/>
                <w:color w:val="auto"/>
              </w:rPr>
            </w:pPr>
            <w:r>
              <w:rPr>
                <w:rFonts w:ascii="Arial" w:cs="Arial" w:eastAsia="Arial" w:hAnsi="Arial"/>
                <w:sz w:val="14"/>
                <w:szCs w:val="14"/>
                <w:b w:val="1"/>
                <w:bCs w:val="1"/>
                <w:color w:val="auto"/>
              </w:rPr>
              <w:t>Level 3</w:t>
            </w:r>
          </w:p>
        </w:tc>
        <w:tc>
          <w:tcPr>
            <w:tcW w:w="200" w:type="dxa"/>
            <w:vAlign w:val="bottom"/>
          </w:tcPr>
          <w:p>
            <w:pPr>
              <w:spacing w:after="0"/>
              <w:rPr>
                <w:sz w:val="14"/>
                <w:szCs w:val="14"/>
                <w:color w:val="auto"/>
              </w:rPr>
            </w:pPr>
          </w:p>
        </w:tc>
        <w:tc>
          <w:tcPr>
            <w:tcW w:w="1240" w:type="dxa"/>
            <w:vAlign w:val="bottom"/>
            <w:gridSpan w:val="3"/>
          </w:tcPr>
          <w:p>
            <w:pPr>
              <w:spacing w:after="0"/>
              <w:rPr>
                <w:sz w:val="20"/>
                <w:szCs w:val="20"/>
                <w:color w:val="auto"/>
              </w:rPr>
            </w:pPr>
            <w:r>
              <w:rPr>
                <w:rFonts w:ascii="Arial" w:cs="Arial" w:eastAsia="Arial" w:hAnsi="Arial"/>
                <w:sz w:val="14"/>
                <w:szCs w:val="14"/>
                <w:b w:val="1"/>
                <w:bCs w:val="1"/>
                <w:color w:val="auto"/>
                <w:w w:val="94"/>
              </w:rPr>
              <w:t>at January 29, 2011</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Items measured at fair value on a recurring basis:</w:t>
            </w:r>
          </w:p>
        </w:tc>
        <w:tc>
          <w:tcPr>
            <w:tcW w:w="236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104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spacing w:after="0"/>
              <w:rPr>
                <w:sz w:val="20"/>
                <w:szCs w:val="20"/>
                <w:color w:val="auto"/>
              </w:rPr>
            </w:pPr>
            <w:r>
              <w:rPr>
                <w:rFonts w:ascii="Arial" w:cs="Arial" w:eastAsia="Arial" w:hAnsi="Arial"/>
                <w:sz w:val="18"/>
                <w:szCs w:val="18"/>
                <w:color w:val="auto"/>
              </w:rPr>
              <w:t>Assets</w:t>
            </w:r>
          </w:p>
        </w:tc>
        <w:tc>
          <w:tcPr>
            <w:tcW w:w="2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2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Money market funds</w:t>
            </w:r>
          </w:p>
        </w:tc>
        <w:tc>
          <w:tcPr>
            <w:tcW w:w="24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1,230,616</w:t>
            </w: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300" w:type="dxa"/>
            <w:vAlign w:val="bottom"/>
            <w:gridSpan w:val="2"/>
          </w:tcPr>
          <w:p>
            <w:pPr>
              <w:ind w:left="200"/>
              <w:spacing w:after="0"/>
              <w:rPr>
                <w:sz w:val="20"/>
                <w:szCs w:val="20"/>
                <w:color w:val="auto"/>
              </w:rPr>
            </w:pPr>
            <w:r>
              <w:rPr>
                <w:rFonts w:ascii="Arial" w:cs="Arial" w:eastAsia="Arial" w:hAnsi="Arial"/>
                <w:sz w:val="18"/>
                <w:szCs w:val="18"/>
                <w:color w:val="auto"/>
                <w:w w:val="79"/>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1,230,616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U.S. government and agencies</w:t>
            </w:r>
          </w:p>
        </w:tc>
        <w:tc>
          <w:tcPr>
            <w:tcW w:w="2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106,487</w:t>
            </w:r>
          </w:p>
        </w:tc>
        <w:tc>
          <w:tcPr>
            <w:tcW w:w="4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106,487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Corporate debt securities</w:t>
            </w:r>
          </w:p>
        </w:tc>
        <w:tc>
          <w:tcPr>
            <w:tcW w:w="2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9,797</w:t>
            </w:r>
          </w:p>
        </w:tc>
        <w:tc>
          <w:tcPr>
            <w:tcW w:w="4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9,797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Time deposit</w:t>
            </w:r>
          </w:p>
        </w:tc>
        <w:tc>
          <w:tcPr>
            <w:tcW w:w="2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159,938</w:t>
            </w:r>
          </w:p>
        </w:tc>
        <w:tc>
          <w:tcPr>
            <w:tcW w:w="4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159,938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spacing w:after="0"/>
              <w:rPr>
                <w:sz w:val="20"/>
                <w:szCs w:val="20"/>
                <w:color w:val="auto"/>
              </w:rPr>
            </w:pPr>
            <w:r>
              <w:rPr>
                <w:rFonts w:ascii="Arial" w:cs="Arial" w:eastAsia="Arial" w:hAnsi="Arial"/>
                <w:sz w:val="18"/>
                <w:szCs w:val="18"/>
                <w:color w:val="auto"/>
              </w:rPr>
              <w:t>Short-term investments:</w:t>
            </w:r>
          </w:p>
        </w:tc>
        <w:tc>
          <w:tcPr>
            <w:tcW w:w="2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U.S. government and agencies</w:t>
            </w:r>
          </w:p>
        </w:tc>
        <w:tc>
          <w:tcPr>
            <w:tcW w:w="2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431,683</w:t>
            </w:r>
          </w:p>
        </w:tc>
        <w:tc>
          <w:tcPr>
            <w:tcW w:w="4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431,683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Corporate debt securities</w:t>
            </w:r>
          </w:p>
        </w:tc>
        <w:tc>
          <w:tcPr>
            <w:tcW w:w="2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651,273</w:t>
            </w:r>
          </w:p>
        </w:tc>
        <w:tc>
          <w:tcPr>
            <w:tcW w:w="4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651,273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2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Auction rate securities</w:t>
            </w:r>
          </w:p>
        </w:tc>
        <w:tc>
          <w:tcPr>
            <w:tcW w:w="2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gridSpan w:val="2"/>
          </w:tcPr>
          <w:p>
            <w:pPr>
              <w:spacing w:after="0"/>
              <w:rPr>
                <w:sz w:val="20"/>
                <w:szCs w:val="20"/>
                <w:color w:val="auto"/>
              </w:rPr>
            </w:pPr>
            <w:r>
              <w:rPr>
                <w:rFonts w:ascii="Arial" w:cs="Arial" w:eastAsia="Arial" w:hAnsi="Arial"/>
                <w:sz w:val="18"/>
                <w:szCs w:val="18"/>
                <w:color w:val="auto"/>
              </w:rPr>
              <w:t>26,226</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26,226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Prepaid expense and other current assets:</w:t>
            </w:r>
          </w:p>
        </w:tc>
        <w:tc>
          <w:tcPr>
            <w:tcW w:w="2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Forward contracts</w:t>
            </w:r>
          </w:p>
        </w:tc>
        <w:tc>
          <w:tcPr>
            <w:tcW w:w="2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166</w:t>
            </w:r>
          </w:p>
        </w:tc>
        <w:tc>
          <w:tcPr>
            <w:tcW w:w="4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166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2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Severance pay fund</w:t>
            </w:r>
          </w:p>
        </w:tc>
        <w:tc>
          <w:tcPr>
            <w:tcW w:w="23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2,425</w:t>
            </w:r>
          </w:p>
        </w:tc>
        <w:tc>
          <w:tcPr>
            <w:tcW w:w="4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2,394</w:t>
            </w:r>
          </w:p>
        </w:tc>
        <w:tc>
          <w:tcPr>
            <w:tcW w:w="4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ind w:lef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4,819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Total assets</w:t>
            </w:r>
          </w:p>
        </w:tc>
        <w:tc>
          <w:tcPr>
            <w:tcW w:w="246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1,931,149</w:t>
            </w:r>
          </w:p>
        </w:tc>
        <w:tc>
          <w:tcPr>
            <w:tcW w:w="5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663,630</w:t>
            </w:r>
          </w:p>
        </w:tc>
        <w:tc>
          <w:tcPr>
            <w:tcW w:w="5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26,226</w:t>
            </w:r>
          </w:p>
        </w:tc>
        <w:tc>
          <w:tcPr>
            <w:tcW w:w="30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w w:val="79"/>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2,621,005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540" w:type="dxa"/>
            <w:vAlign w:val="bottom"/>
            <w:gridSpan w:val="2"/>
            <w:vMerge w:val="restart"/>
          </w:tcPr>
          <w:p>
            <w:pPr>
              <w:spacing w:after="0"/>
              <w:rPr>
                <w:sz w:val="20"/>
                <w:szCs w:val="20"/>
                <w:color w:val="auto"/>
              </w:rPr>
            </w:pPr>
            <w:r>
              <w:rPr>
                <w:rFonts w:ascii="Arial" w:cs="Arial" w:eastAsia="Arial" w:hAnsi="Arial"/>
                <w:sz w:val="18"/>
                <w:szCs w:val="18"/>
                <w:color w:val="auto"/>
              </w:rPr>
              <w:t>Liabilities</w:t>
            </w:r>
          </w:p>
        </w:tc>
        <w:tc>
          <w:tcPr>
            <w:tcW w:w="23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4540" w:type="dxa"/>
            <w:vAlign w:val="bottom"/>
            <w:gridSpan w:val="2"/>
            <w:vMerge w:val="continue"/>
          </w:tcPr>
          <w:p>
            <w:pPr>
              <w:spacing w:after="0"/>
              <w:rPr>
                <w:sz w:val="18"/>
                <w:szCs w:val="18"/>
                <w:color w:val="auto"/>
              </w:rPr>
            </w:pPr>
          </w:p>
        </w:tc>
        <w:tc>
          <w:tcPr>
            <w:tcW w:w="2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Accrued liabilities:</w:t>
            </w:r>
          </w:p>
        </w:tc>
        <w:tc>
          <w:tcPr>
            <w:tcW w:w="2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Forward contracts</w:t>
            </w:r>
          </w:p>
        </w:tc>
        <w:tc>
          <w:tcPr>
            <w:tcW w:w="236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804</w:t>
            </w: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300" w:type="dxa"/>
            <w:vAlign w:val="bottom"/>
            <w:gridSpan w:val="2"/>
          </w:tcPr>
          <w:p>
            <w:pPr>
              <w:ind w:left="200"/>
              <w:spacing w:after="0"/>
              <w:rPr>
                <w:sz w:val="20"/>
                <w:szCs w:val="20"/>
                <w:color w:val="auto"/>
              </w:rPr>
            </w:pPr>
            <w:r>
              <w:rPr>
                <w:rFonts w:ascii="Arial" w:cs="Arial" w:eastAsia="Arial" w:hAnsi="Arial"/>
                <w:sz w:val="18"/>
                <w:szCs w:val="18"/>
                <w:color w:val="auto"/>
                <w:w w:val="79"/>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804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520" w:type="dxa"/>
            <w:vAlign w:val="bottom"/>
          </w:tcPr>
          <w:p>
            <w:pPr>
              <w:spacing w:after="0"/>
              <w:rPr>
                <w:sz w:val="2"/>
                <w:szCs w:val="2"/>
                <w:color w:val="auto"/>
              </w:rPr>
            </w:pPr>
          </w:p>
        </w:tc>
        <w:tc>
          <w:tcPr>
            <w:tcW w:w="23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10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Total liabilities</w:t>
            </w:r>
          </w:p>
        </w:tc>
        <w:tc>
          <w:tcPr>
            <w:tcW w:w="236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804</w:t>
            </w:r>
          </w:p>
        </w:tc>
        <w:tc>
          <w:tcPr>
            <w:tcW w:w="5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30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w w:val="79"/>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20" w:type="dxa"/>
            <w:vAlign w:val="bottom"/>
          </w:tcPr>
          <w:p>
            <w:pPr>
              <w:spacing w:after="0" w:line="20" w:lineRule="exact"/>
              <w:rPr>
                <w:sz w:val="1"/>
                <w:szCs w:val="1"/>
                <w:color w:val="auto"/>
              </w:rPr>
            </w:pPr>
          </w:p>
        </w:tc>
        <w:tc>
          <w:tcPr>
            <w:tcW w:w="2360" w:type="dxa"/>
            <w:vAlign w:val="bottom"/>
            <w:vMerge w:val="restart"/>
          </w:tcPr>
          <w:p>
            <w:pPr>
              <w:jc w:val="right"/>
              <w:ind w:right="1012"/>
              <w:spacing w:after="0"/>
              <w:rPr>
                <w:sz w:val="20"/>
                <w:szCs w:val="20"/>
                <w:color w:val="auto"/>
              </w:rPr>
            </w:pPr>
            <w:r>
              <w:rPr>
                <w:rFonts w:ascii="Arial" w:cs="Arial" w:eastAsia="Arial" w:hAnsi="Arial"/>
                <w:sz w:val="18"/>
                <w:szCs w:val="18"/>
                <w:color w:val="auto"/>
              </w:rPr>
              <w:t>11</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520" w:type="dxa"/>
            <w:vAlign w:val="bottom"/>
          </w:tcPr>
          <w:p>
            <w:pPr>
              <w:spacing w:after="0"/>
              <w:rPr>
                <w:sz w:val="24"/>
                <w:szCs w:val="24"/>
                <w:color w:val="auto"/>
              </w:rPr>
            </w:pPr>
          </w:p>
        </w:tc>
        <w:tc>
          <w:tcPr>
            <w:tcW w:w="236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tables summarize the change in fair value for Level 3 items during the three months ended April 30, 2011 and May 1, 2010 (in thousands):</w:t>
      </w:r>
    </w:p>
    <w:p>
      <w:pPr>
        <w:spacing w:after="0" w:line="230"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7060" w:type="dxa"/>
            <w:vAlign w:val="bottom"/>
          </w:tcPr>
          <w:p>
            <w:pPr>
              <w:spacing w:after="0"/>
              <w:rPr>
                <w:sz w:val="14"/>
                <w:szCs w:val="14"/>
                <w:color w:val="auto"/>
              </w:rPr>
            </w:pPr>
          </w:p>
        </w:tc>
        <w:tc>
          <w:tcPr>
            <w:tcW w:w="70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rPr>
              <w:t>Level 3</w:t>
            </w:r>
          </w:p>
        </w:tc>
      </w:tr>
      <w:tr>
        <w:trPr>
          <w:trHeight w:val="210"/>
        </w:trPr>
        <w:tc>
          <w:tcPr>
            <w:tcW w:w="70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Changes in fair value during the three months ended April 30, 2011 (pre-tax):</w:t>
            </w:r>
          </w:p>
        </w:tc>
        <w:tc>
          <w:tcPr>
            <w:tcW w:w="580" w:type="dxa"/>
            <w:vAlign w:val="bottom"/>
            <w:tcBorders>
              <w:top w:val="single" w:sz="8" w:color="auto"/>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r>
      <w:tr>
        <w:trPr>
          <w:trHeight w:val="216"/>
        </w:trPr>
        <w:tc>
          <w:tcPr>
            <w:tcW w:w="7060" w:type="dxa"/>
            <w:vAlign w:val="bottom"/>
          </w:tcPr>
          <w:p>
            <w:pPr>
              <w:spacing w:after="0"/>
              <w:rPr>
                <w:sz w:val="20"/>
                <w:szCs w:val="20"/>
                <w:color w:val="auto"/>
              </w:rPr>
            </w:pPr>
            <w:r>
              <w:rPr>
                <w:rFonts w:ascii="Arial" w:cs="Arial" w:eastAsia="Arial" w:hAnsi="Arial"/>
                <w:sz w:val="18"/>
                <w:szCs w:val="18"/>
                <w:color w:val="auto"/>
              </w:rPr>
              <w:t>Beginning balance at January 30, 2011</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$26,226</w:t>
            </w:r>
          </w:p>
        </w:tc>
        <w:tc>
          <w:tcPr>
            <w:tcW w:w="120" w:type="dxa"/>
            <w:vAlign w:val="bottom"/>
          </w:tcPr>
          <w:p>
            <w:pPr>
              <w:spacing w:after="0"/>
              <w:rPr>
                <w:sz w:val="18"/>
                <w:szCs w:val="18"/>
                <w:color w:val="auto"/>
              </w:rPr>
            </w:pPr>
          </w:p>
        </w:tc>
      </w:tr>
      <w:tr>
        <w:trPr>
          <w:trHeight w:val="216"/>
        </w:trPr>
        <w:tc>
          <w:tcPr>
            <w:tcW w:w="7060" w:type="dxa"/>
            <w:vAlign w:val="bottom"/>
            <w:shd w:val="clear" w:color="auto" w:fill="CCEEFF"/>
          </w:tcPr>
          <w:p>
            <w:pPr>
              <w:spacing w:after="0"/>
              <w:rPr>
                <w:sz w:val="20"/>
                <w:szCs w:val="20"/>
                <w:color w:val="auto"/>
              </w:rPr>
            </w:pPr>
            <w:r>
              <w:rPr>
                <w:rFonts w:ascii="Arial" w:cs="Arial" w:eastAsia="Arial" w:hAnsi="Arial"/>
                <w:sz w:val="18"/>
                <w:szCs w:val="18"/>
                <w:color w:val="auto"/>
              </w:rPr>
              <w:t>Purchases</w:t>
            </w:r>
          </w:p>
        </w:tc>
        <w:tc>
          <w:tcPr>
            <w:tcW w:w="7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r>
      <w:tr>
        <w:trPr>
          <w:trHeight w:val="216"/>
        </w:trPr>
        <w:tc>
          <w:tcPr>
            <w:tcW w:w="7060" w:type="dxa"/>
            <w:vAlign w:val="bottom"/>
          </w:tcPr>
          <w:p>
            <w:pPr>
              <w:spacing w:after="0"/>
              <w:rPr>
                <w:sz w:val="20"/>
                <w:szCs w:val="20"/>
                <w:color w:val="auto"/>
              </w:rPr>
            </w:pPr>
            <w:r>
              <w:rPr>
                <w:rFonts w:ascii="Arial" w:cs="Arial" w:eastAsia="Arial" w:hAnsi="Arial"/>
                <w:sz w:val="18"/>
                <w:szCs w:val="18"/>
                <w:color w:val="auto"/>
              </w:rPr>
              <w:t>Sales and redemption</w:t>
            </w:r>
          </w:p>
        </w:tc>
        <w:tc>
          <w:tcPr>
            <w:tcW w:w="700" w:type="dxa"/>
            <w:vAlign w:val="bottom"/>
            <w:gridSpan w:val="2"/>
          </w:tcPr>
          <w:p>
            <w:pPr>
              <w:jc w:val="right"/>
              <w:ind w:right="60"/>
              <w:spacing w:after="0"/>
              <w:rPr>
                <w:sz w:val="20"/>
                <w:szCs w:val="20"/>
                <w:color w:val="auto"/>
              </w:rPr>
            </w:pPr>
            <w:r>
              <w:rPr>
                <w:rFonts w:ascii="Arial" w:cs="Arial" w:eastAsia="Arial" w:hAnsi="Arial"/>
                <w:sz w:val="18"/>
                <w:szCs w:val="18"/>
                <w:color w:val="auto"/>
              </w:rPr>
              <w:t>(100)</w:t>
            </w:r>
          </w:p>
        </w:tc>
      </w:tr>
      <w:tr>
        <w:trPr>
          <w:trHeight w:val="216"/>
        </w:trPr>
        <w:tc>
          <w:tcPr>
            <w:tcW w:w="7060" w:type="dxa"/>
            <w:vAlign w:val="bottom"/>
            <w:shd w:val="clear" w:color="auto" w:fill="CCEEFF"/>
          </w:tcPr>
          <w:p>
            <w:pPr>
              <w:spacing w:after="0"/>
              <w:rPr>
                <w:sz w:val="20"/>
                <w:szCs w:val="20"/>
                <w:color w:val="auto"/>
              </w:rPr>
            </w:pPr>
            <w:r>
              <w:rPr>
                <w:rFonts w:ascii="Arial" w:cs="Arial" w:eastAsia="Arial" w:hAnsi="Arial"/>
                <w:sz w:val="18"/>
                <w:szCs w:val="18"/>
                <w:color w:val="auto"/>
              </w:rPr>
              <w:t>Unrealized loss included in other comprehensive income</w:t>
            </w: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(56)</w:t>
            </w:r>
          </w:p>
        </w:tc>
      </w:tr>
      <w:tr>
        <w:trPr>
          <w:trHeight w:val="222"/>
        </w:trPr>
        <w:tc>
          <w:tcPr>
            <w:tcW w:w="7060" w:type="dxa"/>
            <w:vAlign w:val="bottom"/>
          </w:tcPr>
          <w:p>
            <w:pPr>
              <w:spacing w:after="0"/>
              <w:rPr>
                <w:sz w:val="20"/>
                <w:szCs w:val="20"/>
                <w:color w:val="auto"/>
              </w:rPr>
            </w:pPr>
            <w:r>
              <w:rPr>
                <w:rFonts w:ascii="Arial" w:cs="Arial" w:eastAsia="Arial" w:hAnsi="Arial"/>
                <w:sz w:val="18"/>
                <w:szCs w:val="18"/>
                <w:color w:val="auto"/>
              </w:rPr>
              <w:t>Ending balance at April 30, 2011</w:t>
            </w: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26,070</w:t>
            </w:r>
          </w:p>
        </w:tc>
        <w:tc>
          <w:tcPr>
            <w:tcW w:w="120" w:type="dxa"/>
            <w:vAlign w:val="bottom"/>
          </w:tcPr>
          <w:p>
            <w:pPr>
              <w:spacing w:after="0"/>
              <w:rPr>
                <w:sz w:val="19"/>
                <w:szCs w:val="19"/>
                <w:color w:val="auto"/>
              </w:rPr>
            </w:pPr>
          </w:p>
        </w:tc>
      </w:tr>
      <w:tr>
        <w:trPr>
          <w:trHeight w:val="20"/>
        </w:trPr>
        <w:tc>
          <w:tcPr>
            <w:tcW w:w="7060" w:type="dxa"/>
            <w:vAlign w:val="bottom"/>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r>
        <w:trPr>
          <w:trHeight w:val="360"/>
        </w:trPr>
        <w:tc>
          <w:tcPr>
            <w:tcW w:w="7060" w:type="dxa"/>
            <w:vAlign w:val="bottom"/>
          </w:tcPr>
          <w:p>
            <w:pPr>
              <w:spacing w:after="0"/>
              <w:rPr>
                <w:sz w:val="24"/>
                <w:szCs w:val="24"/>
                <w:color w:val="auto"/>
              </w:rPr>
            </w:pPr>
          </w:p>
        </w:tc>
        <w:tc>
          <w:tcPr>
            <w:tcW w:w="70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rPr>
              <w:t>Level 3</w:t>
            </w:r>
          </w:p>
        </w:tc>
      </w:tr>
      <w:tr>
        <w:trPr>
          <w:trHeight w:val="210"/>
        </w:trPr>
        <w:tc>
          <w:tcPr>
            <w:tcW w:w="70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Changes in fair value during the three months ended May 1, 2010 (pre-tax):</w:t>
            </w:r>
          </w:p>
        </w:tc>
        <w:tc>
          <w:tcPr>
            <w:tcW w:w="580" w:type="dxa"/>
            <w:vAlign w:val="bottom"/>
            <w:tcBorders>
              <w:top w:val="single" w:sz="8" w:color="auto"/>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r>
      <w:tr>
        <w:trPr>
          <w:trHeight w:val="216"/>
        </w:trPr>
        <w:tc>
          <w:tcPr>
            <w:tcW w:w="7060" w:type="dxa"/>
            <w:vAlign w:val="bottom"/>
          </w:tcPr>
          <w:p>
            <w:pPr>
              <w:spacing w:after="0"/>
              <w:rPr>
                <w:sz w:val="20"/>
                <w:szCs w:val="20"/>
                <w:color w:val="auto"/>
              </w:rPr>
            </w:pPr>
            <w:r>
              <w:rPr>
                <w:rFonts w:ascii="Arial" w:cs="Arial" w:eastAsia="Arial" w:hAnsi="Arial"/>
                <w:sz w:val="18"/>
                <w:szCs w:val="18"/>
                <w:color w:val="auto"/>
              </w:rPr>
              <w:t>Beginning balance at January 31, 2010</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$39,281</w:t>
            </w:r>
          </w:p>
        </w:tc>
        <w:tc>
          <w:tcPr>
            <w:tcW w:w="120" w:type="dxa"/>
            <w:vAlign w:val="bottom"/>
          </w:tcPr>
          <w:p>
            <w:pPr>
              <w:spacing w:after="0"/>
              <w:rPr>
                <w:sz w:val="18"/>
                <w:szCs w:val="18"/>
                <w:color w:val="auto"/>
              </w:rPr>
            </w:pPr>
          </w:p>
        </w:tc>
      </w:tr>
      <w:tr>
        <w:trPr>
          <w:trHeight w:val="216"/>
        </w:trPr>
        <w:tc>
          <w:tcPr>
            <w:tcW w:w="7060" w:type="dxa"/>
            <w:vAlign w:val="bottom"/>
            <w:shd w:val="clear" w:color="auto" w:fill="CCEEFF"/>
          </w:tcPr>
          <w:p>
            <w:pPr>
              <w:spacing w:after="0"/>
              <w:rPr>
                <w:sz w:val="20"/>
                <w:szCs w:val="20"/>
                <w:color w:val="auto"/>
              </w:rPr>
            </w:pPr>
            <w:r>
              <w:rPr>
                <w:rFonts w:ascii="Arial" w:cs="Arial" w:eastAsia="Arial" w:hAnsi="Arial"/>
                <w:sz w:val="18"/>
                <w:szCs w:val="18"/>
                <w:color w:val="auto"/>
              </w:rPr>
              <w:t>Purchases</w:t>
            </w:r>
          </w:p>
        </w:tc>
        <w:tc>
          <w:tcPr>
            <w:tcW w:w="7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r>
      <w:tr>
        <w:trPr>
          <w:trHeight w:val="216"/>
        </w:trPr>
        <w:tc>
          <w:tcPr>
            <w:tcW w:w="7060" w:type="dxa"/>
            <w:vAlign w:val="bottom"/>
          </w:tcPr>
          <w:p>
            <w:pPr>
              <w:spacing w:after="0"/>
              <w:rPr>
                <w:sz w:val="20"/>
                <w:szCs w:val="20"/>
                <w:color w:val="auto"/>
              </w:rPr>
            </w:pPr>
            <w:r>
              <w:rPr>
                <w:rFonts w:ascii="Arial" w:cs="Arial" w:eastAsia="Arial" w:hAnsi="Arial"/>
                <w:sz w:val="18"/>
                <w:szCs w:val="18"/>
                <w:color w:val="auto"/>
              </w:rPr>
              <w:t>Sales and redemption</w:t>
            </w:r>
          </w:p>
        </w:tc>
        <w:tc>
          <w:tcPr>
            <w:tcW w:w="700" w:type="dxa"/>
            <w:vAlign w:val="bottom"/>
            <w:gridSpan w:val="2"/>
          </w:tcPr>
          <w:p>
            <w:pPr>
              <w:jc w:val="right"/>
              <w:ind w:right="60"/>
              <w:spacing w:after="0"/>
              <w:rPr>
                <w:sz w:val="20"/>
                <w:szCs w:val="20"/>
                <w:color w:val="auto"/>
              </w:rPr>
            </w:pPr>
            <w:r>
              <w:rPr>
                <w:rFonts w:ascii="Arial" w:cs="Arial" w:eastAsia="Arial" w:hAnsi="Arial"/>
                <w:sz w:val="18"/>
                <w:szCs w:val="18"/>
                <w:color w:val="auto"/>
              </w:rPr>
              <w:t>(50)</w:t>
            </w:r>
          </w:p>
        </w:tc>
      </w:tr>
      <w:tr>
        <w:trPr>
          <w:trHeight w:val="216"/>
        </w:trPr>
        <w:tc>
          <w:tcPr>
            <w:tcW w:w="7060" w:type="dxa"/>
            <w:vAlign w:val="bottom"/>
            <w:shd w:val="clear" w:color="auto" w:fill="CCEEFF"/>
          </w:tcPr>
          <w:p>
            <w:pPr>
              <w:spacing w:after="0"/>
              <w:rPr>
                <w:sz w:val="20"/>
                <w:szCs w:val="20"/>
                <w:color w:val="auto"/>
              </w:rPr>
            </w:pPr>
            <w:r>
              <w:rPr>
                <w:rFonts w:ascii="Arial" w:cs="Arial" w:eastAsia="Arial" w:hAnsi="Arial"/>
                <w:sz w:val="18"/>
                <w:szCs w:val="18"/>
                <w:color w:val="auto"/>
              </w:rPr>
              <w:t>Unrealized gain included in other comprehensive loss</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w:t>
            </w:r>
          </w:p>
        </w:tc>
        <w:tc>
          <w:tcPr>
            <w:tcW w:w="120" w:type="dxa"/>
            <w:vAlign w:val="bottom"/>
            <w:shd w:val="clear" w:color="auto" w:fill="CCEEFF"/>
          </w:tcPr>
          <w:p>
            <w:pPr>
              <w:spacing w:after="0"/>
              <w:rPr>
                <w:sz w:val="18"/>
                <w:szCs w:val="18"/>
                <w:color w:val="auto"/>
              </w:rPr>
            </w:pPr>
          </w:p>
        </w:tc>
      </w:tr>
      <w:tr>
        <w:trPr>
          <w:trHeight w:val="222"/>
        </w:trPr>
        <w:tc>
          <w:tcPr>
            <w:tcW w:w="7060" w:type="dxa"/>
            <w:vAlign w:val="bottom"/>
          </w:tcPr>
          <w:p>
            <w:pPr>
              <w:spacing w:after="0"/>
              <w:rPr>
                <w:sz w:val="20"/>
                <w:szCs w:val="20"/>
                <w:color w:val="auto"/>
              </w:rPr>
            </w:pPr>
            <w:r>
              <w:rPr>
                <w:rFonts w:ascii="Arial" w:cs="Arial" w:eastAsia="Arial" w:hAnsi="Arial"/>
                <w:sz w:val="18"/>
                <w:szCs w:val="18"/>
                <w:color w:val="auto"/>
              </w:rPr>
              <w:t>Ending balance at May 1, 2010</w:t>
            </w: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39,235</w:t>
            </w:r>
          </w:p>
        </w:tc>
        <w:tc>
          <w:tcPr>
            <w:tcW w:w="120" w:type="dxa"/>
            <w:vAlign w:val="bottom"/>
          </w:tcPr>
          <w:p>
            <w:pPr>
              <w:spacing w:after="0"/>
              <w:rPr>
                <w:sz w:val="19"/>
                <w:szCs w:val="19"/>
                <w:color w:val="auto"/>
              </w:rPr>
            </w:pPr>
          </w:p>
        </w:tc>
      </w:tr>
      <w:tr>
        <w:trPr>
          <w:trHeight w:val="20"/>
        </w:trPr>
        <w:tc>
          <w:tcPr>
            <w:tcW w:w="7060" w:type="dxa"/>
            <w:vAlign w:val="bottom"/>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167"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Assets measured and recorded at fair value on a non-recurring basis as of April 30, 2011 and January 29, 2011 were not significant and consisted primarily of assets held for sale.</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Goodwill and Acquired Intangible Assets, Net (in thousands):</w:t>
      </w:r>
    </w:p>
    <w:p>
      <w:pPr>
        <w:spacing w:after="0" w:line="90" w:lineRule="exact"/>
        <w:rPr>
          <w:sz w:val="20"/>
          <w:szCs w:val="20"/>
          <w:color w:val="auto"/>
        </w:rPr>
      </w:pPr>
    </w:p>
    <w:p>
      <w:pPr>
        <w:ind w:left="240"/>
        <w:spacing w:after="0"/>
        <w:rPr>
          <w:sz w:val="20"/>
          <w:szCs w:val="20"/>
          <w:color w:val="auto"/>
        </w:rPr>
      </w:pPr>
      <w:r>
        <w:rPr>
          <w:rFonts w:ascii="Arial" w:cs="Arial" w:eastAsia="Arial" w:hAnsi="Arial"/>
          <w:sz w:val="18"/>
          <w:szCs w:val="18"/>
          <w:b w:val="1"/>
          <w:bCs w:val="1"/>
          <w:color w:val="auto"/>
        </w:rPr>
        <w:t>Goodwill</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summarizes the activity related to the carrying value of goodwill:</w:t>
      </w:r>
    </w:p>
    <w:p>
      <w:pPr>
        <w:spacing w:after="0" w:line="220"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1840" w:type="dxa"/>
            <w:vAlign w:val="bottom"/>
          </w:tcPr>
          <w:p>
            <w:pPr>
              <w:spacing w:after="0"/>
              <w:rPr>
                <w:sz w:val="18"/>
                <w:szCs w:val="18"/>
                <w:color w:val="auto"/>
              </w:rPr>
            </w:pPr>
          </w:p>
        </w:tc>
        <w:tc>
          <w:tcPr>
            <w:tcW w:w="2260" w:type="dxa"/>
            <w:vAlign w:val="bottom"/>
            <w:shd w:val="clear" w:color="auto" w:fill="CCEEFF"/>
          </w:tcPr>
          <w:p>
            <w:pPr>
              <w:spacing w:after="0"/>
              <w:rPr>
                <w:sz w:val="20"/>
                <w:szCs w:val="20"/>
                <w:color w:val="auto"/>
              </w:rPr>
            </w:pPr>
            <w:r>
              <w:rPr>
                <w:rFonts w:ascii="Arial" w:cs="Arial" w:eastAsia="Arial" w:hAnsi="Arial"/>
                <w:sz w:val="18"/>
                <w:szCs w:val="18"/>
                <w:color w:val="auto"/>
                <w:w w:val="97"/>
              </w:rPr>
              <w:t>Balance at January 29, 2011</w:t>
            </w:r>
          </w:p>
        </w:tc>
        <w:tc>
          <w:tcPr>
            <w:tcW w:w="7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400" w:type="dxa"/>
            <w:vAlign w:val="bottom"/>
            <w:gridSpan w:val="6"/>
            <w:shd w:val="clear" w:color="auto" w:fill="CCEEFF"/>
          </w:tcPr>
          <w:p>
            <w:pPr>
              <w:jc w:val="right"/>
              <w:spacing w:after="0"/>
              <w:rPr>
                <w:sz w:val="20"/>
                <w:szCs w:val="20"/>
                <w:color w:val="auto"/>
              </w:rPr>
            </w:pPr>
            <w:r>
              <w:rPr>
                <w:rFonts w:ascii="Arial" w:cs="Arial" w:eastAsia="Arial" w:hAnsi="Arial"/>
                <w:sz w:val="18"/>
                <w:szCs w:val="18"/>
                <w:color w:val="auto"/>
              </w:rPr>
              <w:t>$2,004,833</w:t>
            </w:r>
          </w:p>
        </w:tc>
        <w:tc>
          <w:tcPr>
            <w:tcW w:w="100" w:type="dxa"/>
            <w:vAlign w:val="bottom"/>
            <w:tcBorders>
              <w:right w:val="single" w:sz="8" w:color="CCEEFF"/>
            </w:tcBorders>
            <w:shd w:val="clear" w:color="auto" w:fill="CCEEFF"/>
          </w:tcPr>
          <w:p>
            <w:pPr>
              <w:spacing w:after="0"/>
              <w:rPr>
                <w:sz w:val="18"/>
                <w:szCs w:val="18"/>
                <w:color w:val="auto"/>
              </w:rPr>
            </w:pPr>
          </w:p>
        </w:tc>
        <w:tc>
          <w:tcPr>
            <w:tcW w:w="7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1840" w:type="dxa"/>
            <w:vAlign w:val="bottom"/>
          </w:tcPr>
          <w:p>
            <w:pPr>
              <w:spacing w:after="0"/>
              <w:rPr>
                <w:sz w:val="19"/>
                <w:szCs w:val="19"/>
                <w:color w:val="auto"/>
              </w:rPr>
            </w:pPr>
          </w:p>
        </w:tc>
        <w:tc>
          <w:tcPr>
            <w:tcW w:w="3020" w:type="dxa"/>
            <w:vAlign w:val="bottom"/>
            <w:gridSpan w:val="2"/>
          </w:tcPr>
          <w:p>
            <w:pPr>
              <w:spacing w:after="0"/>
              <w:rPr>
                <w:sz w:val="20"/>
                <w:szCs w:val="20"/>
                <w:color w:val="auto"/>
              </w:rPr>
            </w:pPr>
            <w:r>
              <w:rPr>
                <w:rFonts w:ascii="Arial" w:cs="Arial" w:eastAsia="Arial" w:hAnsi="Arial"/>
                <w:sz w:val="18"/>
                <w:szCs w:val="18"/>
                <w:color w:val="auto"/>
                <w:w w:val="94"/>
              </w:rPr>
              <w:t>Additions due to business combinations</w:t>
            </w:r>
          </w:p>
        </w:tc>
        <w:tc>
          <w:tcPr>
            <w:tcW w:w="3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600" w:type="dxa"/>
            <w:vAlign w:val="bottom"/>
            <w:gridSpan w:val="2"/>
          </w:tcPr>
          <w:p>
            <w:pPr>
              <w:spacing w:after="0"/>
              <w:rPr>
                <w:sz w:val="19"/>
                <w:szCs w:val="19"/>
                <w:color w:val="auto"/>
              </w:rPr>
            </w:pPr>
          </w:p>
        </w:tc>
        <w:tc>
          <w:tcPr>
            <w:tcW w:w="800" w:type="dxa"/>
            <w:vAlign w:val="bottom"/>
            <w:tcBorders>
              <w:bottom w:val="single" w:sz="8" w:color="auto"/>
            </w:tcBorders>
            <w:gridSpan w:val="4"/>
          </w:tcPr>
          <w:p>
            <w:pPr>
              <w:jc w:val="right"/>
              <w:spacing w:after="0"/>
              <w:rPr>
                <w:sz w:val="20"/>
                <w:szCs w:val="20"/>
                <w:color w:val="auto"/>
              </w:rPr>
            </w:pPr>
            <w:r>
              <w:rPr>
                <w:rFonts w:ascii="Arial" w:cs="Arial" w:eastAsia="Arial" w:hAnsi="Arial"/>
                <w:sz w:val="18"/>
                <w:szCs w:val="18"/>
                <w:color w:val="auto"/>
              </w:rPr>
              <w:t>1,640</w:t>
            </w:r>
          </w:p>
        </w:tc>
        <w:tc>
          <w:tcPr>
            <w:tcW w:w="10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2260" w:type="dxa"/>
            <w:vAlign w:val="bottom"/>
            <w:shd w:val="clear" w:color="auto" w:fill="CCEEFF"/>
          </w:tcPr>
          <w:p>
            <w:pPr>
              <w:spacing w:after="0"/>
              <w:rPr>
                <w:sz w:val="20"/>
                <w:szCs w:val="20"/>
                <w:color w:val="auto"/>
              </w:rPr>
            </w:pPr>
            <w:r>
              <w:rPr>
                <w:rFonts w:ascii="Arial" w:cs="Arial" w:eastAsia="Arial" w:hAnsi="Arial"/>
                <w:sz w:val="18"/>
                <w:szCs w:val="18"/>
                <w:color w:val="auto"/>
              </w:rPr>
              <w:t>Balance at April 30, 2011</w:t>
            </w:r>
          </w:p>
        </w:tc>
        <w:tc>
          <w:tcPr>
            <w:tcW w:w="7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400" w:type="dxa"/>
            <w:vAlign w:val="bottom"/>
            <w:gridSpan w:val="6"/>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2,006,473</w:t>
            </w:r>
          </w:p>
        </w:tc>
        <w:tc>
          <w:tcPr>
            <w:tcW w:w="100" w:type="dxa"/>
            <w:vAlign w:val="bottom"/>
            <w:tcBorders>
              <w:right w:val="single" w:sz="8" w:color="CCEEFF"/>
            </w:tcBorders>
            <w:shd w:val="clear" w:color="auto" w:fill="CCEEFF"/>
          </w:tcPr>
          <w:p>
            <w:pPr>
              <w:spacing w:after="0"/>
              <w:rPr>
                <w:sz w:val="18"/>
                <w:szCs w:val="18"/>
                <w:color w:val="auto"/>
              </w:rPr>
            </w:pPr>
          </w:p>
        </w:tc>
        <w:tc>
          <w:tcPr>
            <w:tcW w:w="7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100" w:type="dxa"/>
            <w:vAlign w:val="bottom"/>
            <w:gridSpan w:val="2"/>
            <w:vMerge w:val="restart"/>
          </w:tcPr>
          <w:p>
            <w:pPr>
              <w:ind w:left="240"/>
              <w:spacing w:after="0"/>
              <w:rPr>
                <w:sz w:val="20"/>
                <w:szCs w:val="20"/>
                <w:color w:val="auto"/>
              </w:rPr>
            </w:pPr>
            <w:r>
              <w:rPr>
                <w:rFonts w:ascii="Arial" w:cs="Arial" w:eastAsia="Arial" w:hAnsi="Arial"/>
                <w:sz w:val="18"/>
                <w:szCs w:val="18"/>
                <w:b w:val="1"/>
                <w:bCs w:val="1"/>
                <w:color w:val="auto"/>
              </w:rPr>
              <w:t>Acquired Intangible Assets, Net</w:t>
            </w:r>
          </w:p>
        </w:tc>
        <w:tc>
          <w:tcPr>
            <w:tcW w:w="7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4100" w:type="dxa"/>
            <w:vAlign w:val="bottom"/>
            <w:gridSpan w:val="2"/>
            <w:vMerge w:val="continue"/>
          </w:tcPr>
          <w:p>
            <w:pPr>
              <w:spacing w:after="0"/>
              <w:rPr>
                <w:sz w:val="24"/>
                <w:szCs w:val="24"/>
                <w:color w:val="auto"/>
              </w:rPr>
            </w:pPr>
          </w:p>
        </w:tc>
        <w:tc>
          <w:tcPr>
            <w:tcW w:w="7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1840" w:type="dxa"/>
            <w:vAlign w:val="bottom"/>
          </w:tcPr>
          <w:p>
            <w:pPr>
              <w:spacing w:after="0"/>
              <w:rPr>
                <w:sz w:val="24"/>
                <w:szCs w:val="24"/>
                <w:color w:val="auto"/>
              </w:rPr>
            </w:pPr>
          </w:p>
        </w:tc>
        <w:tc>
          <w:tcPr>
            <w:tcW w:w="22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720" w:type="dxa"/>
            <w:vAlign w:val="bottom"/>
            <w:tcBorders>
              <w:bottom w:val="single" w:sz="8" w:color="auto"/>
            </w:tcBorders>
          </w:tcPr>
          <w:p>
            <w:pPr>
              <w:spacing w:after="0"/>
              <w:rPr>
                <w:sz w:val="24"/>
                <w:szCs w:val="24"/>
                <w:color w:val="auto"/>
              </w:rPr>
            </w:pPr>
          </w:p>
        </w:tc>
        <w:tc>
          <w:tcPr>
            <w:tcW w:w="1340" w:type="dxa"/>
            <w:vAlign w:val="bottom"/>
            <w:tcBorders>
              <w:bottom w:val="single" w:sz="8" w:color="auto"/>
            </w:tcBorders>
            <w:gridSpan w:val="4"/>
          </w:tcPr>
          <w:p>
            <w:pPr>
              <w:jc w:val="right"/>
              <w:ind w:right="280"/>
              <w:spacing w:after="0"/>
              <w:rPr>
                <w:sz w:val="20"/>
                <w:szCs w:val="20"/>
                <w:color w:val="auto"/>
              </w:rPr>
            </w:pPr>
            <w:r>
              <w:rPr>
                <w:rFonts w:ascii="Arial" w:cs="Arial" w:eastAsia="Arial" w:hAnsi="Arial"/>
                <w:sz w:val="14"/>
                <w:szCs w:val="14"/>
                <w:b w:val="1"/>
                <w:bCs w:val="1"/>
                <w:color w:val="auto"/>
              </w:rPr>
              <w:t>April 30, 2011</w:t>
            </w:r>
          </w:p>
        </w:tc>
        <w:tc>
          <w:tcPr>
            <w:tcW w:w="12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300" w:type="dxa"/>
            <w:vAlign w:val="bottom"/>
          </w:tcPr>
          <w:p>
            <w:pPr>
              <w:spacing w:after="0"/>
              <w:rPr>
                <w:sz w:val="24"/>
                <w:szCs w:val="24"/>
                <w:color w:val="auto"/>
              </w:rPr>
            </w:pPr>
          </w:p>
        </w:tc>
        <w:tc>
          <w:tcPr>
            <w:tcW w:w="300" w:type="dxa"/>
            <w:vAlign w:val="bottom"/>
            <w:tcBorders>
              <w:bottom w:val="single" w:sz="8" w:color="auto"/>
            </w:tcBorders>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1380" w:type="dxa"/>
            <w:vAlign w:val="bottom"/>
            <w:tcBorders>
              <w:bottom w:val="single" w:sz="8" w:color="auto"/>
            </w:tcBorders>
            <w:gridSpan w:val="5"/>
          </w:tcPr>
          <w:p>
            <w:pPr>
              <w:jc w:val="right"/>
              <w:ind w:right="320"/>
              <w:spacing w:after="0"/>
              <w:rPr>
                <w:sz w:val="20"/>
                <w:szCs w:val="20"/>
                <w:color w:val="auto"/>
              </w:rPr>
            </w:pPr>
            <w:r>
              <w:rPr>
                <w:rFonts w:ascii="Arial" w:cs="Arial" w:eastAsia="Arial" w:hAnsi="Arial"/>
                <w:sz w:val="14"/>
                <w:szCs w:val="14"/>
                <w:b w:val="1"/>
                <w:bCs w:val="1"/>
                <w:color w:val="auto"/>
                <w:w w:val="92"/>
              </w:rPr>
              <w:t>January 29, 2011</w:t>
            </w:r>
          </w:p>
        </w:tc>
        <w:tc>
          <w:tcPr>
            <w:tcW w:w="80" w:type="dxa"/>
            <w:vAlign w:val="bottom"/>
            <w:tcBorders>
              <w:bottom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1840" w:type="dxa"/>
            <w:vAlign w:val="bottom"/>
          </w:tcPr>
          <w:p>
            <w:pPr>
              <w:spacing w:after="0"/>
              <w:rPr>
                <w:sz w:val="11"/>
                <w:szCs w:val="11"/>
                <w:color w:val="auto"/>
              </w:rPr>
            </w:pPr>
          </w:p>
        </w:tc>
        <w:tc>
          <w:tcPr>
            <w:tcW w:w="22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060" w:type="dxa"/>
            <w:vAlign w:val="bottom"/>
            <w:gridSpan w:val="3"/>
          </w:tcPr>
          <w:p>
            <w:pPr>
              <w:jc w:val="center"/>
              <w:ind w:right="180"/>
              <w:spacing w:after="0" w:line="129" w:lineRule="exact"/>
              <w:rPr>
                <w:sz w:val="20"/>
                <w:szCs w:val="20"/>
                <w:color w:val="auto"/>
              </w:rPr>
            </w:pPr>
            <w:r>
              <w:rPr>
                <w:rFonts w:ascii="Arial" w:cs="Arial" w:eastAsia="Arial" w:hAnsi="Arial"/>
                <w:sz w:val="14"/>
                <w:szCs w:val="14"/>
                <w:b w:val="1"/>
                <w:bCs w:val="1"/>
                <w:color w:val="auto"/>
                <w:w w:val="86"/>
              </w:rPr>
              <w:t>Accumulated</w:t>
            </w: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160" w:type="dxa"/>
            <w:vAlign w:val="bottom"/>
            <w:gridSpan w:val="3"/>
          </w:tcPr>
          <w:p>
            <w:pPr>
              <w:jc w:val="center"/>
              <w:ind w:right="320"/>
              <w:spacing w:after="0" w:line="129" w:lineRule="exact"/>
              <w:rPr>
                <w:sz w:val="20"/>
                <w:szCs w:val="20"/>
                <w:color w:val="auto"/>
              </w:rPr>
            </w:pPr>
            <w:r>
              <w:rPr>
                <w:rFonts w:ascii="Arial" w:cs="Arial" w:eastAsia="Arial" w:hAnsi="Arial"/>
                <w:sz w:val="14"/>
                <w:szCs w:val="14"/>
                <w:b w:val="1"/>
                <w:bCs w:val="1"/>
                <w:color w:val="auto"/>
                <w:w w:val="86"/>
              </w:rPr>
              <w:t>Accumulated</w:t>
            </w:r>
          </w:p>
        </w:tc>
        <w:tc>
          <w:tcPr>
            <w:tcW w:w="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1840" w:type="dxa"/>
            <w:vAlign w:val="bottom"/>
          </w:tcPr>
          <w:p>
            <w:pPr>
              <w:spacing w:after="0"/>
              <w:rPr>
                <w:sz w:val="12"/>
                <w:szCs w:val="12"/>
                <w:color w:val="auto"/>
              </w:rPr>
            </w:pPr>
          </w:p>
        </w:tc>
        <w:tc>
          <w:tcPr>
            <w:tcW w:w="22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jc w:val="right"/>
              <w:ind w:right="159"/>
              <w:spacing w:after="0" w:line="149" w:lineRule="exact"/>
              <w:rPr>
                <w:sz w:val="20"/>
                <w:szCs w:val="20"/>
                <w:color w:val="auto"/>
              </w:rPr>
            </w:pPr>
            <w:r>
              <w:rPr>
                <w:rFonts w:ascii="Arial" w:cs="Arial" w:eastAsia="Arial" w:hAnsi="Arial"/>
                <w:sz w:val="14"/>
                <w:szCs w:val="14"/>
                <w:b w:val="1"/>
                <w:bCs w:val="1"/>
                <w:color w:val="auto"/>
              </w:rPr>
              <w:t>Gross</w:t>
            </w:r>
          </w:p>
        </w:tc>
        <w:tc>
          <w:tcPr>
            <w:tcW w:w="280" w:type="dxa"/>
            <w:vAlign w:val="bottom"/>
          </w:tcPr>
          <w:p>
            <w:pPr>
              <w:spacing w:after="0"/>
              <w:rPr>
                <w:sz w:val="12"/>
                <w:szCs w:val="12"/>
                <w:color w:val="auto"/>
              </w:rPr>
            </w:pPr>
          </w:p>
        </w:tc>
        <w:tc>
          <w:tcPr>
            <w:tcW w:w="1060" w:type="dxa"/>
            <w:vAlign w:val="bottom"/>
            <w:gridSpan w:val="3"/>
          </w:tcPr>
          <w:p>
            <w:pPr>
              <w:jc w:val="center"/>
              <w:ind w:right="180"/>
              <w:spacing w:after="0" w:line="149" w:lineRule="exact"/>
              <w:rPr>
                <w:sz w:val="20"/>
                <w:szCs w:val="20"/>
                <w:color w:val="auto"/>
              </w:rPr>
            </w:pPr>
            <w:r>
              <w:rPr>
                <w:rFonts w:ascii="Arial" w:cs="Arial" w:eastAsia="Arial" w:hAnsi="Arial"/>
                <w:sz w:val="14"/>
                <w:szCs w:val="14"/>
                <w:b w:val="1"/>
                <w:bCs w:val="1"/>
                <w:color w:val="auto"/>
                <w:w w:val="88"/>
              </w:rPr>
              <w:t>Amortization</w:t>
            </w: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jc w:val="center"/>
              <w:ind w:right="17"/>
              <w:spacing w:after="0" w:line="149" w:lineRule="exact"/>
              <w:rPr>
                <w:sz w:val="20"/>
                <w:szCs w:val="20"/>
                <w:color w:val="auto"/>
              </w:rPr>
            </w:pPr>
            <w:r>
              <w:rPr>
                <w:rFonts w:ascii="Arial" w:cs="Arial" w:eastAsia="Arial" w:hAnsi="Arial"/>
                <w:sz w:val="14"/>
                <w:szCs w:val="14"/>
                <w:b w:val="1"/>
                <w:bCs w:val="1"/>
                <w:color w:val="auto"/>
                <w:w w:val="88"/>
              </w:rPr>
              <w:t>Net</w:t>
            </w:r>
          </w:p>
        </w:tc>
        <w:tc>
          <w:tcPr>
            <w:tcW w:w="300" w:type="dxa"/>
            <w:vAlign w:val="bottom"/>
          </w:tcPr>
          <w:p>
            <w:pPr>
              <w:spacing w:after="0"/>
              <w:rPr>
                <w:sz w:val="12"/>
                <w:szCs w:val="12"/>
                <w:color w:val="auto"/>
              </w:rPr>
            </w:pPr>
          </w:p>
        </w:tc>
        <w:tc>
          <w:tcPr>
            <w:tcW w:w="88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3"/>
              </w:rPr>
              <w:t>Gross</w:t>
            </w:r>
          </w:p>
        </w:tc>
        <w:tc>
          <w:tcPr>
            <w:tcW w:w="2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160" w:type="dxa"/>
            <w:vAlign w:val="bottom"/>
            <w:gridSpan w:val="3"/>
          </w:tcPr>
          <w:p>
            <w:pPr>
              <w:jc w:val="center"/>
              <w:ind w:right="340"/>
              <w:spacing w:after="0" w:line="149" w:lineRule="exact"/>
              <w:rPr>
                <w:sz w:val="20"/>
                <w:szCs w:val="20"/>
                <w:color w:val="auto"/>
              </w:rPr>
            </w:pPr>
            <w:r>
              <w:rPr>
                <w:rFonts w:ascii="Arial" w:cs="Arial" w:eastAsia="Arial" w:hAnsi="Arial"/>
                <w:sz w:val="14"/>
                <w:szCs w:val="14"/>
                <w:b w:val="1"/>
                <w:bCs w:val="1"/>
                <w:color w:val="auto"/>
                <w:w w:val="91"/>
              </w:rPr>
              <w:t>Amortization</w:t>
            </w:r>
          </w:p>
        </w:tc>
        <w:tc>
          <w:tcPr>
            <w:tcW w:w="80" w:type="dxa"/>
            <w:vAlign w:val="bottom"/>
          </w:tcPr>
          <w:p>
            <w:pPr>
              <w:spacing w:after="0"/>
              <w:rPr>
                <w:sz w:val="12"/>
                <w:szCs w:val="12"/>
                <w:color w:val="auto"/>
              </w:rPr>
            </w:pPr>
          </w:p>
        </w:tc>
        <w:tc>
          <w:tcPr>
            <w:tcW w:w="68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8"/>
              </w:rPr>
              <w:t>Net</w:t>
            </w:r>
          </w:p>
        </w:tc>
        <w:tc>
          <w:tcPr>
            <w:tcW w:w="0" w:type="dxa"/>
            <w:vAlign w:val="bottom"/>
          </w:tcPr>
          <w:p>
            <w:pPr>
              <w:spacing w:after="0"/>
              <w:rPr>
                <w:sz w:val="1"/>
                <w:szCs w:val="1"/>
                <w:color w:val="auto"/>
              </w:rPr>
            </w:pPr>
          </w:p>
        </w:tc>
      </w:tr>
      <w:tr>
        <w:trPr>
          <w:trHeight w:val="149"/>
        </w:trPr>
        <w:tc>
          <w:tcPr>
            <w:tcW w:w="1840" w:type="dxa"/>
            <w:vAlign w:val="bottom"/>
          </w:tcPr>
          <w:p>
            <w:pPr>
              <w:spacing w:after="0"/>
              <w:rPr>
                <w:sz w:val="12"/>
                <w:szCs w:val="12"/>
                <w:color w:val="auto"/>
              </w:rPr>
            </w:pPr>
          </w:p>
        </w:tc>
        <w:tc>
          <w:tcPr>
            <w:tcW w:w="2260" w:type="dxa"/>
            <w:vAlign w:val="bottom"/>
          </w:tcPr>
          <w:p>
            <w:pPr>
              <w:spacing w:after="0"/>
              <w:rPr>
                <w:sz w:val="12"/>
                <w:szCs w:val="12"/>
                <w:color w:val="auto"/>
              </w:rPr>
            </w:pPr>
          </w:p>
        </w:tc>
        <w:tc>
          <w:tcPr>
            <w:tcW w:w="7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Range of</w:t>
            </w:r>
          </w:p>
        </w:tc>
        <w:tc>
          <w:tcPr>
            <w:tcW w:w="3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jc w:val="right"/>
              <w:ind w:right="59"/>
              <w:spacing w:after="0" w:line="149" w:lineRule="exact"/>
              <w:rPr>
                <w:sz w:val="20"/>
                <w:szCs w:val="20"/>
                <w:color w:val="auto"/>
              </w:rPr>
            </w:pPr>
            <w:r>
              <w:rPr>
                <w:rFonts w:ascii="Arial" w:cs="Arial" w:eastAsia="Arial" w:hAnsi="Arial"/>
                <w:sz w:val="14"/>
                <w:szCs w:val="14"/>
                <w:b w:val="1"/>
                <w:bCs w:val="1"/>
                <w:color w:val="auto"/>
                <w:w w:val="97"/>
              </w:rPr>
              <w:t>Carrying</w:t>
            </w:r>
          </w:p>
        </w:tc>
        <w:tc>
          <w:tcPr>
            <w:tcW w:w="2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6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0"/>
              </w:rPr>
              <w:t>and</w:t>
            </w:r>
          </w:p>
        </w:tc>
        <w:tc>
          <w:tcPr>
            <w:tcW w:w="120" w:type="dxa"/>
            <w:vAlign w:val="bottom"/>
          </w:tcPr>
          <w:p>
            <w:pPr>
              <w:spacing w:after="0"/>
              <w:rPr>
                <w:sz w:val="12"/>
                <w:szCs w:val="12"/>
                <w:color w:val="auto"/>
              </w:rPr>
            </w:pPr>
          </w:p>
        </w:tc>
        <w:tc>
          <w:tcPr>
            <w:tcW w:w="68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90"/>
              </w:rPr>
              <w:t>Carrying</w:t>
            </w:r>
          </w:p>
        </w:tc>
        <w:tc>
          <w:tcPr>
            <w:tcW w:w="300" w:type="dxa"/>
            <w:vAlign w:val="bottom"/>
          </w:tcPr>
          <w:p>
            <w:pPr>
              <w:spacing w:after="0"/>
              <w:rPr>
                <w:sz w:val="12"/>
                <w:szCs w:val="12"/>
                <w:color w:val="auto"/>
              </w:rPr>
            </w:pPr>
          </w:p>
        </w:tc>
        <w:tc>
          <w:tcPr>
            <w:tcW w:w="88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93"/>
              </w:rPr>
              <w:t>Carrying</w:t>
            </w:r>
          </w:p>
        </w:tc>
        <w:tc>
          <w:tcPr>
            <w:tcW w:w="2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6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8"/>
              </w:rPr>
              <w:t>and</w:t>
            </w:r>
          </w:p>
        </w:tc>
        <w:tc>
          <w:tcPr>
            <w:tcW w:w="76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93"/>
              </w:rPr>
              <w:t>Carrying</w:t>
            </w:r>
          </w:p>
        </w:tc>
        <w:tc>
          <w:tcPr>
            <w:tcW w:w="0" w:type="dxa"/>
            <w:vAlign w:val="bottom"/>
          </w:tcPr>
          <w:p>
            <w:pPr>
              <w:spacing w:after="0"/>
              <w:rPr>
                <w:sz w:val="1"/>
                <w:szCs w:val="1"/>
                <w:color w:val="auto"/>
              </w:rPr>
            </w:pPr>
          </w:p>
        </w:tc>
      </w:tr>
      <w:tr>
        <w:trPr>
          <w:trHeight w:val="161"/>
        </w:trPr>
        <w:tc>
          <w:tcPr>
            <w:tcW w:w="1840" w:type="dxa"/>
            <w:vAlign w:val="bottom"/>
          </w:tcPr>
          <w:p>
            <w:pPr>
              <w:spacing w:after="0"/>
              <w:rPr>
                <w:sz w:val="14"/>
                <w:szCs w:val="14"/>
                <w:color w:val="auto"/>
              </w:rPr>
            </w:pPr>
          </w:p>
        </w:tc>
        <w:tc>
          <w:tcPr>
            <w:tcW w:w="2260" w:type="dxa"/>
            <w:vAlign w:val="bottom"/>
          </w:tcPr>
          <w:p>
            <w:pPr>
              <w:spacing w:after="0"/>
              <w:rPr>
                <w:sz w:val="14"/>
                <w:szCs w:val="14"/>
                <w:color w:val="auto"/>
              </w:rPr>
            </w:pPr>
          </w:p>
        </w:tc>
        <w:tc>
          <w:tcPr>
            <w:tcW w:w="7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7"/>
              </w:rPr>
              <w:t>Useful Lives</w:t>
            </w:r>
          </w:p>
        </w:tc>
        <w:tc>
          <w:tcPr>
            <w:tcW w:w="30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59"/>
              <w:spacing w:after="0"/>
              <w:rPr>
                <w:sz w:val="20"/>
                <w:szCs w:val="20"/>
                <w:color w:val="auto"/>
              </w:rPr>
            </w:pPr>
            <w:r>
              <w:rPr>
                <w:rFonts w:ascii="Arial" w:cs="Arial" w:eastAsia="Arial" w:hAnsi="Arial"/>
                <w:sz w:val="14"/>
                <w:szCs w:val="14"/>
                <w:b w:val="1"/>
                <w:bCs w:val="1"/>
                <w:color w:val="auto"/>
                <w:w w:val="92"/>
              </w:rPr>
              <w:t>Amounts</w:t>
            </w:r>
          </w:p>
        </w:tc>
        <w:tc>
          <w:tcPr>
            <w:tcW w:w="2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center"/>
              <w:ind w:right="17"/>
              <w:spacing w:after="0"/>
              <w:rPr>
                <w:sz w:val="20"/>
                <w:szCs w:val="20"/>
                <w:color w:val="auto"/>
              </w:rPr>
            </w:pPr>
            <w:r>
              <w:rPr>
                <w:rFonts w:ascii="Arial" w:cs="Arial" w:eastAsia="Arial" w:hAnsi="Arial"/>
                <w:sz w:val="14"/>
                <w:szCs w:val="14"/>
                <w:b w:val="1"/>
                <w:bCs w:val="1"/>
                <w:color w:val="auto"/>
                <w:w w:val="94"/>
              </w:rPr>
              <w:t>Write-Offs</w:t>
            </w:r>
          </w:p>
        </w:tc>
        <w:tc>
          <w:tcPr>
            <w:tcW w:w="1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ind w:right="17"/>
              <w:spacing w:after="0"/>
              <w:rPr>
                <w:sz w:val="20"/>
                <w:szCs w:val="20"/>
                <w:color w:val="auto"/>
              </w:rPr>
            </w:pPr>
            <w:r>
              <w:rPr>
                <w:rFonts w:ascii="Arial" w:cs="Arial" w:eastAsia="Arial" w:hAnsi="Arial"/>
                <w:sz w:val="14"/>
                <w:szCs w:val="14"/>
                <w:b w:val="1"/>
                <w:bCs w:val="1"/>
                <w:color w:val="auto"/>
                <w:w w:val="90"/>
              </w:rPr>
              <w:t>Amount</w:t>
            </w:r>
          </w:p>
        </w:tc>
        <w:tc>
          <w:tcPr>
            <w:tcW w:w="300" w:type="dxa"/>
            <w:vAlign w:val="bottom"/>
          </w:tcPr>
          <w:p>
            <w:pPr>
              <w:spacing w:after="0"/>
              <w:rPr>
                <w:sz w:val="14"/>
                <w:szCs w:val="14"/>
                <w:color w:val="auto"/>
              </w:rPr>
            </w:pPr>
          </w:p>
        </w:tc>
        <w:tc>
          <w:tcPr>
            <w:tcW w:w="800" w:type="dxa"/>
            <w:vAlign w:val="bottom"/>
            <w:tcBorders>
              <w:bottom w:val="single" w:sz="8" w:color="auto"/>
            </w:tcBorders>
            <w:gridSpan w:val="2"/>
          </w:tcPr>
          <w:p>
            <w:pPr>
              <w:jc w:val="center"/>
              <w:spacing w:after="0"/>
              <w:rPr>
                <w:sz w:val="20"/>
                <w:szCs w:val="20"/>
                <w:color w:val="auto"/>
              </w:rPr>
            </w:pPr>
            <w:r>
              <w:rPr>
                <w:rFonts w:ascii="Arial" w:cs="Arial" w:eastAsia="Arial" w:hAnsi="Arial"/>
                <w:sz w:val="14"/>
                <w:szCs w:val="14"/>
                <w:b w:val="1"/>
                <w:bCs w:val="1"/>
                <w:color w:val="auto"/>
                <w:w w:val="85"/>
              </w:rPr>
              <w:t>Amounts</w:t>
            </w:r>
          </w:p>
        </w:tc>
        <w:tc>
          <w:tcPr>
            <w:tcW w:w="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center"/>
              <w:ind w:right="37"/>
              <w:spacing w:after="0"/>
              <w:rPr>
                <w:sz w:val="20"/>
                <w:szCs w:val="20"/>
                <w:color w:val="auto"/>
              </w:rPr>
            </w:pPr>
            <w:r>
              <w:rPr>
                <w:rFonts w:ascii="Arial" w:cs="Arial" w:eastAsia="Arial" w:hAnsi="Arial"/>
                <w:sz w:val="14"/>
                <w:szCs w:val="14"/>
                <w:b w:val="1"/>
                <w:bCs w:val="1"/>
                <w:color w:val="auto"/>
                <w:w w:val="91"/>
              </w:rPr>
              <w:t>Write-Offs</w:t>
            </w:r>
          </w:p>
        </w:tc>
        <w:tc>
          <w:tcPr>
            <w:tcW w:w="3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6"/>
              </w:rPr>
              <w:t>Amount</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Purchased technology</w:t>
            </w:r>
          </w:p>
        </w:tc>
        <w:tc>
          <w:tcPr>
            <w:tcW w:w="7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1 -7 years</w:t>
            </w:r>
          </w:p>
        </w:tc>
        <w:tc>
          <w:tcPr>
            <w:tcW w:w="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739,605</w:t>
            </w:r>
          </w:p>
        </w:tc>
        <w:tc>
          <w:tcPr>
            <w:tcW w:w="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(701,863)</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37,742</w:t>
            </w:r>
          </w:p>
        </w:tc>
        <w:tc>
          <w:tcPr>
            <w:tcW w:w="1180" w:type="dxa"/>
            <w:vAlign w:val="bottom"/>
            <w:gridSpan w:val="4"/>
            <w:shd w:val="clear" w:color="auto" w:fill="CCEEFF"/>
          </w:tcPr>
          <w:p>
            <w:pPr>
              <w:jc w:val="right"/>
              <w:ind w:right="80"/>
              <w:spacing w:after="0"/>
              <w:rPr>
                <w:sz w:val="20"/>
                <w:szCs w:val="20"/>
                <w:color w:val="auto"/>
              </w:rPr>
            </w:pPr>
            <w:r>
              <w:rPr>
                <w:rFonts w:ascii="Arial" w:cs="Arial" w:eastAsia="Arial" w:hAnsi="Arial"/>
                <w:sz w:val="18"/>
                <w:szCs w:val="18"/>
                <w:color w:val="auto"/>
              </w:rPr>
              <w:t>$  726,040</w:t>
            </w:r>
          </w:p>
        </w:tc>
        <w:tc>
          <w:tcPr>
            <w:tcW w:w="320" w:type="dxa"/>
            <w:vAlign w:val="bottom"/>
            <w:tcBorders>
              <w:right w:val="single" w:sz="8" w:color="CCEEFF"/>
            </w:tcBorders>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(698,877)</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27,163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00" w:type="dxa"/>
            <w:vAlign w:val="bottom"/>
            <w:gridSpan w:val="2"/>
          </w:tcPr>
          <w:p>
            <w:pPr>
              <w:spacing w:after="0"/>
              <w:rPr>
                <w:sz w:val="20"/>
                <w:szCs w:val="20"/>
                <w:color w:val="auto"/>
              </w:rPr>
            </w:pPr>
            <w:r>
              <w:rPr>
                <w:rFonts w:ascii="Arial" w:cs="Arial" w:eastAsia="Arial" w:hAnsi="Arial"/>
                <w:sz w:val="18"/>
                <w:szCs w:val="18"/>
                <w:color w:val="auto"/>
              </w:rPr>
              <w:t>Core technology</w:t>
            </w:r>
          </w:p>
        </w:tc>
        <w:tc>
          <w:tcPr>
            <w:tcW w:w="760" w:type="dxa"/>
            <w:vAlign w:val="bottom"/>
          </w:tcPr>
          <w:p>
            <w:pPr>
              <w:jc w:val="center"/>
              <w:spacing w:after="0"/>
              <w:rPr>
                <w:sz w:val="20"/>
                <w:szCs w:val="20"/>
                <w:color w:val="auto"/>
              </w:rPr>
            </w:pPr>
            <w:r>
              <w:rPr>
                <w:rFonts w:ascii="Arial" w:cs="Arial" w:eastAsia="Arial" w:hAnsi="Arial"/>
                <w:sz w:val="18"/>
                <w:szCs w:val="18"/>
                <w:color w:val="auto"/>
                <w:w w:val="87"/>
              </w:rPr>
              <w:t>1 -8 years</w:t>
            </w:r>
          </w:p>
        </w:tc>
        <w:tc>
          <w:tcPr>
            <w:tcW w:w="3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212,650</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120"/>
              <w:spacing w:after="0"/>
              <w:rPr>
                <w:sz w:val="20"/>
                <w:szCs w:val="20"/>
                <w:color w:val="auto"/>
              </w:rPr>
            </w:pPr>
            <w:r>
              <w:rPr>
                <w:rFonts w:ascii="Arial" w:cs="Arial" w:eastAsia="Arial" w:hAnsi="Arial"/>
                <w:sz w:val="18"/>
                <w:szCs w:val="18"/>
                <w:color w:val="auto"/>
              </w:rPr>
              <w:t>(161,665)</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50,985</w:t>
            </w:r>
          </w:p>
        </w:tc>
        <w:tc>
          <w:tcPr>
            <w:tcW w:w="1180" w:type="dxa"/>
            <w:vAlign w:val="bottom"/>
            <w:gridSpan w:val="4"/>
          </w:tcPr>
          <w:p>
            <w:pPr>
              <w:jc w:val="right"/>
              <w:ind w:right="80"/>
              <w:spacing w:after="0"/>
              <w:rPr>
                <w:sz w:val="20"/>
                <w:szCs w:val="20"/>
                <w:color w:val="auto"/>
              </w:rPr>
            </w:pPr>
            <w:r>
              <w:rPr>
                <w:rFonts w:ascii="Arial" w:cs="Arial" w:eastAsia="Arial" w:hAnsi="Arial"/>
                <w:sz w:val="18"/>
                <w:szCs w:val="18"/>
                <w:color w:val="auto"/>
              </w:rPr>
              <w:t>212,650</w:t>
            </w: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60" w:type="dxa"/>
            <w:vAlign w:val="bottom"/>
            <w:gridSpan w:val="2"/>
          </w:tcPr>
          <w:p>
            <w:pPr>
              <w:jc w:val="right"/>
              <w:ind w:right="260"/>
              <w:spacing w:after="0"/>
              <w:rPr>
                <w:sz w:val="20"/>
                <w:szCs w:val="20"/>
                <w:color w:val="auto"/>
              </w:rPr>
            </w:pPr>
            <w:r>
              <w:rPr>
                <w:rFonts w:ascii="Arial" w:cs="Arial" w:eastAsia="Arial" w:hAnsi="Arial"/>
                <w:sz w:val="18"/>
                <w:szCs w:val="18"/>
                <w:color w:val="auto"/>
              </w:rPr>
              <w:t>(155,359)</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57,291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Trade name</w:t>
            </w:r>
          </w:p>
        </w:tc>
        <w:tc>
          <w:tcPr>
            <w:tcW w:w="7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1 -5 years</w:t>
            </w:r>
          </w:p>
        </w:tc>
        <w:tc>
          <w:tcPr>
            <w:tcW w:w="3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350</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(309)</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w:t>
            </w:r>
          </w:p>
        </w:tc>
        <w:tc>
          <w:tcPr>
            <w:tcW w:w="1180" w:type="dxa"/>
            <w:vAlign w:val="bottom"/>
            <w:gridSpan w:val="4"/>
            <w:shd w:val="clear" w:color="auto" w:fill="CCEEFF"/>
          </w:tcPr>
          <w:p>
            <w:pPr>
              <w:jc w:val="right"/>
              <w:ind w:right="80"/>
              <w:spacing w:after="0"/>
              <w:rPr>
                <w:sz w:val="20"/>
                <w:szCs w:val="20"/>
                <w:color w:val="auto"/>
              </w:rPr>
            </w:pPr>
            <w:r>
              <w:rPr>
                <w:rFonts w:ascii="Arial" w:cs="Arial" w:eastAsia="Arial" w:hAnsi="Arial"/>
                <w:sz w:val="18"/>
                <w:szCs w:val="18"/>
                <w:color w:val="auto"/>
              </w:rPr>
              <w:t>350</w:t>
            </w: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tcBorders>
              <w:right w:val="single" w:sz="8" w:color="CCEEFF"/>
            </w:tcBorders>
            <w:shd w:val="clear" w:color="auto" w:fill="CCEEFF"/>
          </w:tcPr>
          <w:p>
            <w:pPr>
              <w:spacing w:after="0"/>
              <w:rPr>
                <w:sz w:val="18"/>
                <w:szCs w:val="18"/>
                <w:color w:val="auto"/>
              </w:rPr>
            </w:pPr>
          </w:p>
        </w:tc>
        <w:tc>
          <w:tcPr>
            <w:tcW w:w="10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(299)</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00" w:type="dxa"/>
            <w:vAlign w:val="bottom"/>
            <w:gridSpan w:val="2"/>
          </w:tcPr>
          <w:p>
            <w:pPr>
              <w:spacing w:after="0"/>
              <w:rPr>
                <w:sz w:val="20"/>
                <w:szCs w:val="20"/>
                <w:color w:val="auto"/>
              </w:rPr>
            </w:pPr>
            <w:r>
              <w:rPr>
                <w:rFonts w:ascii="Arial" w:cs="Arial" w:eastAsia="Arial" w:hAnsi="Arial"/>
                <w:sz w:val="18"/>
                <w:szCs w:val="18"/>
                <w:color w:val="auto"/>
              </w:rPr>
              <w:t>Customer contracts</w:t>
            </w:r>
          </w:p>
        </w:tc>
        <w:tc>
          <w:tcPr>
            <w:tcW w:w="760" w:type="dxa"/>
            <w:vAlign w:val="bottom"/>
          </w:tcPr>
          <w:p>
            <w:pPr>
              <w:jc w:val="center"/>
              <w:spacing w:after="0"/>
              <w:rPr>
                <w:sz w:val="20"/>
                <w:szCs w:val="20"/>
                <w:color w:val="auto"/>
              </w:rPr>
            </w:pPr>
            <w:r>
              <w:rPr>
                <w:rFonts w:ascii="Arial" w:cs="Arial" w:eastAsia="Arial" w:hAnsi="Arial"/>
                <w:sz w:val="18"/>
                <w:szCs w:val="18"/>
                <w:color w:val="auto"/>
                <w:w w:val="87"/>
              </w:rPr>
              <w:t>4 -7 years</w:t>
            </w:r>
          </w:p>
        </w:tc>
        <w:tc>
          <w:tcPr>
            <w:tcW w:w="3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187,200</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120"/>
              <w:spacing w:after="0"/>
              <w:rPr>
                <w:sz w:val="20"/>
                <w:szCs w:val="20"/>
                <w:color w:val="auto"/>
              </w:rPr>
            </w:pPr>
            <w:r>
              <w:rPr>
                <w:rFonts w:ascii="Arial" w:cs="Arial" w:eastAsia="Arial" w:hAnsi="Arial"/>
                <w:sz w:val="18"/>
                <w:szCs w:val="18"/>
                <w:color w:val="auto"/>
              </w:rPr>
              <w:t>(161,799)</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25,401</w:t>
            </w:r>
          </w:p>
        </w:tc>
        <w:tc>
          <w:tcPr>
            <w:tcW w:w="1180" w:type="dxa"/>
            <w:vAlign w:val="bottom"/>
            <w:gridSpan w:val="4"/>
          </w:tcPr>
          <w:p>
            <w:pPr>
              <w:jc w:val="right"/>
              <w:ind w:right="80"/>
              <w:spacing w:after="0"/>
              <w:rPr>
                <w:sz w:val="20"/>
                <w:szCs w:val="20"/>
                <w:color w:val="auto"/>
              </w:rPr>
            </w:pPr>
            <w:r>
              <w:rPr>
                <w:rFonts w:ascii="Arial" w:cs="Arial" w:eastAsia="Arial" w:hAnsi="Arial"/>
                <w:sz w:val="18"/>
                <w:szCs w:val="18"/>
                <w:color w:val="auto"/>
              </w:rPr>
              <w:t>187,200</w:t>
            </w: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60" w:type="dxa"/>
            <w:vAlign w:val="bottom"/>
            <w:gridSpan w:val="2"/>
          </w:tcPr>
          <w:p>
            <w:pPr>
              <w:jc w:val="right"/>
              <w:ind w:right="260"/>
              <w:spacing w:after="0"/>
              <w:rPr>
                <w:sz w:val="20"/>
                <w:szCs w:val="20"/>
                <w:color w:val="auto"/>
              </w:rPr>
            </w:pPr>
            <w:r>
              <w:rPr>
                <w:rFonts w:ascii="Arial" w:cs="Arial" w:eastAsia="Arial" w:hAnsi="Arial"/>
                <w:sz w:val="18"/>
                <w:szCs w:val="18"/>
                <w:color w:val="auto"/>
              </w:rPr>
              <w:t>(156,774)</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30,426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In-process research and development</w:t>
            </w:r>
          </w:p>
        </w:tc>
        <w:tc>
          <w:tcPr>
            <w:tcW w:w="760" w:type="dxa"/>
            <w:vAlign w:val="bottom"/>
            <w:shd w:val="clear" w:color="auto" w:fill="CCEEFF"/>
          </w:tcPr>
          <w:p>
            <w:pPr>
              <w:jc w:val="center"/>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9,700</w:t>
            </w:r>
          </w:p>
        </w:tc>
        <w:tc>
          <w:tcPr>
            <w:tcW w:w="2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jc w:val="right"/>
              <w:ind w:right="17"/>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9,700</w:t>
            </w:r>
          </w:p>
        </w:tc>
        <w:tc>
          <w:tcPr>
            <w:tcW w:w="300" w:type="dxa"/>
            <w:vAlign w:val="bottom"/>
            <w:shd w:val="clear" w:color="auto" w:fill="CCEEFF"/>
          </w:tcPr>
          <w:p>
            <w:pPr>
              <w:spacing w:after="0"/>
              <w:rPr>
                <w:sz w:val="18"/>
                <w:szCs w:val="18"/>
                <w:color w:val="auto"/>
              </w:rPr>
            </w:pPr>
          </w:p>
        </w:tc>
        <w:tc>
          <w:tcPr>
            <w:tcW w:w="80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9,700</w:t>
            </w:r>
          </w:p>
        </w:tc>
        <w:tc>
          <w:tcPr>
            <w:tcW w:w="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 w:type="dxa"/>
            <w:vAlign w:val="bottom"/>
            <w:tcBorders>
              <w:bottom w:val="single" w:sz="8" w:color="auto"/>
            </w:tcBorders>
            <w:shd w:val="clear" w:color="auto" w:fill="CCEEFF"/>
          </w:tcPr>
          <w:p>
            <w:pPr>
              <w:spacing w:after="0"/>
              <w:rPr>
                <w:sz w:val="18"/>
                <w:szCs w:val="18"/>
                <w:color w:val="auto"/>
              </w:rPr>
            </w:pPr>
          </w:p>
        </w:tc>
        <w:tc>
          <w:tcPr>
            <w:tcW w:w="100" w:type="dxa"/>
            <w:vAlign w:val="bottom"/>
            <w:tcBorders>
              <w:bottom w:val="single" w:sz="8" w:color="auto"/>
              <w:right w:val="single" w:sz="8" w:color="CCEEFF"/>
            </w:tcBorders>
            <w:shd w:val="clear" w:color="auto" w:fill="CCEEFF"/>
          </w:tcPr>
          <w:p>
            <w:pPr>
              <w:spacing w:after="0"/>
              <w:rPr>
                <w:sz w:val="18"/>
                <w:szCs w:val="18"/>
                <w:color w:val="auto"/>
              </w:rPr>
            </w:pPr>
          </w:p>
        </w:tc>
        <w:tc>
          <w:tcPr>
            <w:tcW w:w="740" w:type="dxa"/>
            <w:vAlign w:val="bottom"/>
            <w:tcBorders>
              <w:bottom w:val="single" w:sz="8" w:color="auto"/>
            </w:tcBorders>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9,700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100" w:type="dxa"/>
            <w:vAlign w:val="bottom"/>
            <w:gridSpan w:val="2"/>
          </w:tcPr>
          <w:p>
            <w:pPr>
              <w:ind w:left="440"/>
              <w:spacing w:after="0"/>
              <w:rPr>
                <w:sz w:val="20"/>
                <w:szCs w:val="20"/>
                <w:color w:val="auto"/>
              </w:rPr>
            </w:pPr>
            <w:r>
              <w:rPr>
                <w:rFonts w:ascii="Arial" w:cs="Arial" w:eastAsia="Arial" w:hAnsi="Arial"/>
                <w:sz w:val="18"/>
                <w:szCs w:val="18"/>
                <w:color w:val="auto"/>
              </w:rPr>
              <w:t>Total intangible assets, net</w:t>
            </w:r>
          </w:p>
        </w:tc>
        <w:tc>
          <w:tcPr>
            <w:tcW w:w="760" w:type="dxa"/>
            <w:vAlign w:val="bottom"/>
          </w:tcPr>
          <w:p>
            <w:pPr>
              <w:spacing w:after="0"/>
              <w:rPr>
                <w:sz w:val="19"/>
                <w:szCs w:val="19"/>
                <w:color w:val="auto"/>
              </w:rPr>
            </w:pPr>
          </w:p>
        </w:tc>
        <w:tc>
          <w:tcPr>
            <w:tcW w:w="3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1,149,505</w:t>
            </w:r>
          </w:p>
        </w:tc>
        <w:tc>
          <w:tcPr>
            <w:tcW w:w="3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960" w:type="dxa"/>
            <w:vAlign w:val="bottom"/>
            <w:gridSpan w:val="2"/>
          </w:tcPr>
          <w:p>
            <w:pPr>
              <w:jc w:val="right"/>
              <w:ind w:right="120"/>
              <w:spacing w:after="0"/>
              <w:rPr>
                <w:sz w:val="20"/>
                <w:szCs w:val="20"/>
                <w:color w:val="auto"/>
              </w:rPr>
            </w:pPr>
            <w:r>
              <w:rPr>
                <w:rFonts w:ascii="Arial" w:cs="Arial" w:eastAsia="Arial" w:hAnsi="Arial"/>
                <w:sz w:val="18"/>
                <w:szCs w:val="18"/>
                <w:color w:val="auto"/>
                <w:w w:val="89"/>
              </w:rPr>
              <w:t>(1,025,636)</w:t>
            </w:r>
          </w:p>
        </w:tc>
        <w:tc>
          <w:tcPr>
            <w:tcW w:w="2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123,869</w:t>
            </w:r>
          </w:p>
        </w:tc>
        <w:tc>
          <w:tcPr>
            <w:tcW w:w="1180" w:type="dxa"/>
            <w:vAlign w:val="bottom"/>
            <w:gridSpan w:val="4"/>
          </w:tcPr>
          <w:p>
            <w:pPr>
              <w:jc w:val="right"/>
              <w:ind w:right="8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1,135,940</w:t>
            </w:r>
          </w:p>
        </w:tc>
        <w:tc>
          <w:tcPr>
            <w:tcW w:w="320" w:type="dxa"/>
            <w:vAlign w:val="bottom"/>
            <w:gridSpan w:val="3"/>
          </w:tcPr>
          <w:p>
            <w:pPr>
              <w:jc w:val="right"/>
              <w:spacing w:after="0"/>
              <w:rPr>
                <w:sz w:val="20"/>
                <w:szCs w:val="20"/>
                <w:color w:val="auto"/>
              </w:rPr>
            </w:pPr>
            <w:r>
              <w:rPr>
                <w:rFonts w:ascii="Arial" w:cs="Arial" w:eastAsia="Arial" w:hAnsi="Arial"/>
                <w:sz w:val="18"/>
                <w:szCs w:val="18"/>
                <w:u w:val="single" w:color="auto"/>
                <w:color w:val="auto"/>
              </w:rPr>
              <w:t>$</w:t>
            </w:r>
          </w:p>
        </w:tc>
        <w:tc>
          <w:tcPr>
            <w:tcW w:w="1060" w:type="dxa"/>
            <w:vAlign w:val="bottom"/>
            <w:gridSpan w:val="2"/>
          </w:tcPr>
          <w:p>
            <w:pPr>
              <w:jc w:val="right"/>
              <w:ind w:right="260"/>
              <w:spacing w:after="0"/>
              <w:rPr>
                <w:sz w:val="20"/>
                <w:szCs w:val="20"/>
                <w:color w:val="auto"/>
              </w:rPr>
            </w:pPr>
            <w:r>
              <w:rPr>
                <w:rFonts w:ascii="Arial" w:cs="Arial" w:eastAsia="Arial" w:hAnsi="Arial"/>
                <w:sz w:val="18"/>
                <w:szCs w:val="18"/>
                <w:color w:val="auto"/>
                <w:w w:val="84"/>
              </w:rPr>
              <w:t>(1,011,309)</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124,631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1840" w:type="dxa"/>
            <w:vAlign w:val="bottom"/>
          </w:tcPr>
          <w:p>
            <w:pPr>
              <w:spacing w:after="0" w:line="20" w:lineRule="exact"/>
              <w:rPr>
                <w:sz w:val="1"/>
                <w:szCs w:val="1"/>
                <w:color w:val="auto"/>
              </w:rPr>
            </w:pPr>
          </w:p>
        </w:tc>
        <w:tc>
          <w:tcPr>
            <w:tcW w:w="226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8" w:lineRule="exact"/>
        <w:rPr>
          <w:sz w:val="20"/>
          <w:szCs w:val="20"/>
          <w:color w:val="auto"/>
        </w:rPr>
      </w:pPr>
    </w:p>
    <w:p>
      <w:pPr>
        <w:jc w:val="both"/>
        <w:ind w:left="220" w:right="200" w:hanging="212"/>
        <w:spacing w:after="0" w:line="259" w:lineRule="auto"/>
        <w:tabs>
          <w:tab w:leader="none" w:pos="220" w:val="left"/>
        </w:tabs>
        <w:numPr>
          <w:ilvl w:val="0"/>
          <w:numId w:val="3"/>
        </w:numPr>
        <w:rPr>
          <w:rFonts w:ascii="Arial" w:cs="Arial" w:eastAsia="Arial" w:hAnsi="Arial"/>
          <w:sz w:val="18"/>
          <w:szCs w:val="18"/>
          <w:color w:val="auto"/>
        </w:rPr>
      </w:pPr>
      <w:r>
        <w:rPr>
          <w:rFonts w:ascii="Arial" w:cs="Arial" w:eastAsia="Arial" w:hAnsi="Arial"/>
          <w:sz w:val="18"/>
          <w:szCs w:val="18"/>
          <w:color w:val="auto"/>
        </w:rPr>
        <w:t>Upon completion of the project, the related in-process research and development (“IPR&amp;D”) assets will be amortized over its estimated useful life. If any of the projects are abandoned or the forecast of the project indicates that the fair value is less than the carrying amount, the Company will be required to impair the related IPR&amp;D asset.</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420"/>
          </w:cols>
          <w:pgMar w:left="240" w:top="459" w:right="23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0" w:firstLine="456"/>
        <w:spacing w:after="0" w:line="259" w:lineRule="auto"/>
        <w:rPr>
          <w:sz w:val="20"/>
          <w:szCs w:val="20"/>
          <w:color w:val="auto"/>
        </w:rPr>
      </w:pPr>
      <w:r>
        <w:rPr>
          <w:rFonts w:ascii="Arial" w:cs="Arial" w:eastAsia="Arial" w:hAnsi="Arial"/>
          <w:sz w:val="18"/>
          <w:szCs w:val="18"/>
          <w:color w:val="auto"/>
        </w:rPr>
        <w:t>During the three months ended April 30, 2011, the Company acquired the PHY business of a company which specializes in the design of networking devices. Under the purchase method of accounting, the total purchase price was determined to be $16.3 million and was preliminarily allocated to tangible and intangible assets based on their fair values as of the date of the completion of the purchase.</w:t>
      </w:r>
    </w:p>
    <w:p>
      <w:pPr>
        <w:spacing w:after="0" w:line="140"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Based on the identified intangible assets recorded at April 30, 2011, the future amortization expense excluding IPR&amp;D for the next five fiscal years is as follows (in thousands):</w:t>
      </w:r>
    </w:p>
    <w:p>
      <w:pPr>
        <w:spacing w:after="0" w:line="168"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66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8"/>
              </w:rPr>
              <w:t>Fiscal year</w:t>
            </w:r>
          </w:p>
        </w:tc>
        <w:tc>
          <w:tcPr>
            <w:tcW w:w="3940" w:type="dxa"/>
            <w:vAlign w:val="bottom"/>
          </w:tcPr>
          <w:p>
            <w:pPr>
              <w:spacing w:after="0"/>
              <w:rPr>
                <w:sz w:val="14"/>
                <w:szCs w:val="14"/>
                <w:color w:val="auto"/>
              </w:rPr>
            </w:pPr>
          </w:p>
        </w:tc>
        <w:tc>
          <w:tcPr>
            <w:tcW w:w="24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00" w:type="dxa"/>
            <w:vAlign w:val="bottom"/>
          </w:tcPr>
          <w:p>
            <w:pPr>
              <w:spacing w:after="0"/>
              <w:rPr>
                <w:sz w:val="14"/>
                <w:szCs w:val="14"/>
                <w:color w:val="auto"/>
              </w:rPr>
            </w:pPr>
          </w:p>
        </w:tc>
      </w:tr>
      <w:tr>
        <w:trPr>
          <w:trHeight w:val="210"/>
        </w:trPr>
        <w:tc>
          <w:tcPr>
            <w:tcW w:w="460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Remainder of fiscal 2012</w:t>
            </w:r>
          </w:p>
        </w:tc>
        <w:tc>
          <w:tcPr>
            <w:tcW w:w="2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33,418</w:t>
            </w:r>
          </w:p>
        </w:tc>
        <w:tc>
          <w:tcPr>
            <w:tcW w:w="100" w:type="dxa"/>
            <w:vAlign w:val="bottom"/>
            <w:shd w:val="clear" w:color="auto" w:fill="CCEEFF"/>
          </w:tcPr>
          <w:p>
            <w:pPr>
              <w:spacing w:after="0"/>
              <w:rPr>
                <w:sz w:val="18"/>
                <w:szCs w:val="18"/>
                <w:color w:val="auto"/>
              </w:rPr>
            </w:pPr>
          </w:p>
        </w:tc>
      </w:tr>
      <w:tr>
        <w:trPr>
          <w:trHeight w:val="216"/>
        </w:trPr>
        <w:tc>
          <w:tcPr>
            <w:tcW w:w="4600" w:type="dxa"/>
            <w:vAlign w:val="bottom"/>
            <w:gridSpan w:val="2"/>
          </w:tcPr>
          <w:p>
            <w:pPr>
              <w:ind w:left="440"/>
              <w:spacing w:after="0"/>
              <w:rPr>
                <w:sz w:val="20"/>
                <w:szCs w:val="20"/>
                <w:color w:val="auto"/>
              </w:rPr>
            </w:pPr>
            <w:r>
              <w:rPr>
                <w:rFonts w:ascii="Arial" w:cs="Arial" w:eastAsia="Arial" w:hAnsi="Arial"/>
                <w:sz w:val="18"/>
                <w:szCs w:val="18"/>
                <w:color w:val="auto"/>
              </w:rPr>
              <w:t>2013</w:t>
            </w:r>
          </w:p>
        </w:tc>
        <w:tc>
          <w:tcPr>
            <w:tcW w:w="2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41,436</w:t>
            </w:r>
          </w:p>
        </w:tc>
        <w:tc>
          <w:tcPr>
            <w:tcW w:w="100" w:type="dxa"/>
            <w:vAlign w:val="bottom"/>
          </w:tcPr>
          <w:p>
            <w:pPr>
              <w:spacing w:after="0"/>
              <w:rPr>
                <w:sz w:val="18"/>
                <w:szCs w:val="18"/>
                <w:color w:val="auto"/>
              </w:rPr>
            </w:pPr>
          </w:p>
        </w:tc>
      </w:tr>
      <w:tr>
        <w:trPr>
          <w:trHeight w:val="216"/>
        </w:trPr>
        <w:tc>
          <w:tcPr>
            <w:tcW w:w="460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2014</w:t>
            </w:r>
          </w:p>
        </w:tc>
        <w:tc>
          <w:tcPr>
            <w:tcW w:w="2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26,753</w:t>
            </w:r>
          </w:p>
        </w:tc>
        <w:tc>
          <w:tcPr>
            <w:tcW w:w="100" w:type="dxa"/>
            <w:vAlign w:val="bottom"/>
            <w:shd w:val="clear" w:color="auto" w:fill="CCEEFF"/>
          </w:tcPr>
          <w:p>
            <w:pPr>
              <w:spacing w:after="0"/>
              <w:rPr>
                <w:sz w:val="18"/>
                <w:szCs w:val="18"/>
                <w:color w:val="auto"/>
              </w:rPr>
            </w:pPr>
          </w:p>
        </w:tc>
      </w:tr>
      <w:tr>
        <w:trPr>
          <w:trHeight w:val="216"/>
        </w:trPr>
        <w:tc>
          <w:tcPr>
            <w:tcW w:w="4600" w:type="dxa"/>
            <w:vAlign w:val="bottom"/>
            <w:gridSpan w:val="2"/>
          </w:tcPr>
          <w:p>
            <w:pPr>
              <w:ind w:left="440"/>
              <w:spacing w:after="0"/>
              <w:rPr>
                <w:sz w:val="20"/>
                <w:szCs w:val="20"/>
                <w:color w:val="auto"/>
              </w:rPr>
            </w:pPr>
            <w:r>
              <w:rPr>
                <w:rFonts w:ascii="Arial" w:cs="Arial" w:eastAsia="Arial" w:hAnsi="Arial"/>
                <w:sz w:val="18"/>
                <w:szCs w:val="18"/>
                <w:color w:val="auto"/>
              </w:rPr>
              <w:t>2015</w:t>
            </w:r>
          </w:p>
        </w:tc>
        <w:tc>
          <w:tcPr>
            <w:tcW w:w="2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5,351</w:t>
            </w:r>
          </w:p>
        </w:tc>
        <w:tc>
          <w:tcPr>
            <w:tcW w:w="100" w:type="dxa"/>
            <w:vAlign w:val="bottom"/>
          </w:tcPr>
          <w:p>
            <w:pPr>
              <w:spacing w:after="0"/>
              <w:rPr>
                <w:sz w:val="18"/>
                <w:szCs w:val="18"/>
                <w:color w:val="auto"/>
              </w:rPr>
            </w:pPr>
          </w:p>
        </w:tc>
      </w:tr>
      <w:tr>
        <w:trPr>
          <w:trHeight w:val="216"/>
        </w:trPr>
        <w:tc>
          <w:tcPr>
            <w:tcW w:w="460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2016</w:t>
            </w:r>
          </w:p>
        </w:tc>
        <w:tc>
          <w:tcPr>
            <w:tcW w:w="2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2,587</w:t>
            </w:r>
          </w:p>
        </w:tc>
        <w:tc>
          <w:tcPr>
            <w:tcW w:w="100" w:type="dxa"/>
            <w:vAlign w:val="bottom"/>
            <w:shd w:val="clear" w:color="auto" w:fill="CCEEFF"/>
          </w:tcPr>
          <w:p>
            <w:pPr>
              <w:spacing w:after="0"/>
              <w:rPr>
                <w:sz w:val="18"/>
                <w:szCs w:val="18"/>
                <w:color w:val="auto"/>
              </w:rPr>
            </w:pPr>
          </w:p>
        </w:tc>
      </w:tr>
      <w:tr>
        <w:trPr>
          <w:trHeight w:val="223"/>
        </w:trPr>
        <w:tc>
          <w:tcPr>
            <w:tcW w:w="4600" w:type="dxa"/>
            <w:vAlign w:val="bottom"/>
            <w:gridSpan w:val="2"/>
          </w:tcPr>
          <w:p>
            <w:pPr>
              <w:ind w:left="440"/>
              <w:spacing w:after="0"/>
              <w:rPr>
                <w:sz w:val="20"/>
                <w:szCs w:val="20"/>
                <w:color w:val="auto"/>
              </w:rPr>
            </w:pPr>
            <w:r>
              <w:rPr>
                <w:rFonts w:ascii="Arial" w:cs="Arial" w:eastAsia="Arial" w:hAnsi="Arial"/>
                <w:sz w:val="18"/>
                <w:szCs w:val="18"/>
                <w:color w:val="auto"/>
              </w:rPr>
              <w:t>Thereafter</w:t>
            </w:r>
          </w:p>
        </w:tc>
        <w:tc>
          <w:tcPr>
            <w:tcW w:w="240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4,624</w:t>
            </w:r>
          </w:p>
        </w:tc>
        <w:tc>
          <w:tcPr>
            <w:tcW w:w="100" w:type="dxa"/>
            <w:vAlign w:val="bottom"/>
          </w:tcPr>
          <w:p>
            <w:pPr>
              <w:spacing w:after="0"/>
              <w:rPr>
                <w:sz w:val="19"/>
                <w:szCs w:val="19"/>
                <w:color w:val="auto"/>
              </w:rPr>
            </w:pPr>
          </w:p>
        </w:tc>
      </w:tr>
      <w:tr>
        <w:trPr>
          <w:trHeight w:val="216"/>
        </w:trPr>
        <w:tc>
          <w:tcPr>
            <w:tcW w:w="660" w:type="dxa"/>
            <w:vAlign w:val="bottom"/>
            <w:shd w:val="clear" w:color="auto" w:fill="CCEEFF"/>
          </w:tcPr>
          <w:p>
            <w:pPr>
              <w:spacing w:after="0"/>
              <w:rPr>
                <w:sz w:val="18"/>
                <w:szCs w:val="18"/>
                <w:color w:val="auto"/>
              </w:rPr>
            </w:pPr>
          </w:p>
        </w:tc>
        <w:tc>
          <w:tcPr>
            <w:tcW w:w="3940" w:type="dxa"/>
            <w:vAlign w:val="bottom"/>
            <w:shd w:val="clear" w:color="auto" w:fill="CCEEFF"/>
          </w:tcPr>
          <w:p>
            <w:pPr>
              <w:spacing w:after="0"/>
              <w:rPr>
                <w:sz w:val="18"/>
                <w:szCs w:val="18"/>
                <w:color w:val="auto"/>
              </w:rPr>
            </w:pPr>
          </w:p>
        </w:tc>
        <w:tc>
          <w:tcPr>
            <w:tcW w:w="24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114,169</w:t>
            </w:r>
          </w:p>
        </w:tc>
        <w:tc>
          <w:tcPr>
            <w:tcW w:w="100" w:type="dxa"/>
            <w:vAlign w:val="bottom"/>
            <w:shd w:val="clear" w:color="auto" w:fill="CCEEFF"/>
          </w:tcPr>
          <w:p>
            <w:pPr>
              <w:spacing w:after="0"/>
              <w:rPr>
                <w:sz w:val="18"/>
                <w:szCs w:val="18"/>
                <w:color w:val="auto"/>
              </w:rPr>
            </w:pPr>
          </w:p>
        </w:tc>
      </w:tr>
      <w:tr>
        <w:trPr>
          <w:trHeight w:val="20"/>
        </w:trPr>
        <w:tc>
          <w:tcPr>
            <w:tcW w:w="660" w:type="dxa"/>
            <w:vAlign w:val="bottom"/>
          </w:tcPr>
          <w:p>
            <w:pPr>
              <w:spacing w:after="0" w:line="20" w:lineRule="exact"/>
              <w:rPr>
                <w:sz w:val="1"/>
                <w:szCs w:val="1"/>
                <w:color w:val="auto"/>
              </w:rPr>
            </w:pPr>
          </w:p>
        </w:tc>
        <w:tc>
          <w:tcPr>
            <w:tcW w:w="3940" w:type="dxa"/>
            <w:vAlign w:val="bottom"/>
          </w:tcPr>
          <w:p>
            <w:pPr>
              <w:spacing w:after="0" w:line="20" w:lineRule="exact"/>
              <w:rPr>
                <w:sz w:val="1"/>
                <w:szCs w:val="1"/>
                <w:color w:val="auto"/>
              </w:rPr>
            </w:pPr>
          </w:p>
        </w:tc>
        <w:tc>
          <w:tcPr>
            <w:tcW w:w="2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Restructuring</w:t>
      </w:r>
    </w:p>
    <w:p>
      <w:pPr>
        <w:spacing w:after="0" w:line="96"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During the three months ended April 30, 2011, the Company continued to make payments and incur on-going operating expenses from its previously vacated facilities. During the three months ended May 1, 2010, the Company subleased one of its previously vacated facilities and thus recorded an adjustment to the restructuring liabilities.</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sets forth an analysis of the components of the restructuring charges and the payments made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920" w:type="dxa"/>
            <w:vAlign w:val="bottom"/>
          </w:tcPr>
          <w:p>
            <w:pPr>
              <w:spacing w:after="0"/>
              <w:rPr>
                <w:sz w:val="14"/>
                <w:szCs w:val="14"/>
                <w:color w:val="auto"/>
              </w:rPr>
            </w:pPr>
          </w:p>
        </w:tc>
        <w:tc>
          <w:tcPr>
            <w:tcW w:w="69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620" w:type="dxa"/>
            <w:vAlign w:val="bottom"/>
            <w:gridSpan w:val="9"/>
          </w:tcPr>
          <w:p>
            <w:pPr>
              <w:ind w:left="10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29"/>
        </w:trPr>
        <w:tc>
          <w:tcPr>
            <w:tcW w:w="920" w:type="dxa"/>
            <w:vAlign w:val="bottom"/>
          </w:tcPr>
          <w:p>
            <w:pPr>
              <w:spacing w:after="0"/>
              <w:rPr>
                <w:sz w:val="11"/>
                <w:szCs w:val="11"/>
                <w:color w:val="auto"/>
              </w:rPr>
            </w:pPr>
          </w:p>
        </w:tc>
        <w:tc>
          <w:tcPr>
            <w:tcW w:w="69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0" w:type="dxa"/>
            <w:vAlign w:val="bottom"/>
            <w:tcBorders>
              <w:top w:val="single" w:sz="8" w:color="auto"/>
            </w:tcBorders>
            <w:gridSpan w:val="4"/>
          </w:tcPr>
          <w:p>
            <w:pPr>
              <w:jc w:val="center"/>
              <w:ind w:right="300"/>
              <w:spacing w:after="0" w:line="129" w:lineRule="exact"/>
              <w:rPr>
                <w:sz w:val="20"/>
                <w:szCs w:val="20"/>
                <w:color w:val="auto"/>
              </w:rPr>
            </w:pPr>
            <w:r>
              <w:rPr>
                <w:rFonts w:ascii="Arial" w:cs="Arial" w:eastAsia="Arial" w:hAnsi="Arial"/>
                <w:sz w:val="14"/>
                <w:szCs w:val="14"/>
                <w:b w:val="1"/>
                <w:bCs w:val="1"/>
                <w:color w:val="auto"/>
                <w:w w:val="90"/>
              </w:rPr>
              <w:t>April 30,</w:t>
            </w:r>
          </w:p>
        </w:tc>
        <w:tc>
          <w:tcPr>
            <w:tcW w:w="24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gridSpan w:val="3"/>
          </w:tcPr>
          <w:p>
            <w:pPr>
              <w:ind w:left="60"/>
              <w:spacing w:after="0" w:line="129" w:lineRule="exact"/>
              <w:rPr>
                <w:sz w:val="20"/>
                <w:szCs w:val="20"/>
                <w:color w:val="auto"/>
              </w:rPr>
            </w:pPr>
            <w:r>
              <w:rPr>
                <w:rFonts w:ascii="Arial" w:cs="Arial" w:eastAsia="Arial" w:hAnsi="Arial"/>
                <w:sz w:val="14"/>
                <w:szCs w:val="14"/>
                <w:b w:val="1"/>
                <w:bCs w:val="1"/>
                <w:color w:val="auto"/>
              </w:rPr>
              <w:t>May 1,</w:t>
            </w: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920" w:type="dxa"/>
            <w:vAlign w:val="bottom"/>
          </w:tcPr>
          <w:p>
            <w:pPr>
              <w:spacing w:after="0"/>
              <w:rPr>
                <w:sz w:val="14"/>
                <w:szCs w:val="14"/>
                <w:color w:val="auto"/>
              </w:rPr>
            </w:pPr>
          </w:p>
        </w:tc>
        <w:tc>
          <w:tcPr>
            <w:tcW w:w="69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jc w:val="center"/>
              <w:ind w:right="19"/>
              <w:spacing w:after="0"/>
              <w:rPr>
                <w:sz w:val="20"/>
                <w:szCs w:val="20"/>
                <w:color w:val="auto"/>
              </w:rPr>
            </w:pPr>
            <w:r>
              <w:rPr>
                <w:rFonts w:ascii="Arial" w:cs="Arial" w:eastAsia="Arial" w:hAnsi="Arial"/>
                <w:sz w:val="14"/>
                <w:szCs w:val="14"/>
                <w:b w:val="1"/>
                <w:bCs w:val="1"/>
                <w:color w:val="auto"/>
                <w:w w:val="83"/>
              </w:rPr>
              <w:t>2011</w:t>
            </w:r>
          </w:p>
        </w:tc>
        <w:tc>
          <w:tcPr>
            <w:tcW w:w="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40" w:type="dxa"/>
            <w:vAlign w:val="bottom"/>
            <w:tcBorders>
              <w:bottom w:val="single" w:sz="8" w:color="auto"/>
            </w:tcBorders>
            <w:gridSpan w:val="3"/>
          </w:tcPr>
          <w:p>
            <w:pPr>
              <w:jc w:val="right"/>
              <w:ind w:right="54"/>
              <w:spacing w:after="0"/>
              <w:rPr>
                <w:sz w:val="20"/>
                <w:szCs w:val="20"/>
                <w:color w:val="auto"/>
              </w:rPr>
            </w:pPr>
            <w:r>
              <w:rPr>
                <w:rFonts w:ascii="Arial" w:cs="Arial" w:eastAsia="Arial" w:hAnsi="Arial"/>
                <w:sz w:val="14"/>
                <w:szCs w:val="14"/>
                <w:b w:val="1"/>
                <w:bCs w:val="1"/>
                <w:color w:val="auto"/>
              </w:rPr>
              <w:t>2010</w:t>
            </w: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920" w:type="dxa"/>
            <w:vAlign w:val="bottom"/>
          </w:tcPr>
          <w:p>
            <w:pPr>
              <w:spacing w:after="0"/>
              <w:rPr>
                <w:sz w:val="18"/>
                <w:szCs w:val="18"/>
                <w:color w:val="auto"/>
              </w:rPr>
            </w:pPr>
          </w:p>
        </w:tc>
        <w:tc>
          <w:tcPr>
            <w:tcW w:w="6940" w:type="dxa"/>
            <w:vAlign w:val="bottom"/>
            <w:shd w:val="clear" w:color="auto" w:fill="CCEEFF"/>
          </w:tcPr>
          <w:p>
            <w:pPr>
              <w:spacing w:after="0"/>
              <w:rPr>
                <w:sz w:val="20"/>
                <w:szCs w:val="20"/>
                <w:color w:val="auto"/>
              </w:rPr>
            </w:pPr>
            <w:r>
              <w:rPr>
                <w:rFonts w:ascii="Arial" w:cs="Arial" w:eastAsia="Arial" w:hAnsi="Arial"/>
                <w:sz w:val="18"/>
                <w:szCs w:val="18"/>
                <w:color w:val="auto"/>
              </w:rPr>
              <w:t>Restructuring liabilities, beginning of period</w:t>
            </w:r>
          </w:p>
        </w:tc>
        <w:tc>
          <w:tcPr>
            <w:tcW w:w="5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89"/>
              </w:rPr>
              <w:t>$ 3,306</w:t>
            </w:r>
          </w:p>
        </w:tc>
        <w:tc>
          <w:tcPr>
            <w:tcW w:w="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78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$ 5,397</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940" w:type="dxa"/>
            <w:vAlign w:val="bottom"/>
          </w:tcPr>
          <w:p>
            <w:pPr>
              <w:ind w:left="440"/>
              <w:spacing w:after="0"/>
              <w:rPr>
                <w:sz w:val="20"/>
                <w:szCs w:val="20"/>
                <w:color w:val="auto"/>
              </w:rPr>
            </w:pPr>
            <w:r>
              <w:rPr>
                <w:rFonts w:ascii="Arial" w:cs="Arial" w:eastAsia="Arial" w:hAnsi="Arial"/>
                <w:sz w:val="18"/>
                <w:szCs w:val="18"/>
                <w:color w:val="auto"/>
              </w:rPr>
              <w:t>Facilities and related charges</w:t>
            </w: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40" w:type="dxa"/>
            <w:vAlign w:val="bottom"/>
          </w:tcPr>
          <w:p>
            <w:pPr>
              <w:jc w:val="right"/>
              <w:spacing w:after="0"/>
              <w:rPr>
                <w:sz w:val="20"/>
                <w:szCs w:val="20"/>
                <w:color w:val="auto"/>
              </w:rPr>
            </w:pPr>
            <w:r>
              <w:rPr>
                <w:rFonts w:ascii="Arial" w:cs="Arial" w:eastAsia="Arial" w:hAnsi="Arial"/>
                <w:sz w:val="18"/>
                <w:szCs w:val="18"/>
                <w:color w:val="auto"/>
              </w:rPr>
              <w:t>619</w:t>
            </w:r>
          </w:p>
        </w:tc>
        <w:tc>
          <w:tcPr>
            <w:tcW w:w="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60" w:type="dxa"/>
            <w:vAlign w:val="bottom"/>
          </w:tcPr>
          <w:p>
            <w:pPr>
              <w:jc w:val="right"/>
              <w:spacing w:after="0"/>
              <w:rPr>
                <w:sz w:val="20"/>
                <w:szCs w:val="20"/>
                <w:color w:val="auto"/>
              </w:rPr>
            </w:pPr>
            <w:r>
              <w:rPr>
                <w:rFonts w:ascii="Arial" w:cs="Arial" w:eastAsia="Arial" w:hAnsi="Arial"/>
                <w:sz w:val="18"/>
                <w:szCs w:val="18"/>
                <w:color w:val="auto"/>
              </w:rPr>
              <w:t>687</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940" w:type="dxa"/>
            <w:vAlign w:val="bottom"/>
            <w:shd w:val="clear" w:color="auto" w:fill="CCEEFF"/>
          </w:tcPr>
          <w:p>
            <w:pPr>
              <w:spacing w:after="0"/>
              <w:rPr>
                <w:sz w:val="20"/>
                <w:szCs w:val="20"/>
                <w:color w:val="auto"/>
              </w:rPr>
            </w:pPr>
            <w:r>
              <w:rPr>
                <w:rFonts w:ascii="Arial" w:cs="Arial" w:eastAsia="Arial" w:hAnsi="Arial"/>
                <w:sz w:val="18"/>
                <w:szCs w:val="18"/>
                <w:color w:val="auto"/>
              </w:rPr>
              <w:t>Non-cash adjustment</w:t>
            </w:r>
          </w:p>
        </w:tc>
        <w:tc>
          <w:tcPr>
            <w:tcW w:w="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w:t>
            </w:r>
          </w:p>
        </w:tc>
        <w:tc>
          <w:tcPr>
            <w:tcW w:w="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w w:val="95"/>
              </w:rPr>
              <w:t>(318)</w:t>
            </w: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940" w:type="dxa"/>
            <w:vAlign w:val="bottom"/>
          </w:tcPr>
          <w:p>
            <w:pPr>
              <w:spacing w:after="0"/>
              <w:rPr>
                <w:sz w:val="20"/>
                <w:szCs w:val="20"/>
                <w:color w:val="auto"/>
              </w:rPr>
            </w:pPr>
            <w:r>
              <w:rPr>
                <w:rFonts w:ascii="Arial" w:cs="Arial" w:eastAsia="Arial" w:hAnsi="Arial"/>
                <w:sz w:val="18"/>
                <w:szCs w:val="18"/>
                <w:color w:val="auto"/>
              </w:rPr>
              <w:t>Net cash payments</w:t>
            </w: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gridSpan w:val="3"/>
          </w:tcPr>
          <w:p>
            <w:pPr>
              <w:jc w:val="right"/>
              <w:ind w:right="220"/>
              <w:spacing w:after="0"/>
              <w:rPr>
                <w:sz w:val="20"/>
                <w:szCs w:val="20"/>
                <w:color w:val="auto"/>
              </w:rPr>
            </w:pPr>
            <w:r>
              <w:rPr>
                <w:rFonts w:ascii="Arial" w:cs="Arial" w:eastAsia="Arial" w:hAnsi="Arial"/>
                <w:sz w:val="18"/>
                <w:szCs w:val="18"/>
                <w:color w:val="auto"/>
              </w:rPr>
              <w:t>(512)</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gridSpan w:val="3"/>
          </w:tcPr>
          <w:p>
            <w:pPr>
              <w:jc w:val="right"/>
              <w:ind w:right="60"/>
              <w:spacing w:after="0"/>
              <w:rPr>
                <w:sz w:val="20"/>
                <w:szCs w:val="20"/>
                <w:color w:val="auto"/>
              </w:rPr>
            </w:pPr>
            <w:r>
              <w:rPr>
                <w:rFonts w:ascii="Arial" w:cs="Arial" w:eastAsia="Arial" w:hAnsi="Arial"/>
                <w:sz w:val="18"/>
                <w:szCs w:val="18"/>
                <w:color w:val="auto"/>
                <w:w w:val="95"/>
              </w:rPr>
              <w:t>(701)</w:t>
            </w: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94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previous assumptions</w:t>
            </w:r>
          </w:p>
        </w:tc>
        <w:tc>
          <w:tcPr>
            <w:tcW w:w="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280" w:type="dxa"/>
            <w:vAlign w:val="bottom"/>
            <w:gridSpan w:val="2"/>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w w:val="95"/>
              </w:rPr>
              <w:t>(101)</w:t>
            </w:r>
          </w:p>
        </w:tc>
        <w:tc>
          <w:tcPr>
            <w:tcW w:w="0" w:type="dxa"/>
            <w:vAlign w:val="bottom"/>
          </w:tcPr>
          <w:p>
            <w:pPr>
              <w:spacing w:after="0"/>
              <w:rPr>
                <w:sz w:val="1"/>
                <w:szCs w:val="1"/>
                <w:color w:val="auto"/>
              </w:rPr>
            </w:pPr>
          </w:p>
        </w:tc>
      </w:tr>
      <w:tr>
        <w:trPr>
          <w:trHeight w:val="20"/>
        </w:trPr>
        <w:tc>
          <w:tcPr>
            <w:tcW w:w="7860" w:type="dxa"/>
            <w:vAlign w:val="bottom"/>
            <w:gridSpan w:val="2"/>
            <w:vMerge w:val="restart"/>
          </w:tcPr>
          <w:p>
            <w:pPr>
              <w:ind w:left="920"/>
              <w:spacing w:after="0"/>
              <w:rPr>
                <w:sz w:val="20"/>
                <w:szCs w:val="20"/>
                <w:color w:val="auto"/>
              </w:rPr>
            </w:pPr>
            <w:r>
              <w:rPr>
                <w:rFonts w:ascii="Arial" w:cs="Arial" w:eastAsia="Arial" w:hAnsi="Arial"/>
                <w:sz w:val="18"/>
                <w:szCs w:val="18"/>
                <w:color w:val="auto"/>
              </w:rPr>
              <w:t>Restructuring liabilities, end of period</w:t>
            </w:r>
          </w:p>
        </w:tc>
        <w:tc>
          <w:tcPr>
            <w:tcW w:w="40" w:type="dxa"/>
            <w:vAlign w:val="bottom"/>
          </w:tcPr>
          <w:p>
            <w:pPr>
              <w:spacing w:after="0" w:line="20" w:lineRule="exact"/>
              <w:rPr>
                <w:sz w:val="1"/>
                <w:szCs w:val="1"/>
                <w:color w:val="auto"/>
              </w:rPr>
            </w:pPr>
          </w:p>
        </w:tc>
        <w:tc>
          <w:tcPr>
            <w:tcW w:w="520" w:type="dxa"/>
            <w:vAlign w:val="bottom"/>
            <w:gridSpan w:val="2"/>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460" w:type="dxa"/>
            <w:vAlign w:val="bottom"/>
            <w:gridSpan w:val="2"/>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7860" w:type="dxa"/>
            <w:vAlign w:val="bottom"/>
            <w:gridSpan w:val="2"/>
            <w:vMerge w:val="continue"/>
          </w:tcPr>
          <w:p>
            <w:pPr>
              <w:spacing w:after="0"/>
              <w:rPr>
                <w:sz w:val="19"/>
                <w:szCs w:val="19"/>
                <w:color w:val="auto"/>
              </w:rPr>
            </w:pPr>
          </w:p>
        </w:tc>
        <w:tc>
          <w:tcPr>
            <w:tcW w:w="560" w:type="dxa"/>
            <w:vAlign w:val="bottom"/>
            <w:gridSpan w:val="3"/>
          </w:tcPr>
          <w:p>
            <w:pPr>
              <w:jc w:val="right"/>
              <w:spacing w:after="0"/>
              <w:rPr>
                <w:sz w:val="20"/>
                <w:szCs w:val="20"/>
                <w:color w:val="auto"/>
              </w:rPr>
            </w:pPr>
            <w:r>
              <w:rPr>
                <w:rFonts w:ascii="Arial" w:cs="Arial" w:eastAsia="Arial" w:hAnsi="Arial"/>
                <w:sz w:val="18"/>
                <w:szCs w:val="18"/>
                <w:color w:val="auto"/>
                <w:w w:val="89"/>
              </w:rPr>
              <w:t>$ 3,425</w:t>
            </w:r>
          </w:p>
        </w:tc>
        <w:tc>
          <w:tcPr>
            <w:tcW w:w="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780" w:type="dxa"/>
            <w:vAlign w:val="bottom"/>
            <w:gridSpan w:val="4"/>
          </w:tcPr>
          <w:p>
            <w:pPr>
              <w:jc w:val="right"/>
              <w:spacing w:after="0"/>
              <w:rPr>
                <w:sz w:val="20"/>
                <w:szCs w:val="20"/>
                <w:color w:val="auto"/>
              </w:rPr>
            </w:pPr>
            <w:r>
              <w:rPr>
                <w:rFonts w:ascii="Arial" w:cs="Arial" w:eastAsia="Arial" w:hAnsi="Arial"/>
                <w:sz w:val="18"/>
                <w:szCs w:val="18"/>
                <w:color w:val="auto"/>
              </w:rPr>
              <w:t>$ 4,964</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7860" w:type="dxa"/>
            <w:vAlign w:val="bottom"/>
            <w:gridSpan w:val="2"/>
            <w:vMerge w:val="restart"/>
          </w:tcPr>
          <w:p>
            <w:pPr>
              <w:spacing w:after="0"/>
              <w:rPr>
                <w:sz w:val="20"/>
                <w:szCs w:val="20"/>
                <w:color w:val="auto"/>
              </w:rPr>
            </w:pPr>
            <w:r>
              <w:rPr>
                <w:rFonts w:ascii="Arial" w:cs="Arial" w:eastAsia="Arial" w:hAnsi="Arial"/>
                <w:sz w:val="18"/>
                <w:szCs w:val="18"/>
                <w:color w:val="auto"/>
              </w:rPr>
              <w:t>The following table presents details of restructuring charges by functional line item (in thousands):</w:t>
            </w:r>
          </w:p>
        </w:tc>
        <w:tc>
          <w:tcPr>
            <w:tcW w:w="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2"/>
        </w:trPr>
        <w:tc>
          <w:tcPr>
            <w:tcW w:w="7860" w:type="dxa"/>
            <w:vAlign w:val="bottom"/>
            <w:gridSpan w:val="2"/>
            <w:vMerge w:val="continue"/>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920" w:type="dxa"/>
            <w:vAlign w:val="bottom"/>
          </w:tcPr>
          <w:p>
            <w:pPr>
              <w:spacing w:after="0"/>
              <w:rPr>
                <w:sz w:val="24"/>
                <w:szCs w:val="24"/>
                <w:color w:val="auto"/>
              </w:rPr>
            </w:pPr>
          </w:p>
        </w:tc>
        <w:tc>
          <w:tcPr>
            <w:tcW w:w="69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620" w:type="dxa"/>
            <w:vAlign w:val="bottom"/>
            <w:gridSpan w:val="9"/>
          </w:tcPr>
          <w:p>
            <w:pPr>
              <w:ind w:left="8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29"/>
        </w:trPr>
        <w:tc>
          <w:tcPr>
            <w:tcW w:w="920" w:type="dxa"/>
            <w:vAlign w:val="bottom"/>
          </w:tcPr>
          <w:p>
            <w:pPr>
              <w:spacing w:after="0"/>
              <w:rPr>
                <w:sz w:val="11"/>
                <w:szCs w:val="11"/>
                <w:color w:val="auto"/>
              </w:rPr>
            </w:pPr>
          </w:p>
        </w:tc>
        <w:tc>
          <w:tcPr>
            <w:tcW w:w="6940" w:type="dxa"/>
            <w:vAlign w:val="bottom"/>
          </w:tcPr>
          <w:p>
            <w:pPr>
              <w:spacing w:after="0"/>
              <w:rPr>
                <w:sz w:val="11"/>
                <w:szCs w:val="11"/>
                <w:color w:val="auto"/>
              </w:rPr>
            </w:pPr>
          </w:p>
        </w:tc>
        <w:tc>
          <w:tcPr>
            <w:tcW w:w="4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gridSpan w:val="4"/>
          </w:tcPr>
          <w:p>
            <w:pPr>
              <w:jc w:val="center"/>
              <w:ind w:right="300"/>
              <w:spacing w:after="0" w:line="129" w:lineRule="exact"/>
              <w:rPr>
                <w:sz w:val="20"/>
                <w:szCs w:val="20"/>
                <w:color w:val="auto"/>
              </w:rPr>
            </w:pPr>
            <w:r>
              <w:rPr>
                <w:rFonts w:ascii="Arial" w:cs="Arial" w:eastAsia="Arial" w:hAnsi="Arial"/>
                <w:sz w:val="14"/>
                <w:szCs w:val="14"/>
                <w:b w:val="1"/>
                <w:bCs w:val="1"/>
                <w:color w:val="auto"/>
                <w:w w:val="90"/>
              </w:rPr>
              <w:t>April 30,</w:t>
            </w:r>
          </w:p>
        </w:tc>
        <w:tc>
          <w:tcPr>
            <w:tcW w:w="24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480" w:type="dxa"/>
            <w:vAlign w:val="bottom"/>
            <w:tcBorders>
              <w:top w:val="single" w:sz="8" w:color="auto"/>
            </w:tcBorders>
            <w:gridSpan w:val="3"/>
          </w:tcPr>
          <w:p>
            <w:pPr>
              <w:jc w:val="center"/>
              <w:spacing w:after="0" w:line="129" w:lineRule="exact"/>
              <w:rPr>
                <w:sz w:val="20"/>
                <w:szCs w:val="20"/>
                <w:color w:val="auto"/>
              </w:rPr>
            </w:pPr>
            <w:r>
              <w:rPr>
                <w:rFonts w:ascii="Arial" w:cs="Arial" w:eastAsia="Arial" w:hAnsi="Arial"/>
                <w:sz w:val="14"/>
                <w:szCs w:val="14"/>
                <w:b w:val="1"/>
                <w:bCs w:val="1"/>
                <w:color w:val="auto"/>
                <w:w w:val="93"/>
              </w:rPr>
              <w:t>May 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920" w:type="dxa"/>
            <w:vAlign w:val="bottom"/>
          </w:tcPr>
          <w:p>
            <w:pPr>
              <w:spacing w:after="0"/>
              <w:rPr>
                <w:sz w:val="14"/>
                <w:szCs w:val="14"/>
                <w:color w:val="auto"/>
              </w:rPr>
            </w:pPr>
          </w:p>
        </w:tc>
        <w:tc>
          <w:tcPr>
            <w:tcW w:w="6940" w:type="dxa"/>
            <w:vAlign w:val="bottom"/>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jc w:val="center"/>
              <w:ind w:right="19"/>
              <w:spacing w:after="0"/>
              <w:rPr>
                <w:sz w:val="20"/>
                <w:szCs w:val="20"/>
                <w:color w:val="auto"/>
              </w:rPr>
            </w:pPr>
            <w:r>
              <w:rPr>
                <w:rFonts w:ascii="Arial" w:cs="Arial" w:eastAsia="Arial" w:hAnsi="Arial"/>
                <w:sz w:val="14"/>
                <w:szCs w:val="14"/>
                <w:b w:val="1"/>
                <w:bCs w:val="1"/>
                <w:color w:val="auto"/>
                <w:w w:val="83"/>
              </w:rPr>
              <w:t>2011</w:t>
            </w:r>
          </w:p>
        </w:tc>
        <w:tc>
          <w:tcPr>
            <w:tcW w:w="20" w:type="dxa"/>
            <w:vAlign w:val="bottom"/>
            <w:tcBorders>
              <w:bottom w:val="single" w:sz="8" w:color="auto"/>
            </w:tcBorders>
          </w:tcPr>
          <w:p>
            <w:pPr>
              <w:spacing w:after="0"/>
              <w:rPr>
                <w:sz w:val="14"/>
                <w:szCs w:val="14"/>
                <w:color w:val="auto"/>
              </w:rPr>
            </w:pPr>
          </w:p>
        </w:tc>
        <w:tc>
          <w:tcPr>
            <w:tcW w:w="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83"/>
              </w:rPr>
              <w:t>2010</w:t>
            </w:r>
          </w:p>
        </w:tc>
        <w:tc>
          <w:tcPr>
            <w:tcW w:w="2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920" w:type="dxa"/>
            <w:vAlign w:val="bottom"/>
          </w:tcPr>
          <w:p>
            <w:pPr>
              <w:spacing w:after="0"/>
              <w:rPr>
                <w:sz w:val="18"/>
                <w:szCs w:val="18"/>
                <w:color w:val="auto"/>
              </w:rPr>
            </w:pPr>
          </w:p>
        </w:tc>
        <w:tc>
          <w:tcPr>
            <w:tcW w:w="694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12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6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w w:val="79"/>
              </w:rPr>
              <w:t>168</w:t>
            </w:r>
          </w:p>
        </w:tc>
        <w:tc>
          <w:tcPr>
            <w:tcW w:w="260" w:type="dxa"/>
            <w:vAlign w:val="bottom"/>
            <w:shd w:val="clear" w:color="auto" w:fill="CCEEFF"/>
          </w:tcPr>
          <w:p>
            <w:pPr>
              <w:spacing w:after="0"/>
              <w:rPr>
                <w:sz w:val="18"/>
                <w:szCs w:val="18"/>
                <w:color w:val="auto"/>
              </w:rPr>
            </w:pPr>
          </w:p>
        </w:tc>
        <w:tc>
          <w:tcPr>
            <w:tcW w:w="420" w:type="dxa"/>
            <w:vAlign w:val="bottom"/>
            <w:gridSpan w:val="3"/>
            <w:shd w:val="clear" w:color="auto" w:fill="CCEEFF"/>
          </w:tcPr>
          <w:p>
            <w:pPr>
              <w:ind w:left="320"/>
              <w:spacing w:after="0"/>
              <w:rPr>
                <w:sz w:val="20"/>
                <w:szCs w:val="20"/>
                <w:color w:val="auto"/>
              </w:rPr>
            </w:pPr>
            <w:r>
              <w:rPr>
                <w:rFonts w:ascii="Arial" w:cs="Arial" w:eastAsia="Arial" w:hAnsi="Arial"/>
                <w:sz w:val="18"/>
                <w:szCs w:val="18"/>
                <w:color w:val="auto"/>
                <w:w w:val="79"/>
              </w:rPr>
              <w:t>$</w:t>
            </w:r>
          </w:p>
        </w:tc>
        <w:tc>
          <w:tcPr>
            <w:tcW w:w="38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w w:val="79"/>
              </w:rPr>
              <w:t>129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940" w:type="dxa"/>
            <w:vAlign w:val="bottom"/>
          </w:tcPr>
          <w:p>
            <w:pPr>
              <w:spacing w:after="0"/>
              <w:rPr>
                <w:sz w:val="20"/>
                <w:szCs w:val="20"/>
                <w:color w:val="auto"/>
              </w:rPr>
            </w:pPr>
            <w:r>
              <w:rPr>
                <w:rFonts w:ascii="Arial" w:cs="Arial" w:eastAsia="Arial" w:hAnsi="Arial"/>
                <w:sz w:val="18"/>
                <w:szCs w:val="18"/>
                <w:color w:val="auto"/>
              </w:rPr>
              <w:t>Selling and marketing</w:t>
            </w: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gridSpan w:val="3"/>
          </w:tcPr>
          <w:p>
            <w:pPr>
              <w:ind w:lef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gridSpan w:val="3"/>
          </w:tcPr>
          <w:p>
            <w:pPr>
              <w:ind w:lef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94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40" w:type="dxa"/>
            <w:vAlign w:val="bottom"/>
            <w:tcBorders>
              <w:bottom w:val="single" w:sz="8" w:color="auto"/>
            </w:tcBorders>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460" w:type="dxa"/>
            <w:vAlign w:val="bottom"/>
            <w:tcBorders>
              <w:bottom w:val="single" w:sz="8" w:color="auto"/>
            </w:tcBorders>
            <w:gridSpan w:val="2"/>
            <w:shd w:val="clear" w:color="auto" w:fill="CCEEFF"/>
          </w:tcPr>
          <w:p>
            <w:pPr>
              <w:ind w:left="200"/>
              <w:spacing w:after="0"/>
              <w:rPr>
                <w:sz w:val="20"/>
                <w:szCs w:val="20"/>
                <w:color w:val="auto"/>
              </w:rPr>
            </w:pPr>
            <w:r>
              <w:rPr>
                <w:rFonts w:ascii="Arial" w:cs="Arial" w:eastAsia="Arial" w:hAnsi="Arial"/>
                <w:sz w:val="18"/>
                <w:szCs w:val="18"/>
                <w:color w:val="auto"/>
                <w:w w:val="79"/>
              </w:rPr>
              <w:t>451</w:t>
            </w: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380" w:type="dxa"/>
            <w:vAlign w:val="bottom"/>
            <w:tcBorders>
              <w:bottom w:val="single" w:sz="8" w:color="auto"/>
            </w:tcBorders>
            <w:gridSpan w:val="2"/>
            <w:shd w:val="clear" w:color="auto" w:fill="CCEEFF"/>
          </w:tcPr>
          <w:p>
            <w:pPr>
              <w:ind w:left="120"/>
              <w:spacing w:after="0"/>
              <w:rPr>
                <w:sz w:val="20"/>
                <w:szCs w:val="20"/>
                <w:color w:val="auto"/>
              </w:rPr>
            </w:pPr>
            <w:r>
              <w:rPr>
                <w:rFonts w:ascii="Arial" w:cs="Arial" w:eastAsia="Arial" w:hAnsi="Arial"/>
                <w:sz w:val="18"/>
                <w:szCs w:val="18"/>
                <w:color w:val="auto"/>
                <w:w w:val="79"/>
              </w:rPr>
              <w:t>457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20" w:type="dxa"/>
            <w:vAlign w:val="bottom"/>
          </w:tcPr>
          <w:p>
            <w:pPr>
              <w:spacing w:after="0"/>
              <w:rPr>
                <w:sz w:val="19"/>
                <w:szCs w:val="19"/>
                <w:color w:val="auto"/>
              </w:rPr>
            </w:pPr>
          </w:p>
        </w:tc>
        <w:tc>
          <w:tcPr>
            <w:tcW w:w="6940" w:type="dxa"/>
            <w:vAlign w:val="bottom"/>
          </w:tcPr>
          <w:p>
            <w:pPr>
              <w:spacing w:after="0"/>
              <w:rPr>
                <w:sz w:val="19"/>
                <w:szCs w:val="19"/>
                <w:color w:val="auto"/>
              </w:rPr>
            </w:pPr>
          </w:p>
        </w:tc>
        <w:tc>
          <w:tcPr>
            <w:tcW w:w="120" w:type="dxa"/>
            <w:vAlign w:val="bottom"/>
            <w:gridSpan w:val="2"/>
          </w:tcPr>
          <w:p>
            <w:pPr>
              <w:jc w:val="right"/>
              <w:spacing w:after="0"/>
              <w:rPr>
                <w:sz w:val="20"/>
                <w:szCs w:val="20"/>
                <w:color w:val="auto"/>
              </w:rPr>
            </w:pPr>
            <w:r>
              <w:rPr>
                <w:rFonts w:ascii="Arial" w:cs="Arial" w:eastAsia="Arial" w:hAnsi="Arial"/>
                <w:sz w:val="15"/>
                <w:szCs w:val="15"/>
                <w:color w:val="auto"/>
                <w:w w:val="71"/>
              </w:rPr>
              <w:t>$</w:t>
            </w:r>
          </w:p>
        </w:tc>
        <w:tc>
          <w:tcPr>
            <w:tcW w:w="460" w:type="dxa"/>
            <w:vAlign w:val="bottom"/>
            <w:gridSpan w:val="2"/>
          </w:tcPr>
          <w:p>
            <w:pPr>
              <w:ind w:left="200"/>
              <w:spacing w:after="0"/>
              <w:rPr>
                <w:sz w:val="20"/>
                <w:szCs w:val="20"/>
                <w:color w:val="auto"/>
              </w:rPr>
            </w:pPr>
            <w:r>
              <w:rPr>
                <w:rFonts w:ascii="Arial" w:cs="Arial" w:eastAsia="Arial" w:hAnsi="Arial"/>
                <w:sz w:val="18"/>
                <w:szCs w:val="18"/>
                <w:color w:val="auto"/>
                <w:w w:val="79"/>
              </w:rPr>
              <w:t>619</w:t>
            </w:r>
          </w:p>
        </w:tc>
        <w:tc>
          <w:tcPr>
            <w:tcW w:w="260" w:type="dxa"/>
            <w:vAlign w:val="bottom"/>
          </w:tcPr>
          <w:p>
            <w:pPr>
              <w:spacing w:after="0"/>
              <w:rPr>
                <w:sz w:val="19"/>
                <w:szCs w:val="19"/>
                <w:color w:val="auto"/>
              </w:rPr>
            </w:pPr>
          </w:p>
        </w:tc>
        <w:tc>
          <w:tcPr>
            <w:tcW w:w="420" w:type="dxa"/>
            <w:vAlign w:val="bottom"/>
            <w:gridSpan w:val="3"/>
          </w:tcPr>
          <w:p>
            <w:pPr>
              <w:ind w:left="320"/>
              <w:spacing w:after="0"/>
              <w:rPr>
                <w:sz w:val="20"/>
                <w:szCs w:val="20"/>
                <w:color w:val="auto"/>
              </w:rPr>
            </w:pPr>
            <w:r>
              <w:rPr>
                <w:rFonts w:ascii="Arial" w:cs="Arial" w:eastAsia="Arial" w:hAnsi="Arial"/>
                <w:sz w:val="18"/>
                <w:szCs w:val="18"/>
                <w:color w:val="auto"/>
                <w:w w:val="79"/>
              </w:rPr>
              <w:t>$</w:t>
            </w:r>
          </w:p>
        </w:tc>
        <w:tc>
          <w:tcPr>
            <w:tcW w:w="380" w:type="dxa"/>
            <w:vAlign w:val="bottom"/>
            <w:gridSpan w:val="2"/>
          </w:tcPr>
          <w:p>
            <w:pPr>
              <w:ind w:left="120"/>
              <w:spacing w:after="0"/>
              <w:rPr>
                <w:sz w:val="20"/>
                <w:szCs w:val="20"/>
                <w:color w:val="auto"/>
              </w:rPr>
            </w:pPr>
            <w:r>
              <w:rPr>
                <w:rFonts w:ascii="Arial" w:cs="Arial" w:eastAsia="Arial" w:hAnsi="Arial"/>
                <w:sz w:val="18"/>
                <w:szCs w:val="18"/>
                <w:color w:val="auto"/>
                <w:w w:val="79"/>
              </w:rPr>
              <w:t>586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6940" w:type="dxa"/>
            <w:vAlign w:val="bottom"/>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remaining facility lease charges included in the restructuring liabilities will be paid out through fiscal 2018.</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Commitments and Contingencies</w:t>
      </w:r>
    </w:p>
    <w:p>
      <w:pPr>
        <w:spacing w:after="0" w:line="90" w:lineRule="exact"/>
        <w:rPr>
          <w:sz w:val="20"/>
          <w:szCs w:val="20"/>
          <w:color w:val="auto"/>
        </w:rPr>
      </w:pPr>
    </w:p>
    <w:p>
      <w:pPr>
        <w:ind w:left="240"/>
        <w:spacing w:after="0"/>
        <w:rPr>
          <w:sz w:val="20"/>
          <w:szCs w:val="20"/>
          <w:color w:val="auto"/>
        </w:rPr>
      </w:pPr>
      <w:r>
        <w:rPr>
          <w:rFonts w:ascii="Arial" w:cs="Arial" w:eastAsia="Arial" w:hAnsi="Arial"/>
          <w:sz w:val="18"/>
          <w:szCs w:val="18"/>
          <w:b w:val="1"/>
          <w:bCs w:val="1"/>
          <w:color w:val="auto"/>
        </w:rPr>
        <w:t>Purchase commitments</w:t>
      </w:r>
    </w:p>
    <w:p>
      <w:pPr>
        <w:spacing w:after="0" w:line="96" w:lineRule="exact"/>
        <w:rPr>
          <w:sz w:val="20"/>
          <w:szCs w:val="20"/>
          <w:color w:val="auto"/>
        </w:rPr>
      </w:pPr>
    </w:p>
    <w:p>
      <w:pPr>
        <w:ind w:right="420" w:firstLine="456"/>
        <w:spacing w:after="0" w:line="259" w:lineRule="auto"/>
        <w:rPr>
          <w:sz w:val="20"/>
          <w:szCs w:val="20"/>
          <w:color w:val="auto"/>
        </w:rPr>
      </w:pPr>
      <w:r>
        <w:rPr>
          <w:rFonts w:ascii="Arial" w:cs="Arial" w:eastAsia="Arial" w:hAnsi="Arial"/>
          <w:sz w:val="18"/>
          <w:szCs w:val="18"/>
          <w:color w:val="auto"/>
        </w:rPr>
        <w:t>Under the Company’s manufacturing relationships with its foundry partners, cancellation of all outstanding purchase orders are allowed but require repayment of all expenses incurred through the date of cancellation. As of April 30, 2011, the total value of open purchase orders with these foundries were approximately $290.3 million.</w:t>
      </w:r>
    </w:p>
    <w:p>
      <w:pPr>
        <w:spacing w:after="0" w:line="127"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360"/>
          </w:cols>
          <w:pgMar w:left="240" w:top="459" w:right="29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40"/>
        <w:spacing w:after="0"/>
        <w:rPr>
          <w:sz w:val="20"/>
          <w:szCs w:val="20"/>
          <w:color w:val="auto"/>
        </w:rPr>
      </w:pPr>
      <w:r>
        <w:rPr>
          <w:rFonts w:ascii="Arial" w:cs="Arial" w:eastAsia="Arial" w:hAnsi="Arial"/>
          <w:sz w:val="18"/>
          <w:szCs w:val="18"/>
          <w:b w:val="1"/>
          <w:bCs w:val="1"/>
          <w:color w:val="auto"/>
        </w:rPr>
        <w:t>Intellectual property indemnification</w:t>
      </w:r>
    </w:p>
    <w:p>
      <w:pPr>
        <w:spacing w:after="0" w:line="96"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The Company has agreed to indemnify certain customers for claims made against the Company’s products, where such claims allege infringement of third party intellectual property rights, including, but not limited to, patents, registered trademarks, and/or copyrights. Under the aforementioned indemnification clauses, the Company may be obligated to defend the customer and pay for the damages awarded against the customer under an infringement claim as well as the customer’s attorneys’ fees and costs. The Company’s indemnification obligations generally do not expire after termination or expiration of the agreement containing the indemnification obligation. In certain cases, there are limits on and exceptions to the Company’s potential liability for indemnification. Although historically the Company has not made significant payments under these indemnification obligations,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193" w:lineRule="exact"/>
        <w:rPr>
          <w:sz w:val="20"/>
          <w:szCs w:val="20"/>
          <w:color w:val="auto"/>
        </w:rPr>
      </w:pPr>
    </w:p>
    <w:p>
      <w:pPr>
        <w:ind w:left="240"/>
        <w:spacing w:after="0"/>
        <w:rPr>
          <w:sz w:val="20"/>
          <w:szCs w:val="20"/>
          <w:color w:val="auto"/>
        </w:rPr>
      </w:pPr>
      <w:r>
        <w:rPr>
          <w:rFonts w:ascii="Arial" w:cs="Arial" w:eastAsia="Arial" w:hAnsi="Arial"/>
          <w:sz w:val="18"/>
          <w:szCs w:val="18"/>
          <w:b w:val="1"/>
          <w:bCs w:val="1"/>
          <w:color w:val="auto"/>
        </w:rPr>
        <w:t>Contingencies</w:t>
      </w:r>
    </w:p>
    <w:p>
      <w:pPr>
        <w:spacing w:after="0" w:line="96"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i w:val="1"/>
          <w:iCs w:val="1"/>
          <w:color w:val="auto"/>
        </w:rPr>
        <w:t>IPO Securities Litigation</w:t>
      </w:r>
      <w:r>
        <w:rPr>
          <w:rFonts w:ascii="Arial" w:cs="Arial" w:eastAsia="Arial" w:hAnsi="Arial"/>
          <w:sz w:val="16"/>
          <w:szCs w:val="16"/>
          <w:color w:val="auto"/>
        </w:rPr>
        <w:t>. In 2001, two putative class action lawsuits were filed in the United States District Court for the Southern District of New York</w:t>
      </w:r>
      <w:r>
        <w:rPr>
          <w:rFonts w:ascii="Arial" w:cs="Arial" w:eastAsia="Arial" w:hAnsi="Arial"/>
          <w:sz w:val="16"/>
          <w:szCs w:val="16"/>
          <w:i w:val="1"/>
          <w:iCs w:val="1"/>
          <w:color w:val="auto"/>
        </w:rPr>
        <w:t xml:space="preserve"> </w:t>
      </w:r>
      <w:r>
        <w:rPr>
          <w:rFonts w:ascii="Arial" w:cs="Arial" w:eastAsia="Arial" w:hAnsi="Arial"/>
          <w:sz w:val="16"/>
          <w:szCs w:val="16"/>
          <w:color w:val="auto"/>
        </w:rPr>
        <w:t>concerning certain alleged underwriting practices related to the Company’s initial public offering (the “IPO”) on June 29, 2000. The actions were consolidated and a consolidated complaint was filed, naming as defendants certain investment banks that participated in the IPO, the Company, and two of its officers, one of whom is also a director. Plaintiffs claim that defendants violated certain provisions of the Securities Act of 1933, as amended, and the Securities Exchange Act of 1934, as amended (the “Exchange Act”), by allegedly failing to disclose that the underwriters received “excessive” and undisclosed commissions and entered into unlawful “tie-in” agreements with certain of their clients. The consolidated complaint seeks unspecified damages, interest and fees. In addition, this case has been coordinated with hundreds of other lawsuits filed by plaintiffs against underwriters and issuers for approximately 300 other IPOs. Defendants in the coordinated proceedings moved to dismiss the actions. In February 2003, the trial court granted the motions in part and denied them in part, allowing certain claims to proceed.</w:t>
      </w:r>
    </w:p>
    <w:p>
      <w:pPr>
        <w:spacing w:after="0" w:line="120"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The parties have reached a global settlement of the coordinated litigation. Under the settlement, the insurers will pay the full amount of settlement share allocated to the Company, and the Company will bear no financial liability. The Company and other defendants will receive complete dismissals from the case. In 2009, the Court issued an order of final approval of the settlement. Certain objectors filed appeals. A number of those appeals have been dismissed. In May 2011, the appellate court issued an order remanding the remaining appeals to district court for determination of certain matters. If for any reason the settlement does not become effective, the Company believes it has meritorious defenses to the claims against it and intends to defend the action vigorously.</w:t>
      </w:r>
    </w:p>
    <w:p>
      <w:pPr>
        <w:spacing w:after="0" w:line="116"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i w:val="1"/>
          <w:iCs w:val="1"/>
          <w:color w:val="auto"/>
        </w:rPr>
        <w:t>Section 16(b) Litigation</w:t>
      </w:r>
      <w:r>
        <w:rPr>
          <w:rFonts w:ascii="Arial" w:cs="Arial" w:eastAsia="Arial" w:hAnsi="Arial"/>
          <w:sz w:val="16"/>
          <w:szCs w:val="16"/>
          <w:color w:val="auto"/>
        </w:rPr>
        <w:t>. On October 9, 2007, a purported shareholder of the Company filed a complaint for violation of Section 16(b) of the Exchange Act,</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which prohibits short swing trading, against the Company’s IPO underwriters. The complaint </w:t>
      </w:r>
      <w:r>
        <w:rPr>
          <w:rFonts w:ascii="Arial" w:cs="Arial" w:eastAsia="Arial" w:hAnsi="Arial"/>
          <w:sz w:val="16"/>
          <w:szCs w:val="16"/>
          <w:i w:val="1"/>
          <w:iCs w:val="1"/>
          <w:color w:val="auto"/>
        </w:rPr>
        <w:t>Vanessa Simmonds v. The Goldman Sachs Group, et al.</w:t>
      </w:r>
      <w:r>
        <w:rPr>
          <w:rFonts w:ascii="Arial" w:cs="Arial" w:eastAsia="Arial" w:hAnsi="Arial"/>
          <w:sz w:val="16"/>
          <w:szCs w:val="16"/>
          <w:color w:val="auto"/>
        </w:rPr>
        <w:t>, Case</w:t>
      </w:r>
    </w:p>
    <w:p>
      <w:pPr>
        <w:ind w:right="40"/>
        <w:spacing w:after="0" w:line="288" w:lineRule="auto"/>
        <w:rPr>
          <w:sz w:val="20"/>
          <w:szCs w:val="20"/>
          <w:color w:val="auto"/>
        </w:rPr>
      </w:pPr>
      <w:r>
        <w:rPr>
          <w:rFonts w:ascii="Arial" w:cs="Arial" w:eastAsia="Arial" w:hAnsi="Arial"/>
          <w:sz w:val="16"/>
          <w:szCs w:val="16"/>
          <w:color w:val="auto"/>
        </w:rPr>
        <w:t>No. C07-1632 filed in District Court for the Western District of Washington, seeks the recovery of short swing profits. The Company is named as a nominal defendant only, and no recovery is sought from the Company. In March 2009, the district court granted a motion to dismiss filed by the underwriter defendants, which caused the case against the Company to be dismissed. The plaintiff appealed to the U.S. Court of Appeals for the Ninth Circuit, and in December 2010, the Ninth Circuit reversed the dismissal and remanded to the district court. On January 25, 2011, the Ninth Circuit entered an Order staying the mandate pending the filing of petitions for writ of certiorari in the United States Supreme Court by the underwriter defendants. No discovery has taken place. Both sides have filed petitions for writ of certiorari to the United States Supreme Court. If either petition is granted, it will take at least six months for the Supreme Court to process the case. If the petitions are both denied, the case will be remanded to the district court for further proceedings.</w:t>
      </w:r>
    </w:p>
    <w:p>
      <w:pPr>
        <w:spacing w:after="0" w:line="123" w:lineRule="exact"/>
        <w:rPr>
          <w:sz w:val="20"/>
          <w:szCs w:val="20"/>
          <w:color w:val="auto"/>
        </w:rPr>
      </w:pPr>
    </w:p>
    <w:p>
      <w:pPr>
        <w:ind w:right="160" w:firstLine="456"/>
        <w:spacing w:after="0" w:line="306" w:lineRule="auto"/>
        <w:rPr>
          <w:sz w:val="20"/>
          <w:szCs w:val="20"/>
          <w:color w:val="auto"/>
        </w:rPr>
      </w:pPr>
      <w:r>
        <w:rPr>
          <w:rFonts w:ascii="Arial" w:cs="Arial" w:eastAsia="Arial" w:hAnsi="Arial"/>
          <w:sz w:val="16"/>
          <w:szCs w:val="16"/>
          <w:i w:val="1"/>
          <w:iCs w:val="1"/>
          <w:color w:val="auto"/>
        </w:rPr>
        <w:t>Jasmine Networks Litigation</w:t>
      </w:r>
      <w:r>
        <w:rPr>
          <w:rFonts w:ascii="Arial" w:cs="Arial" w:eastAsia="Arial" w:hAnsi="Arial"/>
          <w:sz w:val="16"/>
          <w:szCs w:val="16"/>
          <w:color w:val="auto"/>
        </w:rPr>
        <w:t>. On September 12, 2001, Jasmine Networks, Inc. (“Jasmine”) filed a lawsuit in the Santa Clara County Superior Court</w:t>
      </w:r>
      <w:r>
        <w:rPr>
          <w:rFonts w:ascii="Arial" w:cs="Arial" w:eastAsia="Arial" w:hAnsi="Arial"/>
          <w:sz w:val="16"/>
          <w:szCs w:val="16"/>
          <w:i w:val="1"/>
          <w:iCs w:val="1"/>
          <w:color w:val="auto"/>
        </w:rPr>
        <w:t xml:space="preserve"> </w:t>
      </w:r>
      <w:r>
        <w:rPr>
          <w:rFonts w:ascii="Arial" w:cs="Arial" w:eastAsia="Arial" w:hAnsi="Arial"/>
          <w:sz w:val="16"/>
          <w:szCs w:val="16"/>
          <w:color w:val="auto"/>
        </w:rPr>
        <w:t>alleging claims against Marvell Semiconductor, Inc. (“MSI”) and three of its officers for allegedly improperly obtaining and using information and technologies during the course of the negotiations with its personnel regarding the potential acquisition of certain Jasmine assets by MSI.</w:t>
      </w:r>
    </w:p>
    <w:p>
      <w:pPr>
        <w:spacing w:after="0" w:line="107"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color w:val="auto"/>
        </w:rPr>
        <w:t>The case proceeded to trial on September 20, 2010. On November 24, 2010, a Santa Clara County jury returned a verdict in favor of MSI on all claims. On January 7, 2011, the Court entered judgment in MSI’s favor. Pursuant to California Civil Procedure provisions, Jasmine filed motions for a new trial and for a judgment notwithstanding the verdict. These motions were heard by the Court on February 25, 2011 and, later denied in written orders, Jasmine filed a notice of appeal in March 2011 and MSI intends to contest any such appeal vigorously. The Company does not believe, based on currently available facts and circumstances, that it is reasonably possible to predict the final outcome of this case and, as such, the Company has not accrued for any amount as of April 30, 2011.</w:t>
      </w:r>
    </w:p>
    <w:p>
      <w:pPr>
        <w:spacing w:after="0" w:line="144"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i w:val="1"/>
          <w:iCs w:val="1"/>
          <w:color w:val="auto"/>
        </w:rPr>
        <w:t>Wage and Hour Class Action</w:t>
      </w:r>
      <w:r>
        <w:rPr>
          <w:rFonts w:ascii="Arial" w:cs="Arial" w:eastAsia="Arial" w:hAnsi="Arial"/>
          <w:sz w:val="18"/>
          <w:szCs w:val="18"/>
          <w:color w:val="auto"/>
        </w:rPr>
        <w:t>. On October 18, 2006, Dan Holton (“Holton”), a former employee of MSI, filed a civil complaint in Santa Clara County</w:t>
      </w:r>
      <w:r>
        <w:rPr>
          <w:rFonts w:ascii="Arial" w:cs="Arial" w:eastAsia="Arial" w:hAnsi="Arial"/>
          <w:sz w:val="18"/>
          <w:szCs w:val="18"/>
          <w:i w:val="1"/>
          <w:iCs w:val="1"/>
          <w:color w:val="auto"/>
        </w:rPr>
        <w:t xml:space="preserve"> </w:t>
      </w:r>
      <w:r>
        <w:rPr>
          <w:rFonts w:ascii="Arial" w:cs="Arial" w:eastAsia="Arial" w:hAnsi="Arial"/>
          <w:sz w:val="18"/>
          <w:szCs w:val="18"/>
          <w:color w:val="auto"/>
        </w:rPr>
        <w:t>Superior Court. Holton alleges that MSI misclassified him as an exempt employee. Holton claims that due to its misclassification MSI owes him unpaid wages for overtime, penalties for missed meal periods, and various other penalties under the California Labor Code, as well as interest. Holton also pursues a cause of action for unfair business practices under the California Business &amp; Profession Code. Holton brought his complaint as a class action. On July 8, 2009, the Court granted certification of the following class: “All Individual Contributor Engineers who held the title of PCB Designer, Associate Engineer, Engineer, Staff Engineer and Senior Engineers, who at any time during the</w:t>
      </w:r>
    </w:p>
    <w:p>
      <w:pPr>
        <w:spacing w:after="0" w:line="13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420"/>
          </w:cols>
          <w:pgMar w:left="240" w:top="459" w:right="23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20"/>
        <w:spacing w:after="0" w:line="306" w:lineRule="auto"/>
        <w:rPr>
          <w:sz w:val="20"/>
          <w:szCs w:val="20"/>
          <w:color w:val="auto"/>
        </w:rPr>
      </w:pPr>
      <w:r>
        <w:rPr>
          <w:rFonts w:ascii="Arial" w:cs="Arial" w:eastAsia="Arial" w:hAnsi="Arial"/>
          <w:sz w:val="16"/>
          <w:szCs w:val="16"/>
          <w:color w:val="auto"/>
        </w:rPr>
        <w:t>class period while holding these positions did not have a degree above a baccalaureate degree nor a degree above a baccalaureate degree in a field of science related to the work performed, and worked for MSI in California, at any time from October 19, 2002 through the present.” MSI disputes all of plaintiff’s class claims, and intends to defend this matter vigorously. The matter has been set for trial on September 26, 2011.</w:t>
      </w:r>
    </w:p>
    <w:p>
      <w:pPr>
        <w:spacing w:after="0" w:line="107"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i w:val="1"/>
          <w:iCs w:val="1"/>
          <w:color w:val="auto"/>
        </w:rPr>
        <w:t xml:space="preserve">Carnegie Mellon Litigation. </w:t>
      </w:r>
      <w:r>
        <w:rPr>
          <w:rFonts w:ascii="Arial" w:cs="Arial" w:eastAsia="Arial" w:hAnsi="Arial"/>
          <w:sz w:val="16"/>
          <w:szCs w:val="16"/>
          <w:color w:val="auto"/>
        </w:rPr>
        <w:t>On March 6, 2009, Carnegie Mellon University (“CMU”) filed a complaint in the United States District Court for the Western</w:t>
      </w:r>
      <w:r>
        <w:rPr>
          <w:rFonts w:ascii="Arial" w:cs="Arial" w:eastAsia="Arial" w:hAnsi="Arial"/>
          <w:sz w:val="16"/>
          <w:szCs w:val="16"/>
          <w:i w:val="1"/>
          <w:iCs w:val="1"/>
          <w:color w:val="auto"/>
        </w:rPr>
        <w:t xml:space="preserve"> </w:t>
      </w:r>
      <w:r>
        <w:rPr>
          <w:rFonts w:ascii="Arial" w:cs="Arial" w:eastAsia="Arial" w:hAnsi="Arial"/>
          <w:sz w:val="16"/>
          <w:szCs w:val="16"/>
          <w:color w:val="auto"/>
        </w:rPr>
        <w:t>District of Pennsylvania naming MSI and the Company as defendants and alleging patent infringement. CMU has asserted two patents (U.S. Patent Nos. 6,201,839 and 6,438,180) purportedly relating to read-channel integrated circuit devices and the hard disk drive products incorporating such devices. The complaint seeks unspecified damages and an injunction. On June 1, 2009, MSI and the Company filed their answers and MSI filed counterclaims to the complaint seeking declaratory judgments of non-infringement and invalidity as to both of the asserted patents. The claim construction hearing was held on April 12 and 13, 2010, and a ruling was issued on October 1, 2010. On April 29, 2010, MSI and the Company filed their amended answers and counterclaims. The Company and MSI filed a motion for partial summary judgment of invalidity on December 22, 2010. Two hearings on this matter were held on March 31, 2011 and May 17, 2011, respectively. The Court has not yet scheduled a trial date. MSI and the Company believe that they do not infringe any valid and enforceable claims of the asserted CMU patents and intend to contest this action vigorously.</w:t>
      </w:r>
    </w:p>
    <w:p>
      <w:pPr>
        <w:spacing w:after="0" w:line="120" w:lineRule="exact"/>
        <w:rPr>
          <w:sz w:val="20"/>
          <w:szCs w:val="20"/>
          <w:color w:val="auto"/>
        </w:rPr>
      </w:pPr>
    </w:p>
    <w:p>
      <w:pPr>
        <w:ind w:right="120" w:firstLine="456"/>
        <w:spacing w:after="0" w:line="255" w:lineRule="auto"/>
        <w:rPr>
          <w:sz w:val="20"/>
          <w:szCs w:val="20"/>
          <w:color w:val="auto"/>
        </w:rPr>
      </w:pPr>
      <w:r>
        <w:rPr>
          <w:rFonts w:ascii="Arial" w:cs="Arial" w:eastAsia="Arial" w:hAnsi="Arial"/>
          <w:sz w:val="18"/>
          <w:szCs w:val="18"/>
          <w:i w:val="1"/>
          <w:iCs w:val="1"/>
          <w:color w:val="auto"/>
        </w:rPr>
        <w:t>Xpoint Patent Litigation</w:t>
      </w:r>
      <w:r>
        <w:rPr>
          <w:rFonts w:ascii="Arial" w:cs="Arial" w:eastAsia="Arial" w:hAnsi="Arial"/>
          <w:sz w:val="18"/>
          <w:szCs w:val="18"/>
          <w:color w:val="auto"/>
        </w:rPr>
        <w:t>. On August 21, 2009, Xpoint Technologies, Inc. filed a complaint in the United States District of Delaware, which names the</w:t>
      </w:r>
      <w:r>
        <w:rPr>
          <w:rFonts w:ascii="Arial" w:cs="Arial" w:eastAsia="Arial" w:hAnsi="Arial"/>
          <w:sz w:val="18"/>
          <w:szCs w:val="18"/>
          <w:i w:val="1"/>
          <w:iCs w:val="1"/>
          <w:color w:val="auto"/>
        </w:rPr>
        <w:t xml:space="preserve"> </w:t>
      </w:r>
      <w:r>
        <w:rPr>
          <w:rFonts w:ascii="Arial" w:cs="Arial" w:eastAsia="Arial" w:hAnsi="Arial"/>
          <w:sz w:val="18"/>
          <w:szCs w:val="18"/>
          <w:color w:val="auto"/>
        </w:rPr>
        <w:t>Company, MSI and thirty-six other companies as defendants. The complaint alleged infringement of U.S. Patent No. 5,913,028 which purportedly relates to data traffic delivery. The complaint seeks unspecified damages and an injunction. A first amended complaint was filed on September 18, 2009 and a second amended complaint was filed on August 20, 2010. On October 28, 2009, the Company was dismissed from the lawsuit. On April 20, 2011, MSI was dismissed from the lawsuit.</w:t>
      </w:r>
    </w:p>
    <w:p>
      <w:pPr>
        <w:spacing w:after="0" w:line="143"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i w:val="1"/>
          <w:iCs w:val="1"/>
          <w:color w:val="auto"/>
        </w:rPr>
        <w:t>USEI Litigation</w:t>
      </w:r>
      <w:r>
        <w:rPr>
          <w:rFonts w:ascii="Arial" w:cs="Arial" w:eastAsia="Arial" w:hAnsi="Arial"/>
          <w:sz w:val="18"/>
          <w:szCs w:val="18"/>
          <w:color w:val="auto"/>
        </w:rPr>
        <w:t>. On October 9, 2009, U.S. Ethernet Innovations, LLC (“USEI”) filed a complaint in the Eastern District of Texas, in which USEI has</w:t>
      </w:r>
      <w:r>
        <w:rPr>
          <w:rFonts w:ascii="Arial" w:cs="Arial" w:eastAsia="Arial" w:hAnsi="Arial"/>
          <w:sz w:val="18"/>
          <w:szCs w:val="18"/>
          <w:i w:val="1"/>
          <w:iCs w:val="1"/>
          <w:color w:val="auto"/>
        </w:rPr>
        <w:t xml:space="preserve"> </w:t>
      </w:r>
      <w:r>
        <w:rPr>
          <w:rFonts w:ascii="Arial" w:cs="Arial" w:eastAsia="Arial" w:hAnsi="Arial"/>
          <w:sz w:val="18"/>
          <w:szCs w:val="18"/>
          <w:color w:val="auto"/>
        </w:rPr>
        <w:t>accused a number of system manufacturers, including the Company’s customers, of patent infringement (the “USEI litigation”). Specifically, USEI has asserted that these customers infringe U.S. Patent Nos. 5,307,459, 5,434,872, 5,732,094, and 5,299,313 (collectively, the “USEI patents in suit”), which purportedly relate to Ethernet technologies. The complaint seeks unspecified damages and an injunction.</w:t>
      </w:r>
    </w:p>
    <w:p>
      <w:pPr>
        <w:spacing w:after="0" w:line="143"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On May 4, 2010, MSI filed a motion to intervene in the USEI litigation, which was granted on May 19, 2010. On July 13, 2010, the Court issued an order granting the Defendants’ motion to transfer the action to the Northern District of California; the case was formally transferred on August 23, 2010. A technology tutorial hearing was held on February 25, 2010. A claim construction hearing is scheduled for October 28, 2011. The Court has not yet set dates for trial. MSI believes that it does not infringe any valid and enforceable claim of the USEI patents in suit, and intends to litigate this action vigorously.</w:t>
      </w:r>
    </w:p>
    <w:p>
      <w:pPr>
        <w:spacing w:after="0" w:line="113" w:lineRule="exact"/>
        <w:rPr>
          <w:sz w:val="20"/>
          <w:szCs w:val="20"/>
          <w:color w:val="auto"/>
        </w:rPr>
      </w:pPr>
    </w:p>
    <w:p>
      <w:pPr>
        <w:ind w:right="40" w:firstLine="456"/>
        <w:spacing w:after="0" w:line="253" w:lineRule="auto"/>
        <w:rPr>
          <w:sz w:val="20"/>
          <w:szCs w:val="20"/>
          <w:color w:val="auto"/>
        </w:rPr>
      </w:pPr>
      <w:r>
        <w:rPr>
          <w:rFonts w:ascii="Arial" w:cs="Arial" w:eastAsia="Arial" w:hAnsi="Arial"/>
          <w:sz w:val="18"/>
          <w:szCs w:val="18"/>
          <w:i w:val="1"/>
          <w:iCs w:val="1"/>
          <w:color w:val="auto"/>
        </w:rPr>
        <w:t xml:space="preserve">Lake Cherokee Patent Litigation. </w:t>
      </w:r>
      <w:r>
        <w:rPr>
          <w:rFonts w:ascii="Arial" w:cs="Arial" w:eastAsia="Arial" w:hAnsi="Arial"/>
          <w:sz w:val="18"/>
          <w:szCs w:val="18"/>
          <w:color w:val="auto"/>
        </w:rPr>
        <w:t>On June 30, 2010, Lake Cherokee Hard Drive Technologies, L.L.C. filed a complaint in the United States District Court</w:t>
      </w:r>
      <w:r>
        <w:rPr>
          <w:rFonts w:ascii="Arial" w:cs="Arial" w:eastAsia="Arial" w:hAnsi="Arial"/>
          <w:sz w:val="18"/>
          <w:szCs w:val="18"/>
          <w:i w:val="1"/>
          <w:iCs w:val="1"/>
          <w:color w:val="auto"/>
        </w:rPr>
        <w:t xml:space="preserve"> </w:t>
      </w:r>
      <w:r>
        <w:rPr>
          <w:rFonts w:ascii="Arial" w:cs="Arial" w:eastAsia="Arial" w:hAnsi="Arial"/>
          <w:sz w:val="18"/>
          <w:szCs w:val="18"/>
          <w:color w:val="auto"/>
        </w:rPr>
        <w:t>in the Eastern District of Texas. The complaint names MSI and seven other defendants, and alleges infringement of United States Patent Nos. 5,844,738 and 5,978,162 (collectively, the “Lake Cherokee patents in suit”). The Lake Cherokee patents in suit are purportedly relating to read-channel integrated circuit devices, and allegedly, to certain unspecified hard disk drive products incorporating such devices. The complaint seeks unspecified damages and a permanent injunction. MSI filed its answer and counterclaims to the complaint on September 13, 2010. The initial scheduling conference was held on February 16, 2011. Defendants filed a motion to transfer on April 1, 2011. Lake Cherokee filed an amended complaint on April 21, 2011. MSI filed its answer and counterclaims to the amended complaint on May 9, 2011. A Markman hearing is scheduled for May 23, 2012, and trial is set for August 5, 2013. MSI intends to vigorously defend this action.</w:t>
      </w:r>
    </w:p>
    <w:p>
      <w:pPr>
        <w:spacing w:after="0" w:line="145"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i w:val="1"/>
          <w:iCs w:val="1"/>
          <w:color w:val="auto"/>
        </w:rPr>
        <w:t xml:space="preserve">APT Patent Litigation. </w:t>
      </w:r>
      <w:r>
        <w:rPr>
          <w:rFonts w:ascii="Arial" w:cs="Arial" w:eastAsia="Arial" w:hAnsi="Arial"/>
          <w:sz w:val="16"/>
          <w:szCs w:val="16"/>
          <w:color w:val="auto"/>
        </w:rPr>
        <w:t>On January 18, 2011, Advanced Processor Technologies LLC (“APT”) filed a complaint in the United States District Court in the</w:t>
      </w:r>
      <w:r>
        <w:rPr>
          <w:rFonts w:ascii="Arial" w:cs="Arial" w:eastAsia="Arial" w:hAnsi="Arial"/>
          <w:sz w:val="16"/>
          <w:szCs w:val="16"/>
          <w:i w:val="1"/>
          <w:iCs w:val="1"/>
          <w:color w:val="auto"/>
        </w:rPr>
        <w:t xml:space="preserve"> </w:t>
      </w:r>
      <w:r>
        <w:rPr>
          <w:rFonts w:ascii="Arial" w:cs="Arial" w:eastAsia="Arial" w:hAnsi="Arial"/>
          <w:sz w:val="16"/>
          <w:szCs w:val="16"/>
          <w:color w:val="auto"/>
        </w:rPr>
        <w:t>Eastern District of Texas. The complaint names MSI and eight other defendants and alleges infringement of United States Patent Nos. 6,047,359 (“’359 patent”) and 5,796,978 (“’978 patent”). The asserted patents purportedly relate to microprocessor technologies. The complaint seeks unspecified damages and a permanent injunction. A first amended complaint was filed on January 26, 2011. The first amended complaint continues to assert the ‘359 patent against MSI, but appears to no longer assert the ‘978 patent against MSI. MSI filed its answer and counterclaims on April 15, 2011. MSI intends to vigorously defend this action.</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420"/>
          </w:cols>
          <w:pgMar w:left="240" w:top="459" w:right="23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i w:val="1"/>
          <w:iCs w:val="1"/>
          <w:color w:val="auto"/>
        </w:rPr>
        <w:t xml:space="preserve">LAMD Patent Litigations. </w:t>
      </w:r>
      <w:r>
        <w:rPr>
          <w:rFonts w:ascii="Arial" w:cs="Arial" w:eastAsia="Arial" w:hAnsi="Arial"/>
          <w:sz w:val="18"/>
          <w:szCs w:val="18"/>
          <w:color w:val="auto"/>
        </w:rPr>
        <w:t>On October 11, 2010, Marvell International Ltd. filed a complaint against Link-A-Media Devices Corporation (“LAMD”) in the</w:t>
      </w:r>
      <w:r>
        <w:rPr>
          <w:rFonts w:ascii="Arial" w:cs="Arial" w:eastAsia="Arial" w:hAnsi="Arial"/>
          <w:sz w:val="18"/>
          <w:szCs w:val="18"/>
          <w:i w:val="1"/>
          <w:iCs w:val="1"/>
          <w:color w:val="auto"/>
        </w:rPr>
        <w:t xml:space="preserve"> </w:t>
      </w:r>
      <w:r>
        <w:rPr>
          <w:rFonts w:ascii="Arial" w:cs="Arial" w:eastAsia="Arial" w:hAnsi="Arial"/>
          <w:sz w:val="18"/>
          <w:szCs w:val="18"/>
          <w:color w:val="auto"/>
        </w:rPr>
        <w:t>United States District Court for the District of Delaware. The complaint asserts that LAMD infringes its United States Patent Nos. 7,328,395, 7,751,138, 7,099,411 and 7,228,485. The complaint seeks unspecified damages and a permanent injunction. A claim construction hearing is scheduled for May 25, 2012, and trial is set for July 23, 2012.</w:t>
      </w:r>
    </w:p>
    <w:p>
      <w:pPr>
        <w:spacing w:after="0" w:line="143" w:lineRule="exact"/>
        <w:rPr>
          <w:sz w:val="20"/>
          <w:szCs w:val="20"/>
          <w:color w:val="auto"/>
        </w:rPr>
      </w:pPr>
    </w:p>
    <w:p>
      <w:pPr>
        <w:jc w:val="both"/>
        <w:ind w:right="340" w:firstLine="456"/>
        <w:spacing w:after="0" w:line="256" w:lineRule="auto"/>
        <w:rPr>
          <w:sz w:val="20"/>
          <w:szCs w:val="20"/>
          <w:color w:val="auto"/>
        </w:rPr>
      </w:pPr>
      <w:r>
        <w:rPr>
          <w:rFonts w:ascii="Arial" w:cs="Arial" w:eastAsia="Arial" w:hAnsi="Arial"/>
          <w:sz w:val="18"/>
          <w:szCs w:val="18"/>
          <w:color w:val="auto"/>
        </w:rPr>
        <w:t>On February 10, 2011, LAMD filed a complaint against MSI in the United States District Court for the Northern District of California. The complaint asserts that MSI infringes LAMD’s United States Patent No. 7,590,927. The complaint seeks unspecified damages and a permanent injunction. MSI filed its answer and counterclaims on May 3, 2011. MSI believes that it does not infringe any valid and enforceable claim of the LAMD patent in suit. MSI intends to litigate both actions vigorously.</w:t>
      </w:r>
    </w:p>
    <w:p>
      <w:pPr>
        <w:spacing w:after="0" w:line="143" w:lineRule="exact"/>
        <w:rPr>
          <w:sz w:val="20"/>
          <w:szCs w:val="20"/>
          <w:color w:val="auto"/>
        </w:rPr>
      </w:pPr>
    </w:p>
    <w:p>
      <w:pPr>
        <w:jc w:val="both"/>
        <w:ind w:right="80" w:firstLine="456"/>
        <w:spacing w:after="0" w:line="306" w:lineRule="auto"/>
        <w:rPr>
          <w:sz w:val="20"/>
          <w:szCs w:val="20"/>
          <w:color w:val="auto"/>
        </w:rPr>
      </w:pPr>
      <w:r>
        <w:rPr>
          <w:rFonts w:ascii="Arial" w:cs="Arial" w:eastAsia="Arial" w:hAnsi="Arial"/>
          <w:sz w:val="16"/>
          <w:szCs w:val="16"/>
          <w:i w:val="1"/>
          <w:iCs w:val="1"/>
          <w:color w:val="auto"/>
        </w:rPr>
        <w:t>MOSAID Litigation</w:t>
      </w:r>
      <w:r>
        <w:rPr>
          <w:rFonts w:ascii="Arial" w:cs="Arial" w:eastAsia="Arial" w:hAnsi="Arial"/>
          <w:sz w:val="16"/>
          <w:szCs w:val="16"/>
          <w:color w:val="auto"/>
        </w:rPr>
        <w:t>. On March 16, 2011, MOSAID Technologies Inc. filed suit in the Eastern District of Texas against MSI and 16 other companies. The</w:t>
      </w:r>
      <w:r>
        <w:rPr>
          <w:rFonts w:ascii="Arial" w:cs="Arial" w:eastAsia="Arial" w:hAnsi="Arial"/>
          <w:sz w:val="16"/>
          <w:szCs w:val="16"/>
          <w:i w:val="1"/>
          <w:iCs w:val="1"/>
          <w:color w:val="auto"/>
        </w:rPr>
        <w:t xml:space="preserve"> </w:t>
      </w:r>
      <w:r>
        <w:rPr>
          <w:rFonts w:ascii="Arial" w:cs="Arial" w:eastAsia="Arial" w:hAnsi="Arial"/>
          <w:sz w:val="16"/>
          <w:szCs w:val="16"/>
          <w:color w:val="auto"/>
        </w:rPr>
        <w:t>suit alleges that the defendants’ products, which operate in compliance with the IEEE 802.11a, 802.11b, 802.11g, and 802.11n standards, infringe the six asserted patents (U.S. Patent nos. 5,131,006; 5,151,920; 5,422,887; 5,706,428; 6,563,768; 6,992,972). MSI intends to vigorously defend this action.</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6"/>
          <w:szCs w:val="16"/>
          <w:i w:val="1"/>
          <w:iCs w:val="1"/>
          <w:color w:val="auto"/>
        </w:rPr>
        <w:t>Azure Networks Litigation</w:t>
      </w:r>
      <w:r>
        <w:rPr>
          <w:rFonts w:ascii="Arial" w:cs="Arial" w:eastAsia="Arial" w:hAnsi="Arial"/>
          <w:sz w:val="16"/>
          <w:szCs w:val="16"/>
          <w:color w:val="auto"/>
        </w:rPr>
        <w:t>. On March 22, 2011, Azure Networks LLC. filed suit in the Eastern District of Texas against MSI and eight other companies.</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The suit alleges that MSI’s Bluetooth products infringe its U.S. Patent No. 7,756,129. MSI intends to vigorously defend this action.</w:t>
      </w:r>
    </w:p>
    <w:p>
      <w:pPr>
        <w:spacing w:after="0" w:line="165"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i w:val="1"/>
          <w:iCs w:val="1"/>
          <w:color w:val="auto"/>
        </w:rPr>
        <w:t xml:space="preserve">General. </w:t>
      </w:r>
      <w:r>
        <w:rPr>
          <w:rFonts w:ascii="Arial" w:cs="Arial" w:eastAsia="Arial" w:hAnsi="Arial"/>
          <w:sz w:val="16"/>
          <w:szCs w:val="16"/>
          <w:color w:val="auto"/>
        </w:rPr>
        <w:t>The Company is also party to various other legal proceedings and claims arising in the normal course of business. The legal proceedings and</w:t>
      </w:r>
      <w:r>
        <w:rPr>
          <w:rFonts w:ascii="Arial" w:cs="Arial" w:eastAsia="Arial" w:hAnsi="Arial"/>
          <w:sz w:val="16"/>
          <w:szCs w:val="16"/>
          <w:i w:val="1"/>
          <w:iCs w:val="1"/>
          <w:color w:val="auto"/>
        </w:rPr>
        <w:t xml:space="preserve"> </w:t>
      </w:r>
      <w:r>
        <w:rPr>
          <w:rFonts w:ascii="Arial" w:cs="Arial" w:eastAsia="Arial" w:hAnsi="Arial"/>
          <w:sz w:val="16"/>
          <w:szCs w:val="16"/>
          <w:color w:val="auto"/>
        </w:rPr>
        <w:t>claims described above could result in substantial costs and could divert the attention and resources of the Company’s management. Although the legal responsibility and financial impact with respect to these proceedings and claims cannot currently be ascertained, except as otherwise indicated above, an unfavorable outcome in such actions could have a material adverse effect on the Company’s cash flows. For the matters that have not reached a settlement, the Company is unable to estimate a possible loss, or range of loss, with respect to the above mentioned legal matters. Litigation is subject to inherent uncertainties and unfavorable rulings could occur. An unfavorable ruling in litigation could require the Company to pay damages or one-time license fees or royalty payments, which could adversely impact gross margins in future periods, or could prevent the Company from manufacturing or selling some of its products or limit or restrict the type of work that employees involved in such litigation may perform for the Company. The Company believes that it competes lawfully and that its marketing, business and intellectual property benefit is customers and shareholders, and it will continue to conduct a vigorous defense in these proceedings. There can be no assurance that these matters will be resolved in a manner that is not adverse to the Company’s business, financial condition, results of operations or cash flows.</w:t>
      </w:r>
    </w:p>
    <w:p>
      <w:pPr>
        <w:spacing w:after="0" w:line="20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90" w:lineRule="exact"/>
        <w:rPr>
          <w:sz w:val="20"/>
          <w:szCs w:val="20"/>
          <w:color w:val="auto"/>
        </w:rPr>
      </w:pPr>
    </w:p>
    <w:p>
      <w:pPr>
        <w:ind w:right="60" w:firstLine="456"/>
        <w:spacing w:after="0" w:line="287"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include intellectual property indemnities to the Company’s customers in connection with the sales of its products, indemnities for liabilities associated with the infringement of other parties’ technology based upon the Company’s products,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The majority of these indemnities, commitments and guarantees do not provide for any limitation of the maximum potential future payments that the Company could be obligated to make. The Company has not recorded any liability for these indemnities, commitments and guarantees in the accompanying Consolidated Balance Sheets. The Company does, however, accrue for losses for any known contingent liability, including those that may arise from indemnification provisions, when future payment is probable.</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Shareholders’ Equity</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Stock plans</w:t>
      </w:r>
    </w:p>
    <w:p>
      <w:pPr>
        <w:spacing w:after="0" w:line="90" w:lineRule="exact"/>
        <w:rPr>
          <w:sz w:val="20"/>
          <w:szCs w:val="20"/>
          <w:color w:val="auto"/>
        </w:rPr>
      </w:pPr>
    </w:p>
    <w:p>
      <w:pPr>
        <w:jc w:val="both"/>
        <w:ind w:right="340" w:firstLine="456"/>
        <w:spacing w:after="0" w:line="259" w:lineRule="auto"/>
        <w:rPr>
          <w:sz w:val="20"/>
          <w:szCs w:val="20"/>
          <w:color w:val="auto"/>
        </w:rPr>
      </w:pPr>
      <w:r>
        <w:rPr>
          <w:rFonts w:ascii="Arial" w:cs="Arial" w:eastAsia="Arial" w:hAnsi="Arial"/>
          <w:sz w:val="18"/>
          <w:szCs w:val="18"/>
          <w:color w:val="auto"/>
        </w:rPr>
        <w:t>During the three months ended April 30, 2011, the Company granted stock options with a market price condition for a group of senior employees. The Company believes that such awards better align the interests of those employees with the interests of its shareholders. If the market price condition is not met within five years from the date of grant, the options automatically expire.</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400"/>
          </w:cols>
          <w:pgMar w:left="240" w:top="459" w:right="25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5"/>
          <w:szCs w:val="15"/>
          <w:color w:val="auto"/>
        </w:rPr>
        <w:t>Activity under the Company’s stock option plans for the three months ended April 30, 2011 is summarized below (in thousands, except per share amounts):</w:t>
      </w:r>
    </w:p>
    <w:p>
      <w:pPr>
        <w:spacing w:after="0" w:line="24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140" w:type="dxa"/>
            <w:vAlign w:val="bottom"/>
          </w:tcPr>
          <w:p>
            <w:pPr>
              <w:spacing w:after="0"/>
              <w:rPr>
                <w:sz w:val="14"/>
                <w:szCs w:val="14"/>
                <w:color w:val="auto"/>
              </w:rPr>
            </w:pPr>
          </w:p>
        </w:tc>
        <w:tc>
          <w:tcPr>
            <w:tcW w:w="1980" w:type="dxa"/>
            <w:vAlign w:val="bottom"/>
            <w:tcBorders>
              <w:bottom w:val="single" w:sz="8" w:color="auto"/>
            </w:tcBorders>
            <w:gridSpan w:val="4"/>
          </w:tcPr>
          <w:p>
            <w:pPr>
              <w:jc w:val="right"/>
              <w:ind w:right="317"/>
              <w:spacing w:after="0"/>
              <w:rPr>
                <w:sz w:val="20"/>
                <w:szCs w:val="20"/>
                <w:color w:val="auto"/>
              </w:rPr>
            </w:pPr>
            <w:r>
              <w:rPr>
                <w:rFonts w:ascii="Arial" w:cs="Arial" w:eastAsia="Arial" w:hAnsi="Arial"/>
                <w:sz w:val="14"/>
                <w:szCs w:val="14"/>
                <w:b w:val="1"/>
                <w:bCs w:val="1"/>
                <w:color w:val="auto"/>
              </w:rPr>
              <w:t>Time-Based Options</w:t>
            </w:r>
          </w:p>
        </w:tc>
        <w:tc>
          <w:tcPr>
            <w:tcW w:w="420" w:type="dxa"/>
            <w:vAlign w:val="bottom"/>
          </w:tcPr>
          <w:p>
            <w:pPr>
              <w:spacing w:after="0"/>
              <w:rPr>
                <w:sz w:val="14"/>
                <w:szCs w:val="14"/>
                <w:color w:val="auto"/>
              </w:rPr>
            </w:pPr>
          </w:p>
        </w:tc>
        <w:tc>
          <w:tcPr>
            <w:tcW w:w="2200" w:type="dxa"/>
            <w:vAlign w:val="bottom"/>
            <w:tcBorders>
              <w:bottom w:val="single" w:sz="8" w:color="auto"/>
            </w:tcBorders>
            <w:gridSpan w:val="5"/>
          </w:tcPr>
          <w:p>
            <w:pPr>
              <w:ind w:left="440"/>
              <w:spacing w:after="0"/>
              <w:rPr>
                <w:sz w:val="20"/>
                <w:szCs w:val="20"/>
                <w:color w:val="auto"/>
              </w:rPr>
            </w:pPr>
            <w:r>
              <w:rPr>
                <w:rFonts w:ascii="Arial" w:cs="Arial" w:eastAsia="Arial" w:hAnsi="Arial"/>
                <w:sz w:val="14"/>
                <w:szCs w:val="14"/>
                <w:b w:val="1"/>
                <w:bCs w:val="1"/>
                <w:color w:val="auto"/>
              </w:rPr>
              <w:t>Market-Based Options</w:t>
            </w:r>
          </w:p>
        </w:tc>
        <w:tc>
          <w:tcPr>
            <w:tcW w:w="420" w:type="dxa"/>
            <w:vAlign w:val="bottom"/>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gridSpan w:val="2"/>
          </w:tcPr>
          <w:p>
            <w:pPr>
              <w:ind w:left="60"/>
              <w:spacing w:after="0"/>
              <w:rPr>
                <w:sz w:val="20"/>
                <w:szCs w:val="20"/>
                <w:color w:val="auto"/>
              </w:rPr>
            </w:pPr>
            <w:r>
              <w:rPr>
                <w:rFonts w:ascii="Arial" w:cs="Arial" w:eastAsia="Arial" w:hAnsi="Arial"/>
                <w:sz w:val="14"/>
                <w:szCs w:val="14"/>
                <w:b w:val="1"/>
                <w:bCs w:val="1"/>
                <w:color w:val="auto"/>
              </w:rPr>
              <w:t>Total</w:t>
            </w:r>
          </w:p>
        </w:tc>
        <w:tc>
          <w:tcPr>
            <w:tcW w:w="8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1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jc w:val="right"/>
              <w:ind w:right="57"/>
              <w:spacing w:after="0" w:line="129" w:lineRule="exact"/>
              <w:rPr>
                <w:sz w:val="20"/>
                <w:szCs w:val="20"/>
                <w:color w:val="auto"/>
              </w:rPr>
            </w:pPr>
            <w:r>
              <w:rPr>
                <w:rFonts w:ascii="Arial" w:cs="Arial" w:eastAsia="Arial" w:hAnsi="Arial"/>
                <w:sz w:val="14"/>
                <w:szCs w:val="14"/>
                <w:b w:val="1"/>
                <w:bCs w:val="1"/>
                <w:color w:val="auto"/>
                <w:w w:val="88"/>
              </w:rPr>
              <w:t>Weighted</w:t>
            </w:r>
          </w:p>
        </w:tc>
        <w:tc>
          <w:tcPr>
            <w:tcW w:w="4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40" w:type="dxa"/>
            <w:vAlign w:val="bottom"/>
          </w:tcPr>
          <w:p>
            <w:pPr>
              <w:jc w:val="center"/>
              <w:ind w:right="57"/>
              <w:spacing w:after="0" w:line="129" w:lineRule="exact"/>
              <w:rPr>
                <w:sz w:val="20"/>
                <w:szCs w:val="20"/>
                <w:color w:val="auto"/>
              </w:rPr>
            </w:pPr>
            <w:r>
              <w:rPr>
                <w:rFonts w:ascii="Arial" w:cs="Arial" w:eastAsia="Arial" w:hAnsi="Arial"/>
                <w:sz w:val="14"/>
                <w:szCs w:val="14"/>
                <w:b w:val="1"/>
                <w:bCs w:val="1"/>
                <w:color w:val="auto"/>
                <w:w w:val="85"/>
              </w:rPr>
              <w:t>Weighted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140" w:type="dxa"/>
            <w:vAlign w:val="bottom"/>
          </w:tcPr>
          <w:p>
            <w:pPr>
              <w:spacing w:after="0"/>
              <w:rPr>
                <w:sz w:val="12"/>
                <w:szCs w:val="12"/>
                <w:color w:val="auto"/>
              </w:rPr>
            </w:pPr>
          </w:p>
        </w:tc>
        <w:tc>
          <w:tcPr>
            <w:tcW w:w="1160" w:type="dxa"/>
            <w:vAlign w:val="bottom"/>
            <w:gridSpan w:val="2"/>
          </w:tcPr>
          <w:p>
            <w:pPr>
              <w:jc w:val="right"/>
              <w:ind w:right="560"/>
              <w:spacing w:after="0" w:line="149" w:lineRule="exact"/>
              <w:rPr>
                <w:sz w:val="20"/>
                <w:szCs w:val="20"/>
                <w:color w:val="auto"/>
              </w:rPr>
            </w:pPr>
            <w:r>
              <w:rPr>
                <w:rFonts w:ascii="Arial" w:cs="Arial" w:eastAsia="Arial" w:hAnsi="Arial"/>
                <w:sz w:val="14"/>
                <w:szCs w:val="14"/>
                <w:b w:val="1"/>
                <w:bCs w:val="1"/>
                <w:color w:val="auto"/>
              </w:rPr>
              <w:t>Options</w:t>
            </w:r>
          </w:p>
        </w:tc>
        <w:tc>
          <w:tcPr>
            <w:tcW w:w="100" w:type="dxa"/>
            <w:vAlign w:val="bottom"/>
          </w:tcPr>
          <w:p>
            <w:pPr>
              <w:spacing w:after="0"/>
              <w:rPr>
                <w:sz w:val="12"/>
                <w:szCs w:val="12"/>
                <w:color w:val="auto"/>
              </w:rPr>
            </w:pPr>
          </w:p>
        </w:tc>
        <w:tc>
          <w:tcPr>
            <w:tcW w:w="720" w:type="dxa"/>
            <w:vAlign w:val="bottom"/>
          </w:tcPr>
          <w:p>
            <w:pPr>
              <w:jc w:val="right"/>
              <w:ind w:right="97"/>
              <w:spacing w:after="0" w:line="149" w:lineRule="exact"/>
              <w:rPr>
                <w:sz w:val="20"/>
                <w:szCs w:val="20"/>
                <w:color w:val="auto"/>
              </w:rPr>
            </w:pPr>
            <w:r>
              <w:rPr>
                <w:rFonts w:ascii="Arial" w:cs="Arial" w:eastAsia="Arial" w:hAnsi="Arial"/>
                <w:sz w:val="14"/>
                <w:szCs w:val="14"/>
                <w:b w:val="1"/>
                <w:bCs w:val="1"/>
                <w:color w:val="auto"/>
                <w:w w:val="94"/>
              </w:rPr>
              <w:t>Average</w:t>
            </w:r>
          </w:p>
        </w:tc>
        <w:tc>
          <w:tcPr>
            <w:tcW w:w="420" w:type="dxa"/>
            <w:vAlign w:val="bottom"/>
          </w:tcPr>
          <w:p>
            <w:pPr>
              <w:spacing w:after="0"/>
              <w:rPr>
                <w:sz w:val="12"/>
                <w:szCs w:val="12"/>
                <w:color w:val="auto"/>
              </w:rPr>
            </w:pPr>
          </w:p>
        </w:tc>
        <w:tc>
          <w:tcPr>
            <w:tcW w:w="940" w:type="dxa"/>
            <w:vAlign w:val="bottom"/>
            <w:gridSpan w:val="2"/>
          </w:tcPr>
          <w:p>
            <w:pPr>
              <w:ind w:left="140"/>
              <w:spacing w:after="0" w:line="149" w:lineRule="exact"/>
              <w:rPr>
                <w:sz w:val="20"/>
                <w:szCs w:val="20"/>
                <w:color w:val="auto"/>
              </w:rPr>
            </w:pPr>
            <w:r>
              <w:rPr>
                <w:rFonts w:ascii="Arial" w:cs="Arial" w:eastAsia="Arial" w:hAnsi="Arial"/>
                <w:sz w:val="14"/>
                <w:szCs w:val="14"/>
                <w:b w:val="1"/>
                <w:bCs w:val="1"/>
                <w:color w:val="auto"/>
              </w:rPr>
              <w:t>Options</w:t>
            </w:r>
          </w:p>
        </w:tc>
        <w:tc>
          <w:tcPr>
            <w:tcW w:w="200" w:type="dxa"/>
            <w:vAlign w:val="bottom"/>
          </w:tcPr>
          <w:p>
            <w:pPr>
              <w:spacing w:after="0"/>
              <w:rPr>
                <w:sz w:val="12"/>
                <w:szCs w:val="12"/>
                <w:color w:val="auto"/>
              </w:rPr>
            </w:pPr>
          </w:p>
        </w:tc>
        <w:tc>
          <w:tcPr>
            <w:tcW w:w="106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w w:val="83"/>
              </w:rPr>
              <w:t>Weighted Average</w:t>
            </w:r>
          </w:p>
        </w:tc>
        <w:tc>
          <w:tcPr>
            <w:tcW w:w="420" w:type="dxa"/>
            <w:vAlign w:val="bottom"/>
          </w:tcPr>
          <w:p>
            <w:pPr>
              <w:spacing w:after="0"/>
              <w:rPr>
                <w:sz w:val="12"/>
                <w:szCs w:val="12"/>
                <w:color w:val="auto"/>
              </w:rPr>
            </w:pPr>
          </w:p>
        </w:tc>
        <w:tc>
          <w:tcPr>
            <w:tcW w:w="860" w:type="dxa"/>
            <w:vAlign w:val="bottom"/>
            <w:gridSpan w:val="2"/>
          </w:tcPr>
          <w:p>
            <w:pPr>
              <w:jc w:val="right"/>
              <w:ind w:right="260"/>
              <w:spacing w:after="0" w:line="149" w:lineRule="exact"/>
              <w:rPr>
                <w:sz w:val="20"/>
                <w:szCs w:val="20"/>
                <w:color w:val="auto"/>
              </w:rPr>
            </w:pPr>
            <w:r>
              <w:rPr>
                <w:rFonts w:ascii="Arial" w:cs="Arial" w:eastAsia="Arial" w:hAnsi="Arial"/>
                <w:sz w:val="14"/>
                <w:szCs w:val="14"/>
                <w:b w:val="1"/>
                <w:bCs w:val="1"/>
                <w:color w:val="auto"/>
              </w:rPr>
              <w:t>Options</w:t>
            </w:r>
          </w:p>
        </w:tc>
        <w:tc>
          <w:tcPr>
            <w:tcW w:w="280" w:type="dxa"/>
            <w:vAlign w:val="bottom"/>
          </w:tcPr>
          <w:p>
            <w:pPr>
              <w:spacing w:after="0"/>
              <w:rPr>
                <w:sz w:val="12"/>
                <w:szCs w:val="12"/>
                <w:color w:val="auto"/>
              </w:rPr>
            </w:pPr>
          </w:p>
        </w:tc>
        <w:tc>
          <w:tcPr>
            <w:tcW w:w="110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w w:val="90"/>
              </w:rPr>
              <w:t>Average Exercise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140" w:type="dxa"/>
            <w:vAlign w:val="bottom"/>
          </w:tcPr>
          <w:p>
            <w:pPr>
              <w:spacing w:after="0"/>
              <w:rPr>
                <w:sz w:val="14"/>
                <w:szCs w:val="14"/>
                <w:color w:val="auto"/>
              </w:rPr>
            </w:pPr>
          </w:p>
        </w:tc>
        <w:tc>
          <w:tcPr>
            <w:tcW w:w="740" w:type="dxa"/>
            <w:vAlign w:val="bottom"/>
          </w:tcPr>
          <w:p>
            <w:pPr>
              <w:jc w:val="right"/>
              <w:spacing w:after="0"/>
              <w:rPr>
                <w:sz w:val="20"/>
                <w:szCs w:val="20"/>
                <w:color w:val="auto"/>
              </w:rPr>
            </w:pPr>
            <w:r>
              <w:rPr>
                <w:rFonts w:ascii="Arial" w:cs="Arial" w:eastAsia="Arial" w:hAnsi="Arial"/>
                <w:sz w:val="14"/>
                <w:szCs w:val="14"/>
                <w:b w:val="1"/>
                <w:bCs w:val="1"/>
                <w:color w:val="auto"/>
                <w:w w:val="87"/>
              </w:rPr>
              <w:t>Outstanding</w:t>
            </w:r>
          </w:p>
        </w:tc>
        <w:tc>
          <w:tcPr>
            <w:tcW w:w="420" w:type="dxa"/>
            <w:vAlign w:val="bottom"/>
          </w:tcPr>
          <w:p>
            <w:pPr>
              <w:spacing w:after="0"/>
              <w:rPr>
                <w:sz w:val="14"/>
                <w:szCs w:val="14"/>
                <w:color w:val="auto"/>
              </w:rPr>
            </w:pPr>
          </w:p>
        </w:tc>
        <w:tc>
          <w:tcPr>
            <w:tcW w:w="820" w:type="dxa"/>
            <w:vAlign w:val="bottom"/>
            <w:gridSpan w:val="2"/>
          </w:tcPr>
          <w:p>
            <w:pPr>
              <w:spacing w:after="0"/>
              <w:rPr>
                <w:sz w:val="20"/>
                <w:szCs w:val="20"/>
                <w:color w:val="auto"/>
              </w:rPr>
            </w:pPr>
            <w:r>
              <w:rPr>
                <w:rFonts w:ascii="Arial" w:cs="Arial" w:eastAsia="Arial" w:hAnsi="Arial"/>
                <w:sz w:val="14"/>
                <w:szCs w:val="14"/>
                <w:b w:val="1"/>
                <w:bCs w:val="1"/>
                <w:color w:val="auto"/>
                <w:w w:val="83"/>
              </w:rPr>
              <w:t>Exercise Price</w:t>
            </w:r>
          </w:p>
        </w:tc>
        <w:tc>
          <w:tcPr>
            <w:tcW w:w="420" w:type="dxa"/>
            <w:vAlign w:val="bottom"/>
          </w:tcPr>
          <w:p>
            <w:pPr>
              <w:spacing w:after="0"/>
              <w:rPr>
                <w:sz w:val="14"/>
                <w:szCs w:val="14"/>
                <w:color w:val="auto"/>
              </w:rPr>
            </w:pPr>
          </w:p>
        </w:tc>
        <w:tc>
          <w:tcPr>
            <w:tcW w:w="940" w:type="dxa"/>
            <w:vAlign w:val="bottom"/>
            <w:gridSpan w:val="2"/>
          </w:tcPr>
          <w:p>
            <w:pPr>
              <w:jc w:val="right"/>
              <w:ind w:right="220"/>
              <w:spacing w:after="0"/>
              <w:rPr>
                <w:sz w:val="20"/>
                <w:szCs w:val="20"/>
                <w:color w:val="auto"/>
              </w:rPr>
            </w:pPr>
            <w:r>
              <w:rPr>
                <w:rFonts w:ascii="Arial" w:cs="Arial" w:eastAsia="Arial" w:hAnsi="Arial"/>
                <w:sz w:val="14"/>
                <w:szCs w:val="14"/>
                <w:b w:val="1"/>
                <w:bCs w:val="1"/>
                <w:color w:val="auto"/>
                <w:w w:val="84"/>
              </w:rPr>
              <w:t>Outstanding</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60" w:type="dxa"/>
            <w:vAlign w:val="bottom"/>
          </w:tcPr>
          <w:p>
            <w:pPr>
              <w:ind w:left="20"/>
              <w:spacing w:after="0"/>
              <w:rPr>
                <w:sz w:val="20"/>
                <w:szCs w:val="20"/>
                <w:color w:val="auto"/>
              </w:rPr>
            </w:pPr>
            <w:r>
              <w:rPr>
                <w:rFonts w:ascii="Arial" w:cs="Arial" w:eastAsia="Arial" w:hAnsi="Arial"/>
                <w:sz w:val="14"/>
                <w:szCs w:val="14"/>
                <w:b w:val="1"/>
                <w:bCs w:val="1"/>
                <w:color w:val="auto"/>
                <w:w w:val="96"/>
              </w:rPr>
              <w:t>Exercise Price</w:t>
            </w:r>
          </w:p>
        </w:tc>
        <w:tc>
          <w:tcPr>
            <w:tcW w:w="420" w:type="dxa"/>
            <w:vAlign w:val="bottom"/>
          </w:tcPr>
          <w:p>
            <w:pPr>
              <w:spacing w:after="0"/>
              <w:rPr>
                <w:sz w:val="14"/>
                <w:szCs w:val="14"/>
                <w:color w:val="auto"/>
              </w:rPr>
            </w:pPr>
          </w:p>
        </w:tc>
        <w:tc>
          <w:tcPr>
            <w:tcW w:w="860" w:type="dxa"/>
            <w:vAlign w:val="bottom"/>
            <w:gridSpan w:val="2"/>
          </w:tcPr>
          <w:p>
            <w:pPr>
              <w:jc w:val="right"/>
              <w:ind w:right="140"/>
              <w:spacing w:after="0"/>
              <w:rPr>
                <w:sz w:val="20"/>
                <w:szCs w:val="20"/>
                <w:color w:val="auto"/>
              </w:rPr>
            </w:pPr>
            <w:r>
              <w:rPr>
                <w:rFonts w:ascii="Arial" w:cs="Arial" w:eastAsia="Arial" w:hAnsi="Arial"/>
                <w:sz w:val="14"/>
                <w:szCs w:val="14"/>
                <w:b w:val="1"/>
                <w:bCs w:val="1"/>
                <w:color w:val="auto"/>
                <w:w w:val="84"/>
              </w:rPr>
              <w:t>Outstanding</w:t>
            </w:r>
          </w:p>
        </w:tc>
        <w:tc>
          <w:tcPr>
            <w:tcW w:w="2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94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87"/>
              </w:rPr>
              <w:t>Price</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4140" w:type="dxa"/>
            <w:vAlign w:val="bottom"/>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96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414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29, 2011</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56,325</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11.96</w:t>
            </w:r>
          </w:p>
        </w:tc>
        <w:tc>
          <w:tcPr>
            <w:tcW w:w="420" w:type="dxa"/>
            <w:vAlign w:val="bottom"/>
            <w:shd w:val="clear" w:color="auto" w:fill="CCEEFF"/>
          </w:tcPr>
          <w:p>
            <w:pPr>
              <w:spacing w:after="0"/>
              <w:rPr>
                <w:sz w:val="18"/>
                <w:szCs w:val="18"/>
                <w:color w:val="auto"/>
              </w:rPr>
            </w:pPr>
          </w:p>
        </w:tc>
        <w:tc>
          <w:tcPr>
            <w:tcW w:w="720" w:type="dxa"/>
            <w:vAlign w:val="bottom"/>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960" w:type="dxa"/>
            <w:vAlign w:val="bottom"/>
            <w:shd w:val="clear" w:color="auto" w:fill="CCEEFF"/>
          </w:tcPr>
          <w:p>
            <w:pPr>
              <w:ind w:left="700"/>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56,325</w:t>
            </w:r>
          </w:p>
        </w:tc>
        <w:tc>
          <w:tcPr>
            <w:tcW w:w="44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11.96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40" w:type="dxa"/>
            <w:vAlign w:val="bottom"/>
          </w:tcPr>
          <w:p>
            <w:pPr>
              <w:ind w:left="420"/>
              <w:spacing w:after="0"/>
              <w:rPr>
                <w:sz w:val="20"/>
                <w:szCs w:val="20"/>
                <w:color w:val="auto"/>
              </w:rPr>
            </w:pPr>
            <w:r>
              <w:rPr>
                <w:rFonts w:ascii="Arial" w:cs="Arial" w:eastAsia="Arial" w:hAnsi="Arial"/>
                <w:sz w:val="18"/>
                <w:szCs w:val="18"/>
                <w:color w:val="auto"/>
              </w:rPr>
              <w:t>Granted</w:t>
            </w:r>
          </w:p>
        </w:tc>
        <w:tc>
          <w:tcPr>
            <w:tcW w:w="1160" w:type="dxa"/>
            <w:vAlign w:val="bottom"/>
            <w:gridSpan w:val="2"/>
          </w:tcPr>
          <w:p>
            <w:pPr>
              <w:jc w:val="right"/>
              <w:ind w:right="420"/>
              <w:spacing w:after="0"/>
              <w:rPr>
                <w:sz w:val="20"/>
                <w:szCs w:val="20"/>
                <w:color w:val="auto"/>
              </w:rPr>
            </w:pPr>
            <w:r>
              <w:rPr>
                <w:rFonts w:ascii="Arial" w:cs="Arial" w:eastAsia="Arial" w:hAnsi="Arial"/>
                <w:sz w:val="18"/>
                <w:szCs w:val="18"/>
                <w:color w:val="auto"/>
              </w:rPr>
              <w:t>2,499</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15.55</w:t>
            </w:r>
          </w:p>
        </w:tc>
        <w:tc>
          <w:tcPr>
            <w:tcW w:w="1360" w:type="dxa"/>
            <w:vAlign w:val="bottom"/>
            <w:gridSpan w:val="3"/>
          </w:tcPr>
          <w:p>
            <w:pPr>
              <w:jc w:val="right"/>
              <w:ind w:right="220"/>
              <w:spacing w:after="0"/>
              <w:rPr>
                <w:sz w:val="20"/>
                <w:szCs w:val="20"/>
                <w:color w:val="auto"/>
              </w:rPr>
            </w:pPr>
            <w:r>
              <w:rPr>
                <w:rFonts w:ascii="Arial" w:cs="Arial" w:eastAsia="Arial" w:hAnsi="Arial"/>
                <w:sz w:val="18"/>
                <w:szCs w:val="18"/>
                <w:color w:val="auto"/>
              </w:rPr>
              <w:t>3,149</w:t>
            </w:r>
          </w:p>
        </w:tc>
        <w:tc>
          <w:tcPr>
            <w:tcW w:w="300" w:type="dxa"/>
            <w:vAlign w:val="bottom"/>
            <w:gridSpan w:val="2"/>
          </w:tcPr>
          <w:p>
            <w:pPr>
              <w:ind w:left="200"/>
              <w:spacing w:after="0"/>
              <w:rPr>
                <w:sz w:val="20"/>
                <w:szCs w:val="20"/>
                <w:color w:val="auto"/>
              </w:rPr>
            </w:pPr>
            <w:r>
              <w:rPr>
                <w:rFonts w:ascii="Arial" w:cs="Arial" w:eastAsia="Arial" w:hAnsi="Arial"/>
                <w:sz w:val="18"/>
                <w:szCs w:val="18"/>
                <w:color w:val="auto"/>
                <w:w w:val="79"/>
              </w:rPr>
              <w:t>$</w:t>
            </w:r>
          </w:p>
        </w:tc>
        <w:tc>
          <w:tcPr>
            <w:tcW w:w="960" w:type="dxa"/>
            <w:vAlign w:val="bottom"/>
          </w:tcPr>
          <w:p>
            <w:pPr>
              <w:ind w:left="560"/>
              <w:spacing w:after="0"/>
              <w:rPr>
                <w:sz w:val="20"/>
                <w:szCs w:val="20"/>
                <w:color w:val="auto"/>
              </w:rPr>
            </w:pPr>
            <w:r>
              <w:rPr>
                <w:rFonts w:ascii="Arial" w:cs="Arial" w:eastAsia="Arial" w:hAnsi="Arial"/>
                <w:sz w:val="18"/>
                <w:szCs w:val="18"/>
                <w:color w:val="auto"/>
                <w:w w:val="84"/>
              </w:rPr>
              <w:t>15.43</w:t>
            </w:r>
          </w:p>
        </w:tc>
        <w:tc>
          <w:tcPr>
            <w:tcW w:w="1280" w:type="dxa"/>
            <w:vAlign w:val="bottom"/>
            <w:gridSpan w:val="3"/>
          </w:tcPr>
          <w:p>
            <w:pPr>
              <w:jc w:val="right"/>
              <w:ind w:right="140"/>
              <w:spacing w:after="0"/>
              <w:rPr>
                <w:sz w:val="20"/>
                <w:szCs w:val="20"/>
                <w:color w:val="auto"/>
              </w:rPr>
            </w:pPr>
            <w:r>
              <w:rPr>
                <w:rFonts w:ascii="Arial" w:cs="Arial" w:eastAsia="Arial" w:hAnsi="Arial"/>
                <w:sz w:val="18"/>
                <w:szCs w:val="18"/>
                <w:color w:val="auto"/>
              </w:rPr>
              <w:t>5,648</w:t>
            </w:r>
          </w:p>
        </w:tc>
        <w:tc>
          <w:tcPr>
            <w:tcW w:w="44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15.48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Canceled/Forfeited</w:t>
            </w:r>
          </w:p>
        </w:tc>
        <w:tc>
          <w:tcPr>
            <w:tcW w:w="11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(414)</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14.67</w:t>
            </w:r>
          </w:p>
        </w:tc>
        <w:tc>
          <w:tcPr>
            <w:tcW w:w="420" w:type="dxa"/>
            <w:vAlign w:val="bottom"/>
            <w:shd w:val="clear" w:color="auto" w:fill="CCEEFF"/>
          </w:tcPr>
          <w:p>
            <w:pPr>
              <w:spacing w:after="0"/>
              <w:rPr>
                <w:sz w:val="18"/>
                <w:szCs w:val="18"/>
                <w:color w:val="auto"/>
              </w:rPr>
            </w:pPr>
          </w:p>
        </w:tc>
        <w:tc>
          <w:tcPr>
            <w:tcW w:w="94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30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w w:val="79"/>
              </w:rPr>
              <w:t>$</w:t>
            </w:r>
          </w:p>
        </w:tc>
        <w:tc>
          <w:tcPr>
            <w:tcW w:w="960" w:type="dxa"/>
            <w:vAlign w:val="bottom"/>
            <w:shd w:val="clear" w:color="auto" w:fill="CCEEFF"/>
          </w:tcPr>
          <w:p>
            <w:pPr>
              <w:ind w:left="700"/>
              <w:spacing w:after="0"/>
              <w:rPr>
                <w:sz w:val="20"/>
                <w:szCs w:val="20"/>
                <w:color w:val="auto"/>
              </w:rPr>
            </w:pPr>
            <w:r>
              <w:rPr>
                <w:rFonts w:ascii="Arial" w:cs="Arial" w:eastAsia="Arial" w:hAnsi="Arial"/>
                <w:sz w:val="18"/>
                <w:szCs w:val="18"/>
                <w:color w:val="auto"/>
              </w:rPr>
              <w:t>—</w:t>
            </w:r>
          </w:p>
        </w:tc>
        <w:tc>
          <w:tcPr>
            <w:tcW w:w="128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(414)</w:t>
            </w:r>
          </w:p>
        </w:tc>
        <w:tc>
          <w:tcPr>
            <w:tcW w:w="44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14.67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40" w:type="dxa"/>
            <w:vAlign w:val="bottom"/>
          </w:tcPr>
          <w:p>
            <w:pPr>
              <w:ind w:left="420"/>
              <w:spacing w:after="0"/>
              <w:rPr>
                <w:sz w:val="20"/>
                <w:szCs w:val="20"/>
                <w:color w:val="auto"/>
              </w:rPr>
            </w:pPr>
            <w:r>
              <w:rPr>
                <w:rFonts w:ascii="Arial" w:cs="Arial" w:eastAsia="Arial" w:hAnsi="Arial"/>
                <w:sz w:val="18"/>
                <w:szCs w:val="18"/>
                <w:color w:val="auto"/>
              </w:rPr>
              <w:t>Exercised or issued</w:t>
            </w:r>
          </w:p>
        </w:tc>
        <w:tc>
          <w:tcPr>
            <w:tcW w:w="1160" w:type="dxa"/>
            <w:vAlign w:val="bottom"/>
            <w:gridSpan w:val="2"/>
          </w:tcPr>
          <w:p>
            <w:pPr>
              <w:jc w:val="right"/>
              <w:ind w:right="360"/>
              <w:spacing w:after="0"/>
              <w:rPr>
                <w:sz w:val="20"/>
                <w:szCs w:val="20"/>
                <w:color w:val="auto"/>
              </w:rPr>
            </w:pPr>
            <w:r>
              <w:rPr>
                <w:rFonts w:ascii="Arial" w:cs="Arial" w:eastAsia="Arial" w:hAnsi="Arial"/>
                <w:sz w:val="18"/>
                <w:szCs w:val="18"/>
                <w:color w:val="auto"/>
              </w:rPr>
              <w:t>(1,232)</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7.99</w:t>
            </w:r>
          </w:p>
        </w:tc>
        <w:tc>
          <w:tcPr>
            <w:tcW w:w="420" w:type="dxa"/>
            <w:vAlign w:val="bottom"/>
          </w:tcPr>
          <w:p>
            <w:pPr>
              <w:spacing w:after="0"/>
              <w:rPr>
                <w:sz w:val="18"/>
                <w:szCs w:val="18"/>
                <w:color w:val="auto"/>
              </w:rPr>
            </w:pPr>
          </w:p>
        </w:tc>
        <w:tc>
          <w:tcPr>
            <w:tcW w:w="94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300" w:type="dxa"/>
            <w:vAlign w:val="bottom"/>
            <w:gridSpan w:val="2"/>
          </w:tcPr>
          <w:p>
            <w:pPr>
              <w:ind w:left="200"/>
              <w:spacing w:after="0"/>
              <w:rPr>
                <w:sz w:val="20"/>
                <w:szCs w:val="20"/>
                <w:color w:val="auto"/>
              </w:rPr>
            </w:pPr>
            <w:r>
              <w:rPr>
                <w:rFonts w:ascii="Arial" w:cs="Arial" w:eastAsia="Arial" w:hAnsi="Arial"/>
                <w:sz w:val="18"/>
                <w:szCs w:val="18"/>
                <w:color w:val="auto"/>
                <w:w w:val="79"/>
              </w:rPr>
              <w:t>$</w:t>
            </w:r>
          </w:p>
        </w:tc>
        <w:tc>
          <w:tcPr>
            <w:tcW w:w="960" w:type="dxa"/>
            <w:vAlign w:val="bottom"/>
          </w:tcPr>
          <w:p>
            <w:pPr>
              <w:ind w:left="700"/>
              <w:spacing w:after="0"/>
              <w:rPr>
                <w:sz w:val="20"/>
                <w:szCs w:val="20"/>
                <w:color w:val="auto"/>
              </w:rPr>
            </w:pPr>
            <w:r>
              <w:rPr>
                <w:rFonts w:ascii="Arial" w:cs="Arial" w:eastAsia="Arial" w:hAnsi="Arial"/>
                <w:sz w:val="18"/>
                <w:szCs w:val="18"/>
                <w:color w:val="auto"/>
              </w:rPr>
              <w:t>—</w:t>
            </w:r>
          </w:p>
        </w:tc>
        <w:tc>
          <w:tcPr>
            <w:tcW w:w="1280" w:type="dxa"/>
            <w:vAlign w:val="bottom"/>
            <w:gridSpan w:val="3"/>
          </w:tcPr>
          <w:p>
            <w:pPr>
              <w:jc w:val="right"/>
              <w:ind w:right="80"/>
              <w:spacing w:after="0"/>
              <w:rPr>
                <w:sz w:val="20"/>
                <w:szCs w:val="20"/>
                <w:color w:val="auto"/>
              </w:rPr>
            </w:pPr>
            <w:r>
              <w:rPr>
                <w:rFonts w:ascii="Arial" w:cs="Arial" w:eastAsia="Arial" w:hAnsi="Arial"/>
                <w:sz w:val="18"/>
                <w:szCs w:val="18"/>
                <w:color w:val="auto"/>
              </w:rPr>
              <w:t>(1,232)</w:t>
            </w:r>
          </w:p>
        </w:tc>
        <w:tc>
          <w:tcPr>
            <w:tcW w:w="44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7.99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140" w:type="dxa"/>
            <w:vAlign w:val="bottom"/>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720" w:type="dxa"/>
            <w:vAlign w:val="bottom"/>
          </w:tcPr>
          <w:p>
            <w:pPr>
              <w:spacing w:after="0"/>
              <w:rPr>
                <w:sz w:val="2"/>
                <w:szCs w:val="2"/>
                <w:color w:val="auto"/>
              </w:rPr>
            </w:pPr>
          </w:p>
        </w:tc>
        <w:tc>
          <w:tcPr>
            <w:tcW w:w="420" w:type="dxa"/>
            <w:vAlign w:val="bottom"/>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960" w:type="dxa"/>
            <w:vAlign w:val="bottom"/>
          </w:tcPr>
          <w:p>
            <w:pPr>
              <w:spacing w:after="0"/>
              <w:rPr>
                <w:sz w:val="2"/>
                <w:szCs w:val="2"/>
                <w:color w:val="auto"/>
              </w:rPr>
            </w:pPr>
          </w:p>
        </w:tc>
        <w:tc>
          <w:tcPr>
            <w:tcW w:w="420" w:type="dxa"/>
            <w:vAlign w:val="bottom"/>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60" w:type="dxa"/>
            <w:vAlign w:val="bottom"/>
          </w:tcPr>
          <w:p>
            <w:pPr>
              <w:spacing w:after="0"/>
              <w:rPr>
                <w:sz w:val="2"/>
                <w:szCs w:val="2"/>
                <w:color w:val="auto"/>
              </w:rPr>
            </w:pPr>
          </w:p>
        </w:tc>
        <w:tc>
          <w:tcPr>
            <w:tcW w:w="84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140" w:type="dxa"/>
            <w:vAlign w:val="bottom"/>
            <w:shd w:val="clear" w:color="auto" w:fill="CCEEFF"/>
          </w:tcPr>
          <w:p>
            <w:pPr>
              <w:spacing w:after="0"/>
              <w:rPr>
                <w:sz w:val="20"/>
                <w:szCs w:val="20"/>
                <w:color w:val="auto"/>
              </w:rPr>
            </w:pPr>
            <w:r>
              <w:rPr>
                <w:rFonts w:ascii="Arial" w:cs="Arial" w:eastAsia="Arial" w:hAnsi="Arial"/>
                <w:sz w:val="18"/>
                <w:szCs w:val="18"/>
                <w:color w:val="auto"/>
              </w:rPr>
              <w:t>Balance at April 30, 2011</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57,178</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12.18</w:t>
            </w:r>
          </w:p>
        </w:tc>
        <w:tc>
          <w:tcPr>
            <w:tcW w:w="42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3,149</w:t>
            </w:r>
          </w:p>
        </w:tc>
        <w:tc>
          <w:tcPr>
            <w:tcW w:w="30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w w:val="79"/>
              </w:rPr>
              <w:t>$</w:t>
            </w:r>
          </w:p>
        </w:tc>
        <w:tc>
          <w:tcPr>
            <w:tcW w:w="960" w:type="dxa"/>
            <w:vAlign w:val="bottom"/>
            <w:shd w:val="clear" w:color="auto" w:fill="CCEEFF"/>
          </w:tcPr>
          <w:p>
            <w:pPr>
              <w:ind w:left="560"/>
              <w:spacing w:after="0"/>
              <w:rPr>
                <w:sz w:val="20"/>
                <w:szCs w:val="20"/>
                <w:color w:val="auto"/>
              </w:rPr>
            </w:pPr>
            <w:r>
              <w:rPr>
                <w:rFonts w:ascii="Arial" w:cs="Arial" w:eastAsia="Arial" w:hAnsi="Arial"/>
                <w:sz w:val="18"/>
                <w:szCs w:val="18"/>
                <w:color w:val="auto"/>
                <w:w w:val="84"/>
              </w:rPr>
              <w:t>15.43</w:t>
            </w:r>
          </w:p>
        </w:tc>
        <w:tc>
          <w:tcPr>
            <w:tcW w:w="128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60,327</w:t>
            </w:r>
          </w:p>
        </w:tc>
        <w:tc>
          <w:tcPr>
            <w:tcW w:w="44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12.35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160" w:type="dxa"/>
            <w:vAlign w:val="bottom"/>
            <w:gridSpan w:val="2"/>
            <w:vMerge w:val="restart"/>
          </w:tcPr>
          <w:p>
            <w:pPr>
              <w:spacing w:after="0"/>
              <w:rPr>
                <w:sz w:val="20"/>
                <w:szCs w:val="20"/>
                <w:color w:val="auto"/>
              </w:rPr>
            </w:pPr>
            <w:r>
              <w:rPr>
                <w:rFonts w:ascii="Arial" w:cs="Arial" w:eastAsia="Arial" w:hAnsi="Arial"/>
                <w:sz w:val="18"/>
                <w:szCs w:val="18"/>
                <w:color w:val="auto"/>
              </w:rPr>
              <w:t>Vested or expected to vest at April 30, 2011</w:t>
            </w:r>
          </w:p>
        </w:tc>
        <w:tc>
          <w:tcPr>
            <w:tcW w:w="74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vMerge w:val="restart"/>
          </w:tcPr>
          <w:p>
            <w:pPr>
              <w:spacing w:after="0"/>
              <w:rPr>
                <w:sz w:val="20"/>
                <w:szCs w:val="20"/>
                <w:color w:val="auto"/>
              </w:rPr>
            </w:pPr>
            <w:r>
              <w:rPr>
                <w:rFonts w:ascii="Arial" w:cs="Arial" w:eastAsia="Arial" w:hAnsi="Arial"/>
                <w:sz w:val="18"/>
                <w:szCs w:val="18"/>
                <w:color w:val="auto"/>
                <w:w w:val="79"/>
              </w:rPr>
              <w:t>$</w:t>
            </w:r>
          </w:p>
        </w:tc>
        <w:tc>
          <w:tcPr>
            <w:tcW w:w="720" w:type="dxa"/>
            <w:vAlign w:val="bottom"/>
            <w:vMerge w:val="restart"/>
          </w:tcPr>
          <w:p>
            <w:pPr>
              <w:jc w:val="right"/>
              <w:spacing w:after="0"/>
              <w:rPr>
                <w:sz w:val="20"/>
                <w:szCs w:val="20"/>
                <w:color w:val="auto"/>
              </w:rPr>
            </w:pPr>
            <w:r>
              <w:rPr>
                <w:rFonts w:ascii="Arial" w:cs="Arial" w:eastAsia="Arial" w:hAnsi="Arial"/>
                <w:sz w:val="18"/>
                <w:szCs w:val="18"/>
                <w:color w:val="auto"/>
              </w:rPr>
              <w:t>12.17</w:t>
            </w:r>
          </w:p>
        </w:tc>
        <w:tc>
          <w:tcPr>
            <w:tcW w:w="42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00" w:type="dxa"/>
            <w:vAlign w:val="bottom"/>
            <w:gridSpan w:val="2"/>
            <w:vMerge w:val="restart"/>
          </w:tcPr>
          <w:p>
            <w:pPr>
              <w:ind w:left="200"/>
              <w:spacing w:after="0"/>
              <w:rPr>
                <w:sz w:val="20"/>
                <w:szCs w:val="20"/>
                <w:color w:val="auto"/>
              </w:rPr>
            </w:pPr>
            <w:r>
              <w:rPr>
                <w:rFonts w:ascii="Arial" w:cs="Arial" w:eastAsia="Arial" w:hAnsi="Arial"/>
                <w:sz w:val="18"/>
                <w:szCs w:val="18"/>
                <w:color w:val="auto"/>
                <w:w w:val="79"/>
              </w:rPr>
              <w:t>$</w:t>
            </w:r>
          </w:p>
        </w:tc>
        <w:tc>
          <w:tcPr>
            <w:tcW w:w="960" w:type="dxa"/>
            <w:vAlign w:val="bottom"/>
            <w:vMerge w:val="restart"/>
          </w:tcPr>
          <w:p>
            <w:pPr>
              <w:ind w:left="560"/>
              <w:spacing w:after="0"/>
              <w:rPr>
                <w:sz w:val="20"/>
                <w:szCs w:val="20"/>
                <w:color w:val="auto"/>
              </w:rPr>
            </w:pPr>
            <w:r>
              <w:rPr>
                <w:rFonts w:ascii="Arial" w:cs="Arial" w:eastAsia="Arial" w:hAnsi="Arial"/>
                <w:sz w:val="18"/>
                <w:szCs w:val="18"/>
                <w:color w:val="auto"/>
                <w:w w:val="84"/>
              </w:rPr>
              <w:t>15.43</w:t>
            </w:r>
          </w:p>
        </w:tc>
        <w:tc>
          <w:tcPr>
            <w:tcW w:w="42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40" w:type="dxa"/>
            <w:vAlign w:val="bottom"/>
            <w:gridSpan w:val="2"/>
            <w:vMerge w:val="restart"/>
          </w:tcPr>
          <w:p>
            <w:pPr>
              <w:ind w:left="280"/>
              <w:spacing w:after="0"/>
              <w:rPr>
                <w:sz w:val="20"/>
                <w:szCs w:val="20"/>
                <w:color w:val="auto"/>
              </w:rPr>
            </w:pPr>
            <w:r>
              <w:rPr>
                <w:rFonts w:ascii="Arial" w:cs="Arial" w:eastAsia="Arial" w:hAnsi="Arial"/>
                <w:sz w:val="18"/>
                <w:szCs w:val="18"/>
                <w:color w:val="auto"/>
              </w:rPr>
              <w:t>$</w:t>
            </w:r>
          </w:p>
        </w:tc>
        <w:tc>
          <w:tcPr>
            <w:tcW w:w="840" w:type="dxa"/>
            <w:vAlign w:val="bottom"/>
            <w:vMerge w:val="restart"/>
          </w:tcPr>
          <w:p>
            <w:pPr>
              <w:jc w:val="right"/>
              <w:spacing w:after="0"/>
              <w:rPr>
                <w:sz w:val="20"/>
                <w:szCs w:val="20"/>
                <w:color w:val="auto"/>
              </w:rPr>
            </w:pPr>
            <w:r>
              <w:rPr>
                <w:rFonts w:ascii="Arial" w:cs="Arial" w:eastAsia="Arial" w:hAnsi="Arial"/>
                <w:sz w:val="18"/>
                <w:szCs w:val="18"/>
                <w:color w:val="auto"/>
              </w:rPr>
              <w:t>12.33</w:t>
            </w: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160" w:type="dxa"/>
            <w:vAlign w:val="bottom"/>
            <w:gridSpan w:val="2"/>
            <w:vMerge w:val="continue"/>
          </w:tcPr>
          <w:p>
            <w:pPr>
              <w:spacing w:after="0"/>
              <w:rPr>
                <w:sz w:val="18"/>
                <w:szCs w:val="18"/>
                <w:color w:val="auto"/>
              </w:rPr>
            </w:pPr>
          </w:p>
        </w:tc>
        <w:tc>
          <w:tcPr>
            <w:tcW w:w="1160" w:type="dxa"/>
            <w:vAlign w:val="bottom"/>
            <w:gridSpan w:val="2"/>
          </w:tcPr>
          <w:p>
            <w:pPr>
              <w:jc w:val="right"/>
              <w:ind w:right="420"/>
              <w:spacing w:after="0"/>
              <w:rPr>
                <w:sz w:val="20"/>
                <w:szCs w:val="20"/>
                <w:color w:val="auto"/>
              </w:rPr>
            </w:pPr>
            <w:r>
              <w:rPr>
                <w:rFonts w:ascii="Arial" w:cs="Arial" w:eastAsia="Arial" w:hAnsi="Arial"/>
                <w:sz w:val="18"/>
                <w:szCs w:val="18"/>
                <w:color w:val="auto"/>
              </w:rPr>
              <w:t>55,804</w:t>
            </w:r>
          </w:p>
        </w:tc>
        <w:tc>
          <w:tcPr>
            <w:tcW w:w="100" w:type="dxa"/>
            <w:vAlign w:val="bottom"/>
            <w:vMerge w:val="continue"/>
          </w:tcPr>
          <w:p>
            <w:pPr>
              <w:spacing w:after="0"/>
              <w:rPr>
                <w:sz w:val="18"/>
                <w:szCs w:val="18"/>
                <w:color w:val="auto"/>
              </w:rPr>
            </w:pPr>
          </w:p>
        </w:tc>
        <w:tc>
          <w:tcPr>
            <w:tcW w:w="720" w:type="dxa"/>
            <w:vAlign w:val="bottom"/>
            <w:vMerge w:val="continue"/>
          </w:tcPr>
          <w:p>
            <w:pPr>
              <w:spacing w:after="0"/>
              <w:rPr>
                <w:sz w:val="18"/>
                <w:szCs w:val="18"/>
                <w:color w:val="auto"/>
              </w:rPr>
            </w:pPr>
          </w:p>
        </w:tc>
        <w:tc>
          <w:tcPr>
            <w:tcW w:w="1360" w:type="dxa"/>
            <w:vAlign w:val="bottom"/>
            <w:gridSpan w:val="3"/>
          </w:tcPr>
          <w:p>
            <w:pPr>
              <w:jc w:val="right"/>
              <w:ind w:right="220"/>
              <w:spacing w:after="0"/>
              <w:rPr>
                <w:sz w:val="20"/>
                <w:szCs w:val="20"/>
                <w:color w:val="auto"/>
              </w:rPr>
            </w:pPr>
            <w:r>
              <w:rPr>
                <w:rFonts w:ascii="Arial" w:cs="Arial" w:eastAsia="Arial" w:hAnsi="Arial"/>
                <w:sz w:val="18"/>
                <w:szCs w:val="18"/>
                <w:color w:val="auto"/>
              </w:rPr>
              <w:t>2,964</w:t>
            </w:r>
          </w:p>
        </w:tc>
        <w:tc>
          <w:tcPr>
            <w:tcW w:w="300" w:type="dxa"/>
            <w:vAlign w:val="bottom"/>
            <w:gridSpan w:val="2"/>
            <w:vMerge w:val="continue"/>
          </w:tcPr>
          <w:p>
            <w:pPr>
              <w:spacing w:after="0"/>
              <w:rPr>
                <w:sz w:val="18"/>
                <w:szCs w:val="18"/>
                <w:color w:val="auto"/>
              </w:rPr>
            </w:pPr>
          </w:p>
        </w:tc>
        <w:tc>
          <w:tcPr>
            <w:tcW w:w="960" w:type="dxa"/>
            <w:vAlign w:val="bottom"/>
            <w:vMerge w:val="continue"/>
          </w:tcPr>
          <w:p>
            <w:pPr>
              <w:spacing w:after="0"/>
              <w:rPr>
                <w:sz w:val="18"/>
                <w:szCs w:val="18"/>
                <w:color w:val="auto"/>
              </w:rPr>
            </w:pPr>
          </w:p>
        </w:tc>
        <w:tc>
          <w:tcPr>
            <w:tcW w:w="1280" w:type="dxa"/>
            <w:vAlign w:val="bottom"/>
            <w:gridSpan w:val="3"/>
          </w:tcPr>
          <w:p>
            <w:pPr>
              <w:jc w:val="right"/>
              <w:ind w:right="140"/>
              <w:spacing w:after="0"/>
              <w:rPr>
                <w:sz w:val="20"/>
                <w:szCs w:val="20"/>
                <w:color w:val="auto"/>
              </w:rPr>
            </w:pPr>
            <w:r>
              <w:rPr>
                <w:rFonts w:ascii="Arial" w:cs="Arial" w:eastAsia="Arial" w:hAnsi="Arial"/>
                <w:sz w:val="18"/>
                <w:szCs w:val="18"/>
                <w:color w:val="auto"/>
              </w:rPr>
              <w:t>58,768</w:t>
            </w:r>
          </w:p>
        </w:tc>
        <w:tc>
          <w:tcPr>
            <w:tcW w:w="440" w:type="dxa"/>
            <w:vAlign w:val="bottom"/>
            <w:gridSpan w:val="2"/>
            <w:vMerge w:val="continue"/>
          </w:tcPr>
          <w:p>
            <w:pPr>
              <w:spacing w:after="0"/>
              <w:rPr>
                <w:sz w:val="18"/>
                <w:szCs w:val="18"/>
                <w:color w:val="auto"/>
              </w:rPr>
            </w:pPr>
          </w:p>
        </w:tc>
        <w:tc>
          <w:tcPr>
            <w:tcW w:w="840" w:type="dxa"/>
            <w:vAlign w:val="bottom"/>
            <w:vMerge w:val="continue"/>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140" w:type="dxa"/>
            <w:vAlign w:val="bottom"/>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4140" w:type="dxa"/>
            <w:vAlign w:val="bottom"/>
            <w:shd w:val="clear" w:color="auto" w:fill="CCEEFF"/>
          </w:tcPr>
          <w:p>
            <w:pPr>
              <w:spacing w:after="0"/>
              <w:rPr>
                <w:sz w:val="20"/>
                <w:szCs w:val="20"/>
                <w:color w:val="auto"/>
              </w:rPr>
            </w:pPr>
            <w:r>
              <w:rPr>
                <w:rFonts w:ascii="Arial" w:cs="Arial" w:eastAsia="Arial" w:hAnsi="Arial"/>
                <w:sz w:val="18"/>
                <w:szCs w:val="18"/>
                <w:color w:val="auto"/>
              </w:rPr>
              <w:t>Exercisable at April 30, 2011</w:t>
            </w:r>
          </w:p>
        </w:tc>
        <w:tc>
          <w:tcPr>
            <w:tcW w:w="116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43,411</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12.34</w:t>
            </w:r>
          </w:p>
        </w:tc>
        <w:tc>
          <w:tcPr>
            <w:tcW w:w="420" w:type="dxa"/>
            <w:vAlign w:val="bottom"/>
            <w:shd w:val="clear" w:color="auto" w:fill="CCEEFF"/>
          </w:tcPr>
          <w:p>
            <w:pPr>
              <w:spacing w:after="0"/>
              <w:rPr>
                <w:sz w:val="18"/>
                <w:szCs w:val="18"/>
                <w:color w:val="auto"/>
              </w:rPr>
            </w:pPr>
          </w:p>
        </w:tc>
        <w:tc>
          <w:tcPr>
            <w:tcW w:w="94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30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w w:val="79"/>
              </w:rPr>
              <w:t>$</w:t>
            </w:r>
          </w:p>
        </w:tc>
        <w:tc>
          <w:tcPr>
            <w:tcW w:w="960" w:type="dxa"/>
            <w:vAlign w:val="bottom"/>
            <w:shd w:val="clear" w:color="auto" w:fill="CCEEFF"/>
          </w:tcPr>
          <w:p>
            <w:pPr>
              <w:ind w:left="700"/>
              <w:spacing w:after="0"/>
              <w:rPr>
                <w:sz w:val="20"/>
                <w:szCs w:val="20"/>
                <w:color w:val="auto"/>
              </w:rPr>
            </w:pPr>
            <w:r>
              <w:rPr>
                <w:rFonts w:ascii="Arial" w:cs="Arial" w:eastAsia="Arial" w:hAnsi="Arial"/>
                <w:sz w:val="18"/>
                <w:szCs w:val="18"/>
                <w:color w:val="auto"/>
              </w:rPr>
              <w:t>—</w:t>
            </w:r>
          </w:p>
        </w:tc>
        <w:tc>
          <w:tcPr>
            <w:tcW w:w="128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43,411</w:t>
            </w:r>
          </w:p>
        </w:tc>
        <w:tc>
          <w:tcPr>
            <w:tcW w:w="44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12.34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140" w:type="dxa"/>
            <w:vAlign w:val="bottom"/>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The aggregate intrinsic value and weighted average remaining contractual term of time-based stock options vested and expected to vest at April 30, 2011 was $254.2 million and 5.0 years, respectively.</w:t>
      </w:r>
    </w:p>
    <w:p>
      <w:pPr>
        <w:spacing w:after="0" w:line="132"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The aggregate intrinsic value and weighted average remaining contractual term of market-based stock options vested and expected to vest at April 30, 2011 was $0 and 9.9 years, respectively.</w:t>
      </w:r>
    </w:p>
    <w:p>
      <w:pPr>
        <w:spacing w:after="0" w:line="132" w:lineRule="exact"/>
        <w:rPr>
          <w:sz w:val="20"/>
          <w:szCs w:val="20"/>
          <w:color w:val="auto"/>
        </w:rPr>
      </w:pPr>
    </w:p>
    <w:p>
      <w:pPr>
        <w:ind w:right="280" w:firstLine="456"/>
        <w:spacing w:after="0" w:line="268" w:lineRule="auto"/>
        <w:rPr>
          <w:sz w:val="20"/>
          <w:szCs w:val="20"/>
          <w:color w:val="auto"/>
        </w:rPr>
      </w:pPr>
      <w:r>
        <w:rPr>
          <w:rFonts w:ascii="Arial" w:cs="Arial" w:eastAsia="Arial" w:hAnsi="Arial"/>
          <w:sz w:val="18"/>
          <w:szCs w:val="18"/>
          <w:color w:val="auto"/>
        </w:rPr>
        <w:t>The aggregate intrinsic value is calculated based on the Company’s closing share price as reported on the NASDAQ Global Select Market for all in-the-money options as of April 29, 2011.</w:t>
      </w:r>
    </w:p>
    <w:p>
      <w:pPr>
        <w:spacing w:after="0" w:line="132" w:lineRule="exact"/>
        <w:rPr>
          <w:sz w:val="20"/>
          <w:szCs w:val="20"/>
          <w:color w:val="auto"/>
        </w:rPr>
      </w:pPr>
    </w:p>
    <w:p>
      <w:pPr>
        <w:ind w:right="380" w:firstLine="456"/>
        <w:spacing w:after="0" w:line="268" w:lineRule="auto"/>
        <w:rPr>
          <w:sz w:val="20"/>
          <w:szCs w:val="20"/>
          <w:color w:val="auto"/>
        </w:rPr>
      </w:pPr>
      <w:r>
        <w:rPr>
          <w:rFonts w:ascii="Arial" w:cs="Arial" w:eastAsia="Arial" w:hAnsi="Arial"/>
          <w:sz w:val="18"/>
          <w:szCs w:val="18"/>
          <w:color w:val="auto"/>
        </w:rPr>
        <w:t>The unamortized compensation expense for time-based and market-based stock options will be amortized on a straight-line basis and is expected to be recognized over a weighted-average period of 2.2 years and 2.7 years, respectively.</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Included in the following table is activity related to the non-vested portion of the restricted stock units as follows (in thousands, except for prices):</w:t>
      </w:r>
    </w:p>
    <w:p>
      <w:pPr>
        <w:spacing w:after="0" w:line="218"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460" w:type="dxa"/>
            <w:vAlign w:val="bottom"/>
          </w:tcPr>
          <w:p>
            <w:pPr>
              <w:spacing w:after="0"/>
              <w:rPr>
                <w:sz w:val="14"/>
                <w:szCs w:val="14"/>
                <w:color w:val="auto"/>
              </w:rPr>
            </w:pPr>
          </w:p>
        </w:tc>
        <w:tc>
          <w:tcPr>
            <w:tcW w:w="1500" w:type="dxa"/>
            <w:vAlign w:val="bottom"/>
          </w:tcPr>
          <w:p>
            <w:pPr>
              <w:spacing w:after="0"/>
              <w:rPr>
                <w:sz w:val="14"/>
                <w:szCs w:val="14"/>
                <w:color w:val="auto"/>
              </w:rPr>
            </w:pPr>
          </w:p>
        </w:tc>
        <w:tc>
          <w:tcPr>
            <w:tcW w:w="1200" w:type="dxa"/>
            <w:vAlign w:val="bottom"/>
            <w:gridSpan w:val="2"/>
          </w:tcPr>
          <w:p>
            <w:pPr>
              <w:jc w:val="center"/>
              <w:ind w:right="520"/>
              <w:spacing w:after="0"/>
              <w:rPr>
                <w:sz w:val="20"/>
                <w:szCs w:val="20"/>
                <w:color w:val="auto"/>
              </w:rPr>
            </w:pPr>
            <w:r>
              <w:rPr>
                <w:rFonts w:ascii="Arial" w:cs="Arial" w:eastAsia="Arial" w:hAnsi="Arial"/>
                <w:sz w:val="14"/>
                <w:szCs w:val="14"/>
                <w:b w:val="1"/>
                <w:bCs w:val="1"/>
                <w:color w:val="auto"/>
                <w:w w:val="87"/>
              </w:rPr>
              <w:t>Restricted</w:t>
            </w:r>
          </w:p>
        </w:tc>
        <w:tc>
          <w:tcPr>
            <w:tcW w:w="4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100" w:type="dxa"/>
            <w:vAlign w:val="bottom"/>
          </w:tcPr>
          <w:p>
            <w:pPr>
              <w:spacing w:after="0"/>
              <w:rPr>
                <w:sz w:val="14"/>
                <w:szCs w:val="14"/>
                <w:color w:val="auto"/>
              </w:rPr>
            </w:pPr>
          </w:p>
        </w:tc>
      </w:tr>
      <w:tr>
        <w:trPr>
          <w:trHeight w:val="149"/>
        </w:trPr>
        <w:tc>
          <w:tcPr>
            <w:tcW w:w="20" w:type="dxa"/>
            <w:vAlign w:val="bottom"/>
          </w:tcPr>
          <w:p>
            <w:pPr>
              <w:spacing w:after="0"/>
              <w:rPr>
                <w:sz w:val="12"/>
                <w:szCs w:val="12"/>
                <w:color w:val="auto"/>
              </w:rPr>
            </w:pPr>
          </w:p>
        </w:tc>
        <w:tc>
          <w:tcPr>
            <w:tcW w:w="3460" w:type="dxa"/>
            <w:vAlign w:val="bottom"/>
          </w:tcPr>
          <w:p>
            <w:pPr>
              <w:spacing w:after="0"/>
              <w:rPr>
                <w:sz w:val="12"/>
                <w:szCs w:val="12"/>
                <w:color w:val="auto"/>
              </w:rPr>
            </w:pPr>
          </w:p>
        </w:tc>
        <w:tc>
          <w:tcPr>
            <w:tcW w:w="1500" w:type="dxa"/>
            <w:vAlign w:val="bottom"/>
          </w:tcPr>
          <w:p>
            <w:pPr>
              <w:spacing w:after="0"/>
              <w:rPr>
                <w:sz w:val="12"/>
                <w:szCs w:val="12"/>
                <w:color w:val="auto"/>
              </w:rPr>
            </w:pPr>
          </w:p>
        </w:tc>
        <w:tc>
          <w:tcPr>
            <w:tcW w:w="120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w w:val="83"/>
              </w:rPr>
              <w:t>Stock</w:t>
            </w:r>
          </w:p>
        </w:tc>
        <w:tc>
          <w:tcPr>
            <w:tcW w:w="1580" w:type="dxa"/>
            <w:vAlign w:val="bottom"/>
            <w:gridSpan w:val="4"/>
          </w:tcPr>
          <w:p>
            <w:pPr>
              <w:ind w:left="420"/>
              <w:spacing w:after="0" w:line="149" w:lineRule="exact"/>
              <w:rPr>
                <w:sz w:val="20"/>
                <w:szCs w:val="20"/>
                <w:color w:val="auto"/>
              </w:rPr>
            </w:pPr>
            <w:r>
              <w:rPr>
                <w:rFonts w:ascii="Arial" w:cs="Arial" w:eastAsia="Arial" w:hAnsi="Arial"/>
                <w:sz w:val="14"/>
                <w:szCs w:val="14"/>
                <w:b w:val="1"/>
                <w:bCs w:val="1"/>
                <w:color w:val="auto"/>
                <w:w w:val="93"/>
              </w:rPr>
              <w:t>Weighted Average</w:t>
            </w:r>
          </w:p>
        </w:tc>
      </w:tr>
      <w:tr>
        <w:trPr>
          <w:trHeight w:val="149"/>
        </w:trPr>
        <w:tc>
          <w:tcPr>
            <w:tcW w:w="20" w:type="dxa"/>
            <w:vAlign w:val="bottom"/>
          </w:tcPr>
          <w:p>
            <w:pPr>
              <w:spacing w:after="0"/>
              <w:rPr>
                <w:sz w:val="12"/>
                <w:szCs w:val="12"/>
                <w:color w:val="auto"/>
              </w:rPr>
            </w:pPr>
          </w:p>
        </w:tc>
        <w:tc>
          <w:tcPr>
            <w:tcW w:w="3460" w:type="dxa"/>
            <w:vAlign w:val="bottom"/>
          </w:tcPr>
          <w:p>
            <w:pPr>
              <w:spacing w:after="0"/>
              <w:rPr>
                <w:sz w:val="12"/>
                <w:szCs w:val="12"/>
                <w:color w:val="auto"/>
              </w:rPr>
            </w:pPr>
          </w:p>
        </w:tc>
        <w:tc>
          <w:tcPr>
            <w:tcW w:w="1500" w:type="dxa"/>
            <w:vAlign w:val="bottom"/>
          </w:tcPr>
          <w:p>
            <w:pPr>
              <w:spacing w:after="0"/>
              <w:rPr>
                <w:sz w:val="12"/>
                <w:szCs w:val="12"/>
                <w:color w:val="auto"/>
              </w:rPr>
            </w:pPr>
          </w:p>
        </w:tc>
        <w:tc>
          <w:tcPr>
            <w:tcW w:w="1200" w:type="dxa"/>
            <w:vAlign w:val="bottom"/>
            <w:gridSpan w:val="2"/>
          </w:tcPr>
          <w:p>
            <w:pPr>
              <w:jc w:val="center"/>
              <w:ind w:right="500"/>
              <w:spacing w:after="0" w:line="149" w:lineRule="exact"/>
              <w:rPr>
                <w:sz w:val="20"/>
                <w:szCs w:val="20"/>
                <w:color w:val="auto"/>
              </w:rPr>
            </w:pPr>
            <w:r>
              <w:rPr>
                <w:rFonts w:ascii="Arial" w:cs="Arial" w:eastAsia="Arial" w:hAnsi="Arial"/>
                <w:sz w:val="14"/>
                <w:szCs w:val="14"/>
                <w:b w:val="1"/>
                <w:bCs w:val="1"/>
                <w:color w:val="auto"/>
                <w:w w:val="85"/>
              </w:rPr>
              <w:t>Units</w:t>
            </w:r>
          </w:p>
        </w:tc>
        <w:tc>
          <w:tcPr>
            <w:tcW w:w="4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2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2"/>
              </w:rPr>
              <w:t>Grant Date</w:t>
            </w:r>
          </w:p>
        </w:tc>
      </w:tr>
      <w:tr>
        <w:trPr>
          <w:trHeight w:val="161"/>
        </w:trPr>
        <w:tc>
          <w:tcPr>
            <w:tcW w:w="20" w:type="dxa"/>
            <w:vAlign w:val="bottom"/>
          </w:tcPr>
          <w:p>
            <w:pPr>
              <w:spacing w:after="0"/>
              <w:rPr>
                <w:sz w:val="14"/>
                <w:szCs w:val="14"/>
                <w:color w:val="auto"/>
              </w:rPr>
            </w:pPr>
          </w:p>
        </w:tc>
        <w:tc>
          <w:tcPr>
            <w:tcW w:w="3460" w:type="dxa"/>
            <w:vAlign w:val="bottom"/>
          </w:tcPr>
          <w:p>
            <w:pPr>
              <w:spacing w:after="0"/>
              <w:rPr>
                <w:sz w:val="14"/>
                <w:szCs w:val="14"/>
                <w:color w:val="auto"/>
              </w:rPr>
            </w:pPr>
          </w:p>
        </w:tc>
        <w:tc>
          <w:tcPr>
            <w:tcW w:w="2700" w:type="dxa"/>
            <w:vAlign w:val="bottom"/>
            <w:gridSpan w:val="3"/>
          </w:tcPr>
          <w:p>
            <w:pPr>
              <w:jc w:val="center"/>
              <w:ind w:left="939"/>
              <w:spacing w:after="0"/>
              <w:rPr>
                <w:sz w:val="20"/>
                <w:szCs w:val="20"/>
                <w:color w:val="auto"/>
              </w:rPr>
            </w:pPr>
            <w:r>
              <w:rPr>
                <w:rFonts w:ascii="Arial" w:cs="Arial" w:eastAsia="Arial" w:hAnsi="Arial"/>
                <w:sz w:val="14"/>
                <w:szCs w:val="14"/>
                <w:b w:val="1"/>
                <w:bCs w:val="1"/>
                <w:color w:val="auto"/>
                <w:w w:val="87"/>
              </w:rPr>
              <w:t>Outstanding</w:t>
            </w:r>
          </w:p>
        </w:tc>
        <w:tc>
          <w:tcPr>
            <w:tcW w:w="4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2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9"/>
              </w:rPr>
              <w:t>Fair Value</w:t>
            </w:r>
          </w:p>
        </w:tc>
      </w:tr>
      <w:tr>
        <w:trPr>
          <w:trHeight w:val="210"/>
        </w:trPr>
        <w:tc>
          <w:tcPr>
            <w:tcW w:w="20" w:type="dxa"/>
            <w:vAlign w:val="bottom"/>
          </w:tcPr>
          <w:p>
            <w:pPr>
              <w:spacing w:after="0"/>
              <w:rPr>
                <w:sz w:val="18"/>
                <w:szCs w:val="18"/>
                <w:color w:val="auto"/>
              </w:rPr>
            </w:pPr>
          </w:p>
        </w:tc>
        <w:tc>
          <w:tcPr>
            <w:tcW w:w="346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29, 2011</w:t>
            </w:r>
          </w:p>
        </w:tc>
        <w:tc>
          <w:tcPr>
            <w:tcW w:w="1500" w:type="dxa"/>
            <w:vAlign w:val="bottom"/>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5,486</w:t>
            </w:r>
          </w:p>
        </w:tc>
        <w:tc>
          <w:tcPr>
            <w:tcW w:w="4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9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18.75</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460" w:type="dxa"/>
            <w:vAlign w:val="bottom"/>
          </w:tcPr>
          <w:p>
            <w:pPr>
              <w:ind w:left="420"/>
              <w:spacing w:after="0"/>
              <w:rPr>
                <w:sz w:val="20"/>
                <w:szCs w:val="20"/>
                <w:color w:val="auto"/>
              </w:rPr>
            </w:pPr>
            <w:r>
              <w:rPr>
                <w:rFonts w:ascii="Arial" w:cs="Arial" w:eastAsia="Arial" w:hAnsi="Arial"/>
                <w:sz w:val="18"/>
                <w:szCs w:val="18"/>
                <w:color w:val="auto"/>
              </w:rPr>
              <w:t>Granted</w:t>
            </w:r>
          </w:p>
        </w:tc>
        <w:tc>
          <w:tcPr>
            <w:tcW w:w="2220" w:type="dxa"/>
            <w:vAlign w:val="bottom"/>
            <w:gridSpan w:val="2"/>
          </w:tcPr>
          <w:p>
            <w:pPr>
              <w:jc w:val="right"/>
              <w:spacing w:after="0"/>
              <w:rPr>
                <w:sz w:val="20"/>
                <w:szCs w:val="20"/>
                <w:color w:val="auto"/>
              </w:rPr>
            </w:pPr>
            <w:r>
              <w:rPr>
                <w:rFonts w:ascii="Arial" w:cs="Arial" w:eastAsia="Arial" w:hAnsi="Arial"/>
                <w:sz w:val="18"/>
                <w:szCs w:val="18"/>
                <w:color w:val="auto"/>
              </w:rPr>
              <w:t>5,573</w:t>
            </w:r>
          </w:p>
        </w:tc>
        <w:tc>
          <w:tcPr>
            <w:tcW w:w="480" w:type="dxa"/>
            <w:vAlign w:val="bottom"/>
          </w:tcPr>
          <w:p>
            <w:pPr>
              <w:spacing w:after="0"/>
              <w:rPr>
                <w:sz w:val="18"/>
                <w:szCs w:val="18"/>
                <w:color w:val="auto"/>
              </w:rPr>
            </w:pPr>
          </w:p>
        </w:tc>
        <w:tc>
          <w:tcPr>
            <w:tcW w:w="560" w:type="dxa"/>
            <w:vAlign w:val="bottom"/>
            <w:gridSpan w:val="2"/>
          </w:tcPr>
          <w:p>
            <w:pPr>
              <w:ind w:left="420"/>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16.08</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4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Vested</w:t>
            </w:r>
          </w:p>
        </w:tc>
        <w:tc>
          <w:tcPr>
            <w:tcW w:w="2700" w:type="dxa"/>
            <w:vAlign w:val="bottom"/>
            <w:gridSpan w:val="3"/>
            <w:shd w:val="clear" w:color="auto" w:fill="CCEEFF"/>
          </w:tcPr>
          <w:p>
            <w:pPr>
              <w:jc w:val="right"/>
              <w:ind w:right="420"/>
              <w:spacing w:after="0"/>
              <w:rPr>
                <w:sz w:val="20"/>
                <w:szCs w:val="20"/>
                <w:color w:val="auto"/>
              </w:rPr>
            </w:pPr>
            <w:r>
              <w:rPr>
                <w:rFonts w:ascii="Arial" w:cs="Arial" w:eastAsia="Arial" w:hAnsi="Arial"/>
                <w:sz w:val="18"/>
                <w:szCs w:val="18"/>
                <w:color w:val="auto"/>
              </w:rPr>
              <w:t>(1,153)</w:t>
            </w:r>
          </w:p>
        </w:tc>
        <w:tc>
          <w:tcPr>
            <w:tcW w:w="5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20.17</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346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500" w:type="dxa"/>
            <w:vAlign w:val="bottom"/>
          </w:tcPr>
          <w:p>
            <w:pPr>
              <w:spacing w:after="0"/>
              <w:rPr>
                <w:sz w:val="19"/>
                <w:szCs w:val="19"/>
                <w:color w:val="auto"/>
              </w:rPr>
            </w:pPr>
          </w:p>
        </w:tc>
        <w:tc>
          <w:tcPr>
            <w:tcW w:w="1200" w:type="dxa"/>
            <w:vAlign w:val="bottom"/>
            <w:gridSpan w:val="2"/>
          </w:tcPr>
          <w:p>
            <w:pPr>
              <w:jc w:val="right"/>
              <w:ind w:right="420"/>
              <w:spacing w:after="0"/>
              <w:rPr>
                <w:sz w:val="20"/>
                <w:szCs w:val="20"/>
                <w:color w:val="auto"/>
              </w:rPr>
            </w:pPr>
            <w:r>
              <w:rPr>
                <w:rFonts w:ascii="Arial" w:cs="Arial" w:eastAsia="Arial" w:hAnsi="Arial"/>
                <w:sz w:val="18"/>
                <w:szCs w:val="18"/>
                <w:color w:val="auto"/>
              </w:rPr>
              <w:t>(122)</w:t>
            </w:r>
          </w:p>
        </w:tc>
        <w:tc>
          <w:tcPr>
            <w:tcW w:w="560" w:type="dxa"/>
            <w:vAlign w:val="bottom"/>
            <w:gridSpan w:val="2"/>
          </w:tcPr>
          <w:p>
            <w:pPr>
              <w:ind w:left="420"/>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17.67</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3460" w:type="dxa"/>
            <w:vAlign w:val="bottom"/>
            <w:shd w:val="clear" w:color="auto" w:fill="CCEEFF"/>
          </w:tcPr>
          <w:p>
            <w:pPr>
              <w:spacing w:after="0"/>
              <w:rPr>
                <w:sz w:val="20"/>
                <w:szCs w:val="20"/>
                <w:color w:val="auto"/>
              </w:rPr>
            </w:pPr>
            <w:r>
              <w:rPr>
                <w:rFonts w:ascii="Arial" w:cs="Arial" w:eastAsia="Arial" w:hAnsi="Arial"/>
                <w:sz w:val="18"/>
                <w:szCs w:val="18"/>
                <w:color w:val="auto"/>
              </w:rPr>
              <w:t>Balance at April 30, 2011</w:t>
            </w:r>
          </w:p>
        </w:tc>
        <w:tc>
          <w:tcPr>
            <w:tcW w:w="1500" w:type="dxa"/>
            <w:vAlign w:val="bottom"/>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9,784</w:t>
            </w:r>
          </w:p>
        </w:tc>
        <w:tc>
          <w:tcPr>
            <w:tcW w:w="480" w:type="dxa"/>
            <w:vAlign w:val="bottom"/>
            <w:shd w:val="clear" w:color="auto" w:fill="CCEEFF"/>
          </w:tcPr>
          <w:p>
            <w:pPr>
              <w:spacing w:after="0"/>
              <w:rPr>
                <w:sz w:val="18"/>
                <w:szCs w:val="18"/>
                <w:color w:val="auto"/>
              </w:rPr>
            </w:pPr>
          </w:p>
        </w:tc>
        <w:tc>
          <w:tcPr>
            <w:tcW w:w="5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17.09</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3460" w:type="dxa"/>
            <w:vAlign w:val="bottom"/>
          </w:tcPr>
          <w:p>
            <w:pPr>
              <w:spacing w:after="0" w:line="20" w:lineRule="exact"/>
              <w:rPr>
                <w:sz w:val="1"/>
                <w:szCs w:val="1"/>
                <w:color w:val="auto"/>
              </w:rPr>
            </w:pPr>
          </w:p>
        </w:tc>
        <w:tc>
          <w:tcPr>
            <w:tcW w:w="1500" w:type="dxa"/>
            <w:vAlign w:val="bottom"/>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60" w:firstLine="456"/>
        <w:spacing w:after="0" w:line="259" w:lineRule="auto"/>
        <w:rPr>
          <w:sz w:val="20"/>
          <w:szCs w:val="20"/>
          <w:color w:val="auto"/>
        </w:rPr>
      </w:pPr>
      <w:r>
        <w:rPr>
          <w:rFonts w:ascii="Arial" w:cs="Arial" w:eastAsia="Arial" w:hAnsi="Arial"/>
          <w:sz w:val="18"/>
          <w:szCs w:val="18"/>
          <w:color w:val="auto"/>
        </w:rPr>
        <w:t>As of April 30, 2011, compensation costs related to stock options and restricted stock units not yet recognized amounted to $217.2 million. The unamortized compensation expense for restricted stock units will be amortized on a straight-line basis and is expected to be recognized over a weighted-average period of 2.0 years. Historically, the Company issued new shares to satisfy stock option exercises.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Employee stock purchase plan</w:t>
      </w:r>
    </w:p>
    <w:p>
      <w:pPr>
        <w:spacing w:after="0" w:line="90" w:lineRule="exact"/>
        <w:rPr>
          <w:sz w:val="20"/>
          <w:szCs w:val="20"/>
          <w:color w:val="auto"/>
        </w:rPr>
      </w:pPr>
    </w:p>
    <w:p>
      <w:pPr>
        <w:ind w:right="480" w:firstLine="456"/>
        <w:spacing w:after="0" w:line="259" w:lineRule="auto"/>
        <w:rPr>
          <w:sz w:val="20"/>
          <w:szCs w:val="20"/>
          <w:color w:val="auto"/>
        </w:rPr>
      </w:pPr>
      <w:r>
        <w:rPr>
          <w:rFonts w:ascii="Arial" w:cs="Arial" w:eastAsia="Arial" w:hAnsi="Arial"/>
          <w:sz w:val="18"/>
          <w:szCs w:val="18"/>
          <w:color w:val="auto"/>
        </w:rPr>
        <w:t>In June 2000, the Company adopted the 2000 Employee Stock Purchase Plan (the “Purchase Plan”), and on October 22, 2009, the Purchase Plan was amended and restated (the “Restated Purchase Plan”). The Restated Purchase Plan had 23.2 million common shares reserved for issuance thereunder as of April 30, 2011.</w:t>
      </w:r>
    </w:p>
    <w:p>
      <w:pPr>
        <w:spacing w:after="0" w:line="140"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The Company issued no shares under the Restated Purchase Plan in the three months ended April 30, 2011. As of April 30, 2011, there was $1.8 million of unrecognized compensation cost related to the Restated Purchase Plan.</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Stock Repurchase Program</w:t>
      </w:r>
    </w:p>
    <w:p>
      <w:pPr>
        <w:spacing w:after="0" w:line="90"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In August 2010, the Company announced that its Board of Directors had authorized a stock repurchase program of up to $500 million of the Company’s common shares in open market, privately negotiated or block transactions. In March 2011, the Company announced that its Board of Directors has authorized the Company to repurchase up to an additional $500 million, for a total of $1 billion, of its outstanding common shares. The repurchase program is subject to market conditions and other factors and does not obligate the Company to repurchase any dollar amount or number of its common shares. The program may be extended, modified, suspended or discontinued at any time.</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420"/>
          </w:cols>
          <w:pgMar w:left="240" w:top="459" w:right="23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40" w:firstLine="456"/>
        <w:spacing w:after="0" w:line="370" w:lineRule="auto"/>
        <w:rPr>
          <w:sz w:val="20"/>
          <w:szCs w:val="20"/>
          <w:color w:val="auto"/>
        </w:rPr>
      </w:pPr>
      <w:r>
        <w:rPr>
          <w:rFonts w:ascii="Arial" w:cs="Arial" w:eastAsia="Arial" w:hAnsi="Arial"/>
          <w:sz w:val="15"/>
          <w:szCs w:val="15"/>
          <w:color w:val="auto"/>
        </w:rPr>
        <w:t>The Company repurchased 50.3 million shares for $803.5 million in cash during the three months ended April 30, 2011. The repurchased shares were retired immediately after the repurchases were completed. As of April 30, 2011, $109 million remained available under this stock repurchase program.</w:t>
      </w:r>
    </w:p>
    <w:p>
      <w:pPr>
        <w:spacing w:after="0" w:line="13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Stock-Based Compensation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details of stock-based compensation expenses by functional line item (in thousands):</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4440" w:type="dxa"/>
            <w:vAlign w:val="bottom"/>
          </w:tcPr>
          <w:p>
            <w:pPr>
              <w:spacing w:after="0"/>
              <w:rPr>
                <w:sz w:val="14"/>
                <w:szCs w:val="14"/>
                <w:color w:val="auto"/>
              </w:rPr>
            </w:pPr>
          </w:p>
        </w:tc>
        <w:tc>
          <w:tcPr>
            <w:tcW w:w="25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600" w:type="dxa"/>
            <w:vAlign w:val="bottom"/>
            <w:gridSpan w:val="5"/>
          </w:tcPr>
          <w:p>
            <w:pPr>
              <w:ind w:left="80"/>
              <w:spacing w:after="0"/>
              <w:rPr>
                <w:sz w:val="20"/>
                <w:szCs w:val="20"/>
                <w:color w:val="auto"/>
              </w:rPr>
            </w:pPr>
            <w:r>
              <w:rPr>
                <w:rFonts w:ascii="Arial" w:cs="Arial" w:eastAsia="Arial" w:hAnsi="Arial"/>
                <w:sz w:val="14"/>
                <w:szCs w:val="14"/>
                <w:b w:val="1"/>
                <w:bCs w:val="1"/>
                <w:color w:val="auto"/>
              </w:rPr>
              <w:t>Three Months Ended</w:t>
            </w:r>
          </w:p>
        </w:tc>
      </w:tr>
      <w:tr>
        <w:trPr>
          <w:trHeight w:val="129"/>
        </w:trPr>
        <w:tc>
          <w:tcPr>
            <w:tcW w:w="4440" w:type="dxa"/>
            <w:vAlign w:val="bottom"/>
          </w:tcPr>
          <w:p>
            <w:pPr>
              <w:spacing w:after="0"/>
              <w:rPr>
                <w:sz w:val="11"/>
                <w:szCs w:val="11"/>
                <w:color w:val="auto"/>
              </w:rPr>
            </w:pPr>
          </w:p>
        </w:tc>
        <w:tc>
          <w:tcPr>
            <w:tcW w:w="2540" w:type="dxa"/>
            <w:vAlign w:val="bottom"/>
          </w:tcPr>
          <w:p>
            <w:pPr>
              <w:spacing w:after="0"/>
              <w:rPr>
                <w:sz w:val="11"/>
                <w:szCs w:val="11"/>
                <w:color w:val="auto"/>
              </w:rPr>
            </w:pPr>
          </w:p>
        </w:tc>
        <w:tc>
          <w:tcPr>
            <w:tcW w:w="5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4"/>
              </w:rPr>
              <w:t>April 30,</w:t>
            </w:r>
          </w:p>
        </w:tc>
        <w:tc>
          <w:tcPr>
            <w:tcW w:w="44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500" w:type="dxa"/>
            <w:vAlign w:val="bottom"/>
            <w:tcBorders>
              <w:top w:val="single" w:sz="8" w:color="auto"/>
            </w:tcBorders>
          </w:tcPr>
          <w:p>
            <w:pPr>
              <w:jc w:val="right"/>
              <w:ind w:right="18"/>
              <w:spacing w:after="0" w:line="129" w:lineRule="exact"/>
              <w:rPr>
                <w:sz w:val="20"/>
                <w:szCs w:val="20"/>
                <w:color w:val="auto"/>
              </w:rPr>
            </w:pPr>
            <w:r>
              <w:rPr>
                <w:rFonts w:ascii="Arial" w:cs="Arial" w:eastAsia="Arial" w:hAnsi="Arial"/>
                <w:sz w:val="14"/>
                <w:szCs w:val="14"/>
                <w:b w:val="1"/>
                <w:bCs w:val="1"/>
                <w:color w:val="auto"/>
                <w:w w:val="88"/>
              </w:rPr>
              <w:t>May 1,</w:t>
            </w:r>
          </w:p>
        </w:tc>
        <w:tc>
          <w:tcPr>
            <w:tcW w:w="100" w:type="dxa"/>
            <w:vAlign w:val="bottom"/>
          </w:tcPr>
          <w:p>
            <w:pPr>
              <w:spacing w:after="0"/>
              <w:rPr>
                <w:sz w:val="11"/>
                <w:szCs w:val="11"/>
                <w:color w:val="auto"/>
              </w:rPr>
            </w:pPr>
          </w:p>
        </w:tc>
      </w:tr>
      <w:tr>
        <w:trPr>
          <w:trHeight w:val="161"/>
        </w:trPr>
        <w:tc>
          <w:tcPr>
            <w:tcW w:w="4440" w:type="dxa"/>
            <w:vAlign w:val="bottom"/>
          </w:tcPr>
          <w:p>
            <w:pPr>
              <w:spacing w:after="0"/>
              <w:rPr>
                <w:sz w:val="14"/>
                <w:szCs w:val="14"/>
                <w:color w:val="auto"/>
              </w:rPr>
            </w:pPr>
          </w:p>
        </w:tc>
        <w:tc>
          <w:tcPr>
            <w:tcW w:w="25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78"/>
              <w:spacing w:after="0"/>
              <w:rPr>
                <w:sz w:val="20"/>
                <w:szCs w:val="20"/>
                <w:color w:val="auto"/>
              </w:rPr>
            </w:pPr>
            <w:r>
              <w:rPr>
                <w:rFonts w:ascii="Arial" w:cs="Arial" w:eastAsia="Arial" w:hAnsi="Arial"/>
                <w:sz w:val="14"/>
                <w:szCs w:val="14"/>
                <w:b w:val="1"/>
                <w:bCs w:val="1"/>
                <w:color w:val="auto"/>
                <w:w w:val="96"/>
              </w:rPr>
              <w:t>2011</w:t>
            </w:r>
          </w:p>
        </w:tc>
        <w:tc>
          <w:tcPr>
            <w:tcW w:w="4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78"/>
              <w:spacing w:after="0"/>
              <w:rPr>
                <w:sz w:val="20"/>
                <w:szCs w:val="20"/>
                <w:color w:val="auto"/>
              </w:rPr>
            </w:pPr>
            <w:r>
              <w:rPr>
                <w:rFonts w:ascii="Arial" w:cs="Arial" w:eastAsia="Arial" w:hAnsi="Arial"/>
                <w:sz w:val="14"/>
                <w:szCs w:val="14"/>
                <w:b w:val="1"/>
                <w:bCs w:val="1"/>
                <w:color w:val="auto"/>
              </w:rPr>
              <w:t>2010</w:t>
            </w:r>
          </w:p>
        </w:tc>
        <w:tc>
          <w:tcPr>
            <w:tcW w:w="100" w:type="dxa"/>
            <w:vAlign w:val="bottom"/>
          </w:tcPr>
          <w:p>
            <w:pPr>
              <w:spacing w:after="0"/>
              <w:rPr>
                <w:sz w:val="14"/>
                <w:szCs w:val="14"/>
                <w:color w:val="auto"/>
              </w:rPr>
            </w:pPr>
          </w:p>
        </w:tc>
      </w:tr>
      <w:tr>
        <w:trPr>
          <w:trHeight w:val="210"/>
        </w:trPr>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2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1,695</w:t>
            </w:r>
          </w:p>
        </w:tc>
        <w:tc>
          <w:tcPr>
            <w:tcW w:w="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2,236</w:t>
            </w:r>
          </w:p>
        </w:tc>
        <w:tc>
          <w:tcPr>
            <w:tcW w:w="100" w:type="dxa"/>
            <w:vAlign w:val="bottom"/>
            <w:shd w:val="clear" w:color="auto" w:fill="CCEEFF"/>
          </w:tcPr>
          <w:p>
            <w:pPr>
              <w:spacing w:after="0"/>
              <w:rPr>
                <w:sz w:val="18"/>
                <w:szCs w:val="18"/>
                <w:color w:val="auto"/>
              </w:rPr>
            </w:pPr>
          </w:p>
        </w:tc>
      </w:tr>
      <w:tr>
        <w:trPr>
          <w:trHeight w:val="216"/>
        </w:trPr>
        <w:tc>
          <w:tcPr>
            <w:tcW w:w="444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2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19,593</w:t>
            </w: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18,851</w:t>
            </w:r>
          </w:p>
        </w:tc>
        <w:tc>
          <w:tcPr>
            <w:tcW w:w="100" w:type="dxa"/>
            <w:vAlign w:val="bottom"/>
          </w:tcPr>
          <w:p>
            <w:pPr>
              <w:spacing w:after="0"/>
              <w:rPr>
                <w:sz w:val="18"/>
                <w:szCs w:val="18"/>
                <w:color w:val="auto"/>
              </w:rPr>
            </w:pPr>
          </w:p>
        </w:tc>
      </w:tr>
      <w:tr>
        <w:trPr>
          <w:trHeight w:val="216"/>
        </w:trPr>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2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2,654</w:t>
            </w: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3,173</w:t>
            </w:r>
          </w:p>
        </w:tc>
        <w:tc>
          <w:tcPr>
            <w:tcW w:w="100" w:type="dxa"/>
            <w:vAlign w:val="bottom"/>
            <w:shd w:val="clear" w:color="auto" w:fill="CCEEFF"/>
          </w:tcPr>
          <w:p>
            <w:pPr>
              <w:spacing w:after="0"/>
              <w:rPr>
                <w:sz w:val="18"/>
                <w:szCs w:val="18"/>
                <w:color w:val="auto"/>
              </w:rPr>
            </w:pPr>
          </w:p>
        </w:tc>
      </w:tr>
      <w:tr>
        <w:trPr>
          <w:trHeight w:val="223"/>
        </w:trPr>
        <w:tc>
          <w:tcPr>
            <w:tcW w:w="444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25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3,538</w:t>
            </w:r>
          </w:p>
        </w:tc>
        <w:tc>
          <w:tcPr>
            <w:tcW w:w="4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2,636</w:t>
            </w:r>
          </w:p>
        </w:tc>
        <w:tc>
          <w:tcPr>
            <w:tcW w:w="100" w:type="dxa"/>
            <w:vAlign w:val="bottom"/>
          </w:tcPr>
          <w:p>
            <w:pPr>
              <w:spacing w:after="0"/>
              <w:rPr>
                <w:sz w:val="19"/>
                <w:szCs w:val="19"/>
                <w:color w:val="auto"/>
              </w:rPr>
            </w:pPr>
          </w:p>
        </w:tc>
      </w:tr>
      <w:tr>
        <w:trPr>
          <w:trHeight w:val="216"/>
        </w:trPr>
        <w:tc>
          <w:tcPr>
            <w:tcW w:w="4440" w:type="dxa"/>
            <w:vAlign w:val="bottom"/>
            <w:shd w:val="clear" w:color="auto" w:fill="CCEEFF"/>
          </w:tcPr>
          <w:p>
            <w:pPr>
              <w:spacing w:after="0"/>
              <w:rPr>
                <w:sz w:val="18"/>
                <w:szCs w:val="18"/>
                <w:color w:val="auto"/>
              </w:rPr>
            </w:pPr>
          </w:p>
        </w:tc>
        <w:tc>
          <w:tcPr>
            <w:tcW w:w="26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27,480</w:t>
            </w:r>
          </w:p>
        </w:tc>
        <w:tc>
          <w:tcPr>
            <w:tcW w:w="5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26,896</w:t>
            </w:r>
          </w:p>
        </w:tc>
        <w:tc>
          <w:tcPr>
            <w:tcW w:w="100" w:type="dxa"/>
            <w:vAlign w:val="bottom"/>
            <w:shd w:val="clear" w:color="auto" w:fill="CCEEFF"/>
          </w:tcPr>
          <w:p>
            <w:pPr>
              <w:spacing w:after="0"/>
              <w:rPr>
                <w:sz w:val="18"/>
                <w:szCs w:val="18"/>
                <w:color w:val="auto"/>
              </w:rPr>
            </w:pPr>
          </w:p>
        </w:tc>
      </w:tr>
      <w:tr>
        <w:trPr>
          <w:trHeight w:val="20"/>
        </w:trPr>
        <w:tc>
          <w:tcPr>
            <w:tcW w:w="4440" w:type="dxa"/>
            <w:vAlign w:val="bottom"/>
          </w:tcPr>
          <w:p>
            <w:pPr>
              <w:spacing w:after="0" w:line="20" w:lineRule="exact"/>
              <w:rPr>
                <w:sz w:val="1"/>
                <w:szCs w:val="1"/>
                <w:color w:val="auto"/>
              </w:rPr>
            </w:pPr>
          </w:p>
        </w:tc>
        <w:tc>
          <w:tcPr>
            <w:tcW w:w="25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Stock-based compensation of $1.5 million was capitalized in inventory as of April 30, 2011 and January 29, 2011.</w:t>
      </w:r>
    </w:p>
    <w:p>
      <w:pPr>
        <w:spacing w:after="0" w:line="252"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Time-based Vesting</w:t>
      </w:r>
    </w:p>
    <w:p>
      <w:pPr>
        <w:spacing w:after="0" w:line="90"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following weighted average assumptions were used for each respective period to calculate the fair value of each time-based equity award on the date of grant using the Black-Scholes option pricing model:</w:t>
      </w:r>
    </w:p>
    <w:p>
      <w:pPr>
        <w:spacing w:after="0" w:line="168"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4240" w:type="dxa"/>
            <w:vAlign w:val="bottom"/>
          </w:tcPr>
          <w:p>
            <w:pPr>
              <w:spacing w:after="0"/>
              <w:rPr>
                <w:sz w:val="14"/>
                <w:szCs w:val="14"/>
                <w:color w:val="auto"/>
              </w:rPr>
            </w:pPr>
          </w:p>
        </w:tc>
        <w:tc>
          <w:tcPr>
            <w:tcW w:w="2520" w:type="dxa"/>
            <w:vAlign w:val="bottom"/>
          </w:tcPr>
          <w:p>
            <w:pPr>
              <w:spacing w:after="0"/>
              <w:rPr>
                <w:sz w:val="14"/>
                <w:szCs w:val="14"/>
                <w:color w:val="auto"/>
              </w:rPr>
            </w:pPr>
          </w:p>
        </w:tc>
        <w:tc>
          <w:tcPr>
            <w:tcW w:w="1920" w:type="dxa"/>
            <w:vAlign w:val="bottom"/>
            <w:gridSpan w:val="5"/>
          </w:tcPr>
          <w:p>
            <w:pPr>
              <w:jc w:val="right"/>
              <w:ind w:right="460"/>
              <w:spacing w:after="0"/>
              <w:rPr>
                <w:sz w:val="20"/>
                <w:szCs w:val="20"/>
                <w:color w:val="auto"/>
              </w:rPr>
            </w:pPr>
            <w:r>
              <w:rPr>
                <w:rFonts w:ascii="Arial" w:cs="Arial" w:eastAsia="Arial" w:hAnsi="Arial"/>
                <w:sz w:val="14"/>
                <w:szCs w:val="14"/>
                <w:b w:val="1"/>
                <w:bCs w:val="1"/>
                <w:color w:val="auto"/>
              </w:rPr>
              <w:t>Three Months Ended</w:t>
            </w:r>
          </w:p>
        </w:tc>
      </w:tr>
      <w:tr>
        <w:trPr>
          <w:trHeight w:val="129"/>
        </w:trPr>
        <w:tc>
          <w:tcPr>
            <w:tcW w:w="4240" w:type="dxa"/>
            <w:vAlign w:val="bottom"/>
          </w:tcPr>
          <w:p>
            <w:pPr>
              <w:spacing w:after="0"/>
              <w:rPr>
                <w:sz w:val="11"/>
                <w:szCs w:val="11"/>
                <w:color w:val="auto"/>
              </w:rPr>
            </w:pPr>
          </w:p>
        </w:tc>
        <w:tc>
          <w:tcPr>
            <w:tcW w:w="2520" w:type="dxa"/>
            <w:vAlign w:val="bottom"/>
          </w:tcPr>
          <w:p>
            <w:pPr>
              <w:spacing w:after="0"/>
              <w:rPr>
                <w:sz w:val="11"/>
                <w:szCs w:val="11"/>
                <w:color w:val="auto"/>
              </w:rPr>
            </w:pPr>
          </w:p>
        </w:tc>
        <w:tc>
          <w:tcPr>
            <w:tcW w:w="960" w:type="dxa"/>
            <w:vAlign w:val="bottom"/>
            <w:tcBorders>
              <w:top w:val="single" w:sz="8" w:color="auto"/>
            </w:tcBorders>
            <w:gridSpan w:val="2"/>
          </w:tcPr>
          <w:p>
            <w:pPr>
              <w:jc w:val="right"/>
              <w:ind w:right="460"/>
              <w:spacing w:after="0" w:line="129" w:lineRule="exact"/>
              <w:rPr>
                <w:sz w:val="20"/>
                <w:szCs w:val="20"/>
                <w:color w:val="auto"/>
              </w:rPr>
            </w:pPr>
            <w:r>
              <w:rPr>
                <w:rFonts w:ascii="Arial" w:cs="Arial" w:eastAsia="Arial" w:hAnsi="Arial"/>
                <w:sz w:val="14"/>
                <w:szCs w:val="14"/>
                <w:b w:val="1"/>
                <w:bCs w:val="1"/>
                <w:color w:val="auto"/>
                <w:w w:val="86"/>
              </w:rPr>
              <w:t>April 30,</w:t>
            </w:r>
          </w:p>
        </w:tc>
        <w:tc>
          <w:tcPr>
            <w:tcW w:w="300" w:type="dxa"/>
            <w:vAlign w:val="bottom"/>
            <w:tcBorders>
              <w:top w:val="single" w:sz="8" w:color="auto"/>
            </w:tcBorders>
          </w:tcPr>
          <w:p>
            <w:pPr>
              <w:spacing w:after="0"/>
              <w:rPr>
                <w:sz w:val="11"/>
                <w:szCs w:val="11"/>
                <w:color w:val="auto"/>
              </w:rPr>
            </w:pPr>
          </w:p>
        </w:tc>
        <w:tc>
          <w:tcPr>
            <w:tcW w:w="4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3"/>
              </w:rPr>
              <w:t>May 1,</w:t>
            </w:r>
          </w:p>
        </w:tc>
        <w:tc>
          <w:tcPr>
            <w:tcW w:w="200" w:type="dxa"/>
            <w:vAlign w:val="bottom"/>
          </w:tcPr>
          <w:p>
            <w:pPr>
              <w:spacing w:after="0"/>
              <w:rPr>
                <w:sz w:val="11"/>
                <w:szCs w:val="11"/>
                <w:color w:val="auto"/>
              </w:rPr>
            </w:pPr>
          </w:p>
        </w:tc>
      </w:tr>
      <w:tr>
        <w:trPr>
          <w:trHeight w:val="161"/>
        </w:trPr>
        <w:tc>
          <w:tcPr>
            <w:tcW w:w="4240" w:type="dxa"/>
            <w:vAlign w:val="bottom"/>
          </w:tcPr>
          <w:p>
            <w:pPr>
              <w:spacing w:after="0"/>
              <w:rPr>
                <w:sz w:val="14"/>
                <w:szCs w:val="14"/>
                <w:color w:val="auto"/>
              </w:rPr>
            </w:pPr>
          </w:p>
        </w:tc>
        <w:tc>
          <w:tcPr>
            <w:tcW w:w="2520" w:type="dxa"/>
            <w:vAlign w:val="bottom"/>
          </w:tcPr>
          <w:p>
            <w:pPr>
              <w:spacing w:after="0"/>
              <w:rPr>
                <w:sz w:val="14"/>
                <w:szCs w:val="14"/>
                <w:color w:val="auto"/>
              </w:rPr>
            </w:pPr>
          </w:p>
        </w:tc>
        <w:tc>
          <w:tcPr>
            <w:tcW w:w="520" w:type="dxa"/>
            <w:vAlign w:val="bottom"/>
            <w:tcBorders>
              <w:bottom w:val="single" w:sz="8" w:color="auto"/>
            </w:tcBorders>
          </w:tcPr>
          <w:p>
            <w:pPr>
              <w:jc w:val="right"/>
              <w:ind w:right="67"/>
              <w:spacing w:after="0"/>
              <w:rPr>
                <w:sz w:val="20"/>
                <w:szCs w:val="20"/>
                <w:color w:val="auto"/>
              </w:rPr>
            </w:pPr>
            <w:r>
              <w:rPr>
                <w:rFonts w:ascii="Arial" w:cs="Arial" w:eastAsia="Arial" w:hAnsi="Arial"/>
                <w:sz w:val="14"/>
                <w:szCs w:val="14"/>
                <w:b w:val="1"/>
                <w:bCs w:val="1"/>
                <w:color w:val="auto"/>
              </w:rPr>
              <w:t>2011</w:t>
            </w:r>
          </w:p>
        </w:tc>
        <w:tc>
          <w:tcPr>
            <w:tcW w:w="4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460" w:type="dxa"/>
            <w:vAlign w:val="bottom"/>
            <w:tcBorders>
              <w:bottom w:val="single" w:sz="8" w:color="auto"/>
            </w:tcBorders>
          </w:tcPr>
          <w:p>
            <w:pPr>
              <w:jc w:val="right"/>
              <w:ind w:right="26"/>
              <w:spacing w:after="0"/>
              <w:rPr>
                <w:sz w:val="20"/>
                <w:szCs w:val="20"/>
                <w:color w:val="auto"/>
              </w:rPr>
            </w:pPr>
            <w:r>
              <w:rPr>
                <w:rFonts w:ascii="Arial" w:cs="Arial" w:eastAsia="Arial" w:hAnsi="Arial"/>
                <w:sz w:val="14"/>
                <w:szCs w:val="14"/>
                <w:b w:val="1"/>
                <w:bCs w:val="1"/>
                <w:color w:val="auto"/>
              </w:rPr>
              <w:t>2010</w:t>
            </w:r>
          </w:p>
        </w:tc>
        <w:tc>
          <w:tcPr>
            <w:tcW w:w="200" w:type="dxa"/>
            <w:vAlign w:val="bottom"/>
          </w:tcPr>
          <w:p>
            <w:pPr>
              <w:spacing w:after="0"/>
              <w:rPr>
                <w:sz w:val="14"/>
                <w:szCs w:val="14"/>
                <w:color w:val="auto"/>
              </w:rPr>
            </w:pPr>
          </w:p>
        </w:tc>
      </w:tr>
      <w:tr>
        <w:trPr>
          <w:trHeight w:val="210"/>
        </w:trPr>
        <w:tc>
          <w:tcPr>
            <w:tcW w:w="4240" w:type="dxa"/>
            <w:vAlign w:val="bottom"/>
            <w:shd w:val="clear" w:color="auto" w:fill="CCEEFF"/>
          </w:tcPr>
          <w:p>
            <w:pPr>
              <w:spacing w:after="0"/>
              <w:rPr>
                <w:sz w:val="20"/>
                <w:szCs w:val="20"/>
                <w:color w:val="auto"/>
              </w:rPr>
            </w:pPr>
            <w:r>
              <w:rPr>
                <w:rFonts w:ascii="Arial" w:cs="Arial" w:eastAsia="Arial" w:hAnsi="Arial"/>
                <w:sz w:val="18"/>
                <w:szCs w:val="18"/>
                <w:color w:val="auto"/>
              </w:rPr>
              <w:t>Estimated fair value</w:t>
            </w:r>
          </w:p>
        </w:tc>
        <w:tc>
          <w:tcPr>
            <w:tcW w:w="30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6.06</w:t>
            </w:r>
          </w:p>
        </w:tc>
        <w:tc>
          <w:tcPr>
            <w:tcW w:w="44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$ 9.65</w:t>
            </w:r>
          </w:p>
        </w:tc>
        <w:tc>
          <w:tcPr>
            <w:tcW w:w="200" w:type="dxa"/>
            <w:vAlign w:val="bottom"/>
            <w:shd w:val="clear" w:color="auto" w:fill="CCEEFF"/>
          </w:tcPr>
          <w:p>
            <w:pPr>
              <w:spacing w:after="0"/>
              <w:rPr>
                <w:sz w:val="18"/>
                <w:szCs w:val="18"/>
                <w:color w:val="auto"/>
              </w:rPr>
            </w:pPr>
          </w:p>
        </w:tc>
      </w:tr>
      <w:tr>
        <w:trPr>
          <w:trHeight w:val="216"/>
        </w:trPr>
        <w:tc>
          <w:tcPr>
            <w:tcW w:w="4240" w:type="dxa"/>
            <w:vAlign w:val="bottom"/>
          </w:tcPr>
          <w:p>
            <w:pPr>
              <w:spacing w:after="0"/>
              <w:rPr>
                <w:sz w:val="20"/>
                <w:szCs w:val="20"/>
                <w:color w:val="auto"/>
              </w:rPr>
            </w:pPr>
            <w:r>
              <w:rPr>
                <w:rFonts w:ascii="Arial" w:cs="Arial" w:eastAsia="Arial" w:hAnsi="Arial"/>
                <w:sz w:val="18"/>
                <w:szCs w:val="18"/>
                <w:color w:val="auto"/>
              </w:rPr>
              <w:t>Volatility</w:t>
            </w:r>
          </w:p>
        </w:tc>
        <w:tc>
          <w:tcPr>
            <w:tcW w:w="3480" w:type="dxa"/>
            <w:vAlign w:val="bottom"/>
            <w:gridSpan w:val="3"/>
          </w:tcPr>
          <w:p>
            <w:pPr>
              <w:jc w:val="right"/>
              <w:ind w:right="300"/>
              <w:spacing w:after="0"/>
              <w:rPr>
                <w:sz w:val="20"/>
                <w:szCs w:val="20"/>
                <w:color w:val="auto"/>
              </w:rPr>
            </w:pPr>
            <w:r>
              <w:rPr>
                <w:rFonts w:ascii="Arial" w:cs="Arial" w:eastAsia="Arial" w:hAnsi="Arial"/>
                <w:sz w:val="18"/>
                <w:szCs w:val="18"/>
                <w:color w:val="auto"/>
              </w:rPr>
              <w:t>42%</w:t>
            </w:r>
          </w:p>
        </w:tc>
        <w:tc>
          <w:tcPr>
            <w:tcW w:w="960" w:type="dxa"/>
            <w:vAlign w:val="bottom"/>
            <w:gridSpan w:val="3"/>
          </w:tcPr>
          <w:p>
            <w:pPr>
              <w:jc w:val="right"/>
              <w:ind w:right="60"/>
              <w:spacing w:after="0"/>
              <w:rPr>
                <w:sz w:val="20"/>
                <w:szCs w:val="20"/>
                <w:color w:val="auto"/>
              </w:rPr>
            </w:pPr>
            <w:r>
              <w:rPr>
                <w:rFonts w:ascii="Arial" w:cs="Arial" w:eastAsia="Arial" w:hAnsi="Arial"/>
                <w:sz w:val="18"/>
                <w:szCs w:val="18"/>
                <w:color w:val="auto"/>
              </w:rPr>
              <w:t>53%</w:t>
            </w:r>
          </w:p>
        </w:tc>
      </w:tr>
      <w:tr>
        <w:trPr>
          <w:trHeight w:val="216"/>
        </w:trPr>
        <w:tc>
          <w:tcPr>
            <w:tcW w:w="4240" w:type="dxa"/>
            <w:vAlign w:val="bottom"/>
            <w:shd w:val="clear" w:color="auto" w:fill="CCEEFF"/>
          </w:tcPr>
          <w:p>
            <w:pPr>
              <w:spacing w:after="0"/>
              <w:rPr>
                <w:sz w:val="20"/>
                <w:szCs w:val="20"/>
                <w:color w:val="auto"/>
              </w:rPr>
            </w:pPr>
            <w:r>
              <w:rPr>
                <w:rFonts w:ascii="Arial" w:cs="Arial" w:eastAsia="Arial" w:hAnsi="Arial"/>
                <w:sz w:val="18"/>
                <w:szCs w:val="18"/>
                <w:color w:val="auto"/>
              </w:rPr>
              <w:t>Expected term (in years)</w:t>
            </w:r>
          </w:p>
        </w:tc>
        <w:tc>
          <w:tcPr>
            <w:tcW w:w="30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4.8</w:t>
            </w:r>
          </w:p>
        </w:tc>
        <w:tc>
          <w:tcPr>
            <w:tcW w:w="44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4.7</w:t>
            </w:r>
          </w:p>
        </w:tc>
        <w:tc>
          <w:tcPr>
            <w:tcW w:w="200" w:type="dxa"/>
            <w:vAlign w:val="bottom"/>
            <w:shd w:val="clear" w:color="auto" w:fill="CCEEFF"/>
          </w:tcPr>
          <w:p>
            <w:pPr>
              <w:spacing w:after="0"/>
              <w:rPr>
                <w:sz w:val="18"/>
                <w:szCs w:val="18"/>
                <w:color w:val="auto"/>
              </w:rPr>
            </w:pPr>
          </w:p>
        </w:tc>
      </w:tr>
      <w:tr>
        <w:trPr>
          <w:trHeight w:val="216"/>
        </w:trPr>
        <w:tc>
          <w:tcPr>
            <w:tcW w:w="4240" w:type="dxa"/>
            <w:vAlign w:val="bottom"/>
          </w:tcPr>
          <w:p>
            <w:pPr>
              <w:spacing w:after="0"/>
              <w:rPr>
                <w:sz w:val="20"/>
                <w:szCs w:val="20"/>
                <w:color w:val="auto"/>
              </w:rPr>
            </w:pPr>
            <w:r>
              <w:rPr>
                <w:rFonts w:ascii="Arial" w:cs="Arial" w:eastAsia="Arial" w:hAnsi="Arial"/>
                <w:sz w:val="18"/>
                <w:szCs w:val="18"/>
                <w:color w:val="auto"/>
              </w:rPr>
              <w:t>Risk-free interest rate</w:t>
            </w:r>
          </w:p>
        </w:tc>
        <w:tc>
          <w:tcPr>
            <w:tcW w:w="3480" w:type="dxa"/>
            <w:vAlign w:val="bottom"/>
            <w:gridSpan w:val="3"/>
          </w:tcPr>
          <w:p>
            <w:pPr>
              <w:jc w:val="right"/>
              <w:ind w:right="300"/>
              <w:spacing w:after="0"/>
              <w:rPr>
                <w:sz w:val="20"/>
                <w:szCs w:val="20"/>
                <w:color w:val="auto"/>
              </w:rPr>
            </w:pPr>
            <w:r>
              <w:rPr>
                <w:rFonts w:ascii="Arial" w:cs="Arial" w:eastAsia="Arial" w:hAnsi="Arial"/>
                <w:sz w:val="18"/>
                <w:szCs w:val="18"/>
                <w:color w:val="auto"/>
              </w:rPr>
              <w:t>2.2%</w:t>
            </w:r>
          </w:p>
        </w:tc>
        <w:tc>
          <w:tcPr>
            <w:tcW w:w="960" w:type="dxa"/>
            <w:vAlign w:val="bottom"/>
            <w:gridSpan w:val="3"/>
          </w:tcPr>
          <w:p>
            <w:pPr>
              <w:jc w:val="right"/>
              <w:ind w:right="60"/>
              <w:spacing w:after="0"/>
              <w:rPr>
                <w:sz w:val="20"/>
                <w:szCs w:val="20"/>
                <w:color w:val="auto"/>
              </w:rPr>
            </w:pPr>
            <w:r>
              <w:rPr>
                <w:rFonts w:ascii="Arial" w:cs="Arial" w:eastAsia="Arial" w:hAnsi="Arial"/>
                <w:sz w:val="18"/>
                <w:szCs w:val="18"/>
                <w:color w:val="auto"/>
              </w:rPr>
              <w:t>2.2%</w:t>
            </w:r>
          </w:p>
        </w:tc>
      </w:tr>
      <w:tr>
        <w:trPr>
          <w:trHeight w:val="216"/>
        </w:trPr>
        <w:tc>
          <w:tcPr>
            <w:tcW w:w="4240" w:type="dxa"/>
            <w:vAlign w:val="bottom"/>
            <w:shd w:val="clear" w:color="auto" w:fill="CCEEFF"/>
          </w:tcPr>
          <w:p>
            <w:pPr>
              <w:spacing w:after="0"/>
              <w:rPr>
                <w:sz w:val="20"/>
                <w:szCs w:val="20"/>
                <w:color w:val="auto"/>
              </w:rPr>
            </w:pPr>
            <w:r>
              <w:rPr>
                <w:rFonts w:ascii="Arial" w:cs="Arial" w:eastAsia="Arial" w:hAnsi="Arial"/>
                <w:sz w:val="18"/>
                <w:szCs w:val="18"/>
                <w:color w:val="auto"/>
              </w:rPr>
              <w:t>Dividend yield</w:t>
            </w:r>
          </w:p>
        </w:tc>
        <w:tc>
          <w:tcPr>
            <w:tcW w:w="25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r>
    </w:tbl>
    <w:p>
      <w:pPr>
        <w:spacing w:after="0" w:line="154" w:lineRule="exact"/>
        <w:rPr>
          <w:sz w:val="20"/>
          <w:szCs w:val="20"/>
          <w:color w:val="auto"/>
        </w:rPr>
      </w:pPr>
    </w:p>
    <w:p>
      <w:pPr>
        <w:jc w:val="both"/>
        <w:ind w:right="140" w:firstLine="456"/>
        <w:spacing w:after="0" w:line="256" w:lineRule="auto"/>
        <w:rPr>
          <w:sz w:val="20"/>
          <w:szCs w:val="20"/>
          <w:color w:val="auto"/>
        </w:rPr>
      </w:pPr>
      <w:r>
        <w:rPr>
          <w:rFonts w:ascii="Arial" w:cs="Arial" w:eastAsia="Arial" w:hAnsi="Arial"/>
          <w:sz w:val="18"/>
          <w:szCs w:val="18"/>
          <w:color w:val="auto"/>
        </w:rPr>
        <w:t>The expected volatility for awards granted during the three months ended April 30, 2011 is based on an equally weighted combination of historical stock price volatility and implied volatility derived from traded options on the Company’s stock in the marketplace. The calculation of expected volatility for previous periods was based solely on historical stock price volatility. The Company believes that the combination of historical volatility and implied volatility provides a better estimate of future stock price volatility.</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Market-based Vesting</w:t>
      </w:r>
    </w:p>
    <w:p>
      <w:pPr>
        <w:spacing w:after="0" w:line="90" w:lineRule="exact"/>
        <w:rPr>
          <w:sz w:val="20"/>
          <w:szCs w:val="20"/>
          <w:color w:val="auto"/>
        </w:rPr>
      </w:pPr>
    </w:p>
    <w:p>
      <w:pPr>
        <w:ind w:right="160" w:firstLine="456"/>
        <w:spacing w:after="0" w:line="255" w:lineRule="auto"/>
        <w:rPr>
          <w:sz w:val="20"/>
          <w:szCs w:val="20"/>
          <w:color w:val="auto"/>
        </w:rPr>
      </w:pPr>
      <w:r>
        <w:rPr>
          <w:rFonts w:ascii="Arial" w:cs="Arial" w:eastAsia="Arial" w:hAnsi="Arial"/>
          <w:sz w:val="18"/>
          <w:szCs w:val="18"/>
          <w:color w:val="auto"/>
        </w:rPr>
        <w:t>The fair value of each market-based option award is estimated on the date of grant using a Monte Carlo simulation model that uses the assumptions noted in the following table, including the same volatility applied to the Company’s time-based options. Because a Monte Carlo simulation model incorporates ranges of assumptions for inputs, those ranges are disclosed where applicable. The Company uses historical data to estimate employee termination within the valuation model. The expected term of options granted of 2.66 years was derived from the output of the valuation model and represents the period of time that options granted are expected to be outstanding.</w:t>
      </w:r>
    </w:p>
    <w:p>
      <w:pPr>
        <w:spacing w:after="0" w:line="167"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2660" w:type="dxa"/>
            <w:vAlign w:val="bottom"/>
          </w:tcPr>
          <w:p>
            <w:pPr>
              <w:spacing w:after="0"/>
              <w:rPr>
                <w:sz w:val="14"/>
                <w:szCs w:val="14"/>
                <w:color w:val="auto"/>
              </w:rPr>
            </w:pPr>
          </w:p>
        </w:tc>
        <w:tc>
          <w:tcPr>
            <w:tcW w:w="4020" w:type="dxa"/>
            <w:vAlign w:val="bottom"/>
          </w:tcPr>
          <w:p>
            <w:pPr>
              <w:spacing w:after="0"/>
              <w:rPr>
                <w:sz w:val="14"/>
                <w:szCs w:val="14"/>
                <w:color w:val="auto"/>
              </w:rPr>
            </w:pPr>
          </w:p>
        </w:tc>
        <w:tc>
          <w:tcPr>
            <w:tcW w:w="1080" w:type="dxa"/>
            <w:vAlign w:val="bottom"/>
            <w:gridSpan w:val="3"/>
          </w:tcPr>
          <w:p>
            <w:pPr>
              <w:jc w:val="center"/>
              <w:ind w:right="220"/>
              <w:spacing w:after="0"/>
              <w:rPr>
                <w:sz w:val="20"/>
                <w:szCs w:val="20"/>
                <w:color w:val="auto"/>
              </w:rPr>
            </w:pPr>
            <w:r>
              <w:rPr>
                <w:rFonts w:ascii="Arial" w:cs="Arial" w:eastAsia="Arial" w:hAnsi="Arial"/>
                <w:sz w:val="14"/>
                <w:szCs w:val="14"/>
                <w:b w:val="1"/>
                <w:bCs w:val="1"/>
                <w:color w:val="auto"/>
                <w:w w:val="89"/>
              </w:rPr>
              <w:t>Three Months</w:t>
            </w:r>
          </w:p>
        </w:tc>
      </w:tr>
      <w:tr>
        <w:trPr>
          <w:trHeight w:val="161"/>
        </w:trPr>
        <w:tc>
          <w:tcPr>
            <w:tcW w:w="2660" w:type="dxa"/>
            <w:vAlign w:val="bottom"/>
          </w:tcPr>
          <w:p>
            <w:pPr>
              <w:spacing w:after="0"/>
              <w:rPr>
                <w:sz w:val="14"/>
                <w:szCs w:val="14"/>
                <w:color w:val="auto"/>
              </w:rPr>
            </w:pPr>
          </w:p>
        </w:tc>
        <w:tc>
          <w:tcPr>
            <w:tcW w:w="40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8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88"/>
              </w:rPr>
              <w:t>Ended</w:t>
            </w:r>
          </w:p>
        </w:tc>
      </w:tr>
      <w:tr>
        <w:trPr>
          <w:trHeight w:val="142"/>
        </w:trPr>
        <w:tc>
          <w:tcPr>
            <w:tcW w:w="2660" w:type="dxa"/>
            <w:vAlign w:val="bottom"/>
          </w:tcPr>
          <w:p>
            <w:pPr>
              <w:spacing w:after="0"/>
              <w:rPr>
                <w:sz w:val="12"/>
                <w:szCs w:val="12"/>
                <w:color w:val="auto"/>
              </w:rPr>
            </w:pPr>
          </w:p>
        </w:tc>
        <w:tc>
          <w:tcPr>
            <w:tcW w:w="4020" w:type="dxa"/>
            <w:vAlign w:val="bottom"/>
          </w:tcPr>
          <w:p>
            <w:pPr>
              <w:spacing w:after="0"/>
              <w:rPr>
                <w:sz w:val="12"/>
                <w:szCs w:val="12"/>
                <w:color w:val="auto"/>
              </w:rPr>
            </w:pPr>
          </w:p>
        </w:tc>
        <w:tc>
          <w:tcPr>
            <w:tcW w:w="880" w:type="dxa"/>
            <w:vAlign w:val="bottom"/>
            <w:tcBorders>
              <w:top w:val="single" w:sz="8" w:color="auto"/>
              <w:bottom w:val="single" w:sz="8" w:color="auto"/>
            </w:tcBorders>
            <w:gridSpan w:val="2"/>
          </w:tcPr>
          <w:p>
            <w:pPr>
              <w:jc w:val="center"/>
              <w:spacing w:after="0" w:line="142" w:lineRule="exact"/>
              <w:rPr>
                <w:sz w:val="20"/>
                <w:szCs w:val="20"/>
                <w:color w:val="auto"/>
              </w:rPr>
            </w:pPr>
            <w:r>
              <w:rPr>
                <w:rFonts w:ascii="Arial" w:cs="Arial" w:eastAsia="Arial" w:hAnsi="Arial"/>
                <w:sz w:val="14"/>
                <w:szCs w:val="14"/>
                <w:b w:val="1"/>
                <w:bCs w:val="1"/>
                <w:color w:val="auto"/>
                <w:w w:val="88"/>
              </w:rPr>
              <w:t>April 30, 2011</w:t>
            </w:r>
          </w:p>
        </w:tc>
        <w:tc>
          <w:tcPr>
            <w:tcW w:w="200" w:type="dxa"/>
            <w:vAlign w:val="bottom"/>
          </w:tcPr>
          <w:p>
            <w:pPr>
              <w:spacing w:after="0"/>
              <w:rPr>
                <w:sz w:val="12"/>
                <w:szCs w:val="12"/>
                <w:color w:val="auto"/>
              </w:rPr>
            </w:pPr>
          </w:p>
        </w:tc>
      </w:tr>
      <w:tr>
        <w:trPr>
          <w:trHeight w:val="210"/>
        </w:trPr>
        <w:tc>
          <w:tcPr>
            <w:tcW w:w="2660" w:type="dxa"/>
            <w:vAlign w:val="bottom"/>
            <w:shd w:val="clear" w:color="auto" w:fill="CCEEFF"/>
          </w:tcPr>
          <w:p>
            <w:pPr>
              <w:spacing w:after="0"/>
              <w:rPr>
                <w:sz w:val="20"/>
                <w:szCs w:val="20"/>
                <w:color w:val="auto"/>
              </w:rPr>
            </w:pPr>
            <w:r>
              <w:rPr>
                <w:rFonts w:ascii="Arial" w:cs="Arial" w:eastAsia="Arial" w:hAnsi="Arial"/>
                <w:sz w:val="18"/>
                <w:szCs w:val="18"/>
                <w:color w:val="auto"/>
              </w:rPr>
              <w:t>Estimated fair value</w:t>
            </w:r>
          </w:p>
        </w:tc>
        <w:tc>
          <w:tcPr>
            <w:tcW w:w="41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5.08</w:t>
            </w:r>
          </w:p>
        </w:tc>
        <w:tc>
          <w:tcPr>
            <w:tcW w:w="200" w:type="dxa"/>
            <w:vAlign w:val="bottom"/>
            <w:shd w:val="clear" w:color="auto" w:fill="CCEEFF"/>
          </w:tcPr>
          <w:p>
            <w:pPr>
              <w:spacing w:after="0"/>
              <w:rPr>
                <w:sz w:val="18"/>
                <w:szCs w:val="18"/>
                <w:color w:val="auto"/>
              </w:rPr>
            </w:pPr>
          </w:p>
        </w:tc>
      </w:tr>
      <w:tr>
        <w:trPr>
          <w:trHeight w:val="216"/>
        </w:trPr>
        <w:tc>
          <w:tcPr>
            <w:tcW w:w="2660" w:type="dxa"/>
            <w:vAlign w:val="bottom"/>
          </w:tcPr>
          <w:p>
            <w:pPr>
              <w:spacing w:after="0"/>
              <w:rPr>
                <w:sz w:val="20"/>
                <w:szCs w:val="20"/>
                <w:color w:val="auto"/>
              </w:rPr>
            </w:pPr>
            <w:r>
              <w:rPr>
                <w:rFonts w:ascii="Arial" w:cs="Arial" w:eastAsia="Arial" w:hAnsi="Arial"/>
                <w:sz w:val="18"/>
                <w:szCs w:val="18"/>
                <w:color w:val="auto"/>
              </w:rPr>
              <w:t>Expected volatility</w:t>
            </w:r>
          </w:p>
        </w:tc>
        <w:tc>
          <w:tcPr>
            <w:tcW w:w="40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60"/>
              <w:spacing w:after="0"/>
              <w:rPr>
                <w:sz w:val="20"/>
                <w:szCs w:val="20"/>
                <w:color w:val="auto"/>
              </w:rPr>
            </w:pPr>
            <w:r>
              <w:rPr>
                <w:rFonts w:ascii="Arial" w:cs="Arial" w:eastAsia="Arial" w:hAnsi="Arial"/>
                <w:sz w:val="18"/>
                <w:szCs w:val="18"/>
                <w:color w:val="auto"/>
              </w:rPr>
              <w:t>42%</w:t>
            </w:r>
          </w:p>
        </w:tc>
      </w:tr>
      <w:tr>
        <w:trPr>
          <w:trHeight w:val="216"/>
        </w:trPr>
        <w:tc>
          <w:tcPr>
            <w:tcW w:w="266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40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8"/>
              </w:rPr>
              <w:t>0.85 - 3.59%</w:t>
            </w:r>
          </w:p>
        </w:tc>
      </w:tr>
      <w:tr>
        <w:trPr>
          <w:trHeight w:val="222"/>
        </w:trPr>
        <w:tc>
          <w:tcPr>
            <w:tcW w:w="2660" w:type="dxa"/>
            <w:vAlign w:val="bottom"/>
          </w:tcPr>
          <w:p>
            <w:pPr>
              <w:spacing w:after="0"/>
              <w:rPr>
                <w:sz w:val="20"/>
                <w:szCs w:val="20"/>
                <w:color w:val="auto"/>
              </w:rPr>
            </w:pPr>
            <w:r>
              <w:rPr>
                <w:rFonts w:ascii="Arial" w:cs="Arial" w:eastAsia="Arial" w:hAnsi="Arial"/>
                <w:sz w:val="18"/>
                <w:szCs w:val="18"/>
                <w:color w:val="auto"/>
              </w:rPr>
              <w:t>Dividend yield</w:t>
            </w:r>
          </w:p>
        </w:tc>
        <w:tc>
          <w:tcPr>
            <w:tcW w:w="40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8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r>
      <w:tr>
        <w:trPr>
          <w:trHeight w:val="356"/>
        </w:trPr>
        <w:tc>
          <w:tcPr>
            <w:tcW w:w="2660" w:type="dxa"/>
            <w:vAlign w:val="bottom"/>
          </w:tcPr>
          <w:p>
            <w:pPr>
              <w:spacing w:after="0"/>
              <w:rPr>
                <w:sz w:val="24"/>
                <w:szCs w:val="24"/>
                <w:color w:val="auto"/>
              </w:rPr>
            </w:pPr>
          </w:p>
        </w:tc>
        <w:tc>
          <w:tcPr>
            <w:tcW w:w="4020" w:type="dxa"/>
            <w:vAlign w:val="bottom"/>
          </w:tcPr>
          <w:p>
            <w:pPr>
              <w:jc w:val="right"/>
              <w:ind w:right="2632"/>
              <w:spacing w:after="0"/>
              <w:rPr>
                <w:sz w:val="20"/>
                <w:szCs w:val="20"/>
                <w:color w:val="auto"/>
              </w:rPr>
            </w:pPr>
            <w:r>
              <w:rPr>
                <w:rFonts w:ascii="Arial" w:cs="Arial" w:eastAsia="Arial" w:hAnsi="Arial"/>
                <w:sz w:val="18"/>
                <w:szCs w:val="18"/>
                <w:color w:val="auto"/>
              </w:rPr>
              <w:t>18</w:t>
            </w:r>
          </w:p>
        </w:tc>
        <w:tc>
          <w:tcPr>
            <w:tcW w:w="1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0" w:type="dxa"/>
            <w:vAlign w:val="bottom"/>
          </w:tcPr>
          <w:p>
            <w:pPr>
              <w:spacing w:after="0"/>
              <w:rPr>
                <w:sz w:val="24"/>
                <w:szCs w:val="24"/>
                <w:color w:val="auto"/>
              </w:rPr>
            </w:pPr>
          </w:p>
        </w:tc>
      </w:tr>
    </w:tbl>
    <w:p>
      <w:pPr>
        <w:sectPr>
          <w:pgSz w:w="11900" w:h="16838" w:orient="portrait"/>
          <w:cols w:equalWidth="0" w:num="1">
            <w:col w:w="11420"/>
          </w:cols>
          <w:pgMar w:left="240" w:top="459" w:right="23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Income Taxes</w:t>
      </w:r>
    </w:p>
    <w:p>
      <w:pPr>
        <w:spacing w:after="0" w:line="96"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For the three months ended April 30, 2011 and May 1, 2010, the Company’s effective tax rate was an income tax provision of 0.7% and an income tax benefit of 0.5%, respectively. The income tax provision for these periods was affected by non-tax-deductible expenses such as stock-based compensation expense and the amortization of acquired intangibles. For the three months ended April 30, 2011, the provision for income taxes consisted of the current year income tax liability of $3.4 million, a reduction of unrecognized tax benefits in the amount $4.3 million due to the expiration of the statute of limitations in multiple jurisdictions, and increases in unrecognized tax benefits of $1.9 million. During the three months ended May 1, 2010 the benefit for income taxes was impacted by the current year income tax liability of $3.2 million, a reduction of unrecognized tax benefits in the amount $6.5 million due to the expiration of the statute of limitations in multiple jurisdictions, and increases in unrecognized tax benefits of $2.2 million dollars. During the next 12 months, its is reasonably possible that the amount of unrecognized tax benefits could decrease due to potential settlement with tax authorities and the expiration of applicable statutes of limitations. However, an amount cannot be reasonably estimated as the Company will have negotiations with various tax authorities throughout the year.</w:t>
      </w:r>
    </w:p>
    <w:p>
      <w:pPr>
        <w:spacing w:after="0" w:line="106"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360"/>
          </w:cols>
          <w:pgMar w:left="240" w:top="459" w:right="29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96" w:lineRule="exact"/>
        <w:rPr>
          <w:sz w:val="20"/>
          <w:szCs w:val="20"/>
          <w:color w:val="auto"/>
        </w:rPr>
      </w:pPr>
    </w:p>
    <w:p>
      <w:pPr>
        <w:spacing w:after="0" w:line="283" w:lineRule="auto"/>
        <w:rPr>
          <w:sz w:val="20"/>
          <w:szCs w:val="20"/>
          <w:color w:val="auto"/>
        </w:rPr>
      </w:pPr>
      <w:r>
        <w:rPr>
          <w:rFonts w:ascii="Arial" w:cs="Arial" w:eastAsia="Arial" w:hAnsi="Arial"/>
          <w:sz w:val="16"/>
          <w:szCs w:val="16"/>
          <w:i w:val="1"/>
          <w:iCs w:val="1"/>
          <w:color w:val="auto"/>
        </w:rPr>
        <w:t>This Quarterly Report on Form 10-Q contains forward-looking statements that involve risks and uncertainties. These statements include, without limitation, statements regarding our expectations, beliefs, intentions or strategies regarding the future. These statements involve known and unknown risks, uncertainties and other factors, which may cause our actual results to differ materially from those implied by the forward-looking statements. Words such as “anticipates,” “expects,” “intends,” “plans,” “believes,” “seeks,” “estimates,” “can,” and similar expressions identify such forward-looking statements. These are statements that relate to future periods and include statements relating to our anticipation that the rate of new orders and shipments may vary significantly from quarter to quarter; our expectations regarding our inventory levels; our expectations regarding competition; our expectations relating to the protection of our intellectual property; our expectations regarding the amount of customer concentration in the future; our expectations regarding the amount of our future sales in Asia; our plans and expectations regarding our auction rate securities; our expectations regarding acquisitions, investments, strategic alliances and joint ventures; our expectations regarding net revenue, cost of goods sold as a percentage of revenue and operating expenses for the second quarter ending July 30, 2011 compared with the first quarter ended April 30, 2011; our expectations regarding the impact of legal proceedings and claims; our expectations regarding the adequacy of our capital resources, capital expenditures, investment requirements and commitments to meet our capital needs for the next 12 months; our ability to attract and retain highly skilled personnel; our expectations regarding the growth in business and operations; our plan regarding forward exchange contracts and the effect of foreign exchange rates; the effect of recent accounting pronouncements and changes in taxation rules; our expectation regarding the effectiveness of our hedges of foreign currency exposures; our expectations that quarterly operating results will fluctuate from quarter to quarter; our expectations regarding the current economic environment; our expectations regarding arrangements with suppliers; our expectations regarding our ability to develop and introduce new products and achieve market acceptance of our products; our expectations regarding pricing; our expectations regarding demand for our products; our expectations regarding defects; our expectations regarding the implementation and improvement of operational and financial systems, as well as the implementation of additional procedures and other internal management systems; our expectations regarding gross margin and the events that may cause gross margin to fluctuate; our expectations to transition our semiconductor products to increasingly smaller line width geometries; our expectations regarding the portion of our operations and sales outside of the United States; our expectations regarding the adequacy of our internal control over financial reporting; our expectations regarding future impairment review of our goodwill and intangible assets; and the anticipated features and benefits of our technology solutions. These 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 the impact of international conflict and continued economic volatility in either domestic or foreign markets; our dependence upon the hard disk drive and mobile and wireless markets, which are highly cyclical; our ability to successfully compete in the markets in which we serve; our ability to scale our operations in response to changes in demand for existing or new products and services; our maintenance of an effective system of internal controls; our dependence on a small number of customers; our ability and our customers’ ability to develop new and enhanced products; our success in integrating businesses we acquire and the impact such acquisitions may have on our operating results; our ability to estimate customer demand and future sales accurately; the success of our strategic relationships; our reliance on independent foundries and subcontractors for the manufacture, assembly and testing of our products; our ability to manage future growth; the development and evolution of markets for our integrated circuits; our ability to protect our intellectual property; the impact of any change in our application of the United States federal income tax laws and the loss of any beneficial tax treatment that we currently enjoy; the impact of changes in international financial and regulatory conditions; the impact of lengthy and expensive product sales cycles; and the outcome of pending or future litigation and legal proceedings. Additional factors which could cause actual results to differ materially include those set forth in the following discussion, as well as the risks discussed in Part II, Item 1A, “Risk Factors,” and other sections of this Quarterly Report on Form 10-Q. These forward-looking statements speak only as of the date hereof. Unless required by law, we undertake no obligation to update any forward-looking statements.</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00"/>
          </w:cols>
          <w:pgMar w:left="240" w:top="459" w:right="25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96"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We are a leading global semiconductor provider of high-performance application-specific standard products. Our core strength of expertise is the development of complex System-on-a-Chip devices leveraging our extensive technology portfolio of intellectual property in the areas of analog, mixed-signal, digital signal processing and embedded ARM-based microprocessor integrated circuits. We also develop platforms that we define as integrated hardware and software that incorporate digital computing technologies designed and configured to provide an optimized computing solution compared to individual components. Our broad product portfolio includes devices for data storage, enterprise-class Ethernet data switching, Ethernet physical-layer transceivers, handheld cellular, Ethernet-based wireless networking, personal area networking, Ethernet-based PC connectivity, control plane communications controllers, video-image processing and power management solutions. Our products serve diverse applications used in carrier, metropolitan, enterprise and PC-client data communications and storage systems. Additionally, we serve the consumer electronics market for the convergence of voice, video and data applications. We are a fabless integrated circuit company, which means that we rely on independent, third party contractors to perform manufacturing, assembly and test functions. This approach allows us to focus on designing, developing and marketing our products and significantly reduces the amount of capital we need to invest in manufacturing products.</w:t>
      </w:r>
    </w:p>
    <w:p>
      <w:pPr>
        <w:spacing w:after="0" w:line="127" w:lineRule="exact"/>
        <w:rPr>
          <w:sz w:val="20"/>
          <w:szCs w:val="20"/>
          <w:color w:val="auto"/>
        </w:rPr>
      </w:pPr>
    </w:p>
    <w:p>
      <w:pPr>
        <w:ind w:right="320" w:firstLine="456"/>
        <w:spacing w:after="0" w:line="306" w:lineRule="auto"/>
        <w:rPr>
          <w:sz w:val="20"/>
          <w:szCs w:val="20"/>
          <w:color w:val="auto"/>
        </w:rPr>
      </w:pPr>
      <w:r>
        <w:rPr>
          <w:rFonts w:ascii="Arial" w:cs="Arial" w:eastAsia="Arial" w:hAnsi="Arial"/>
          <w:sz w:val="16"/>
          <w:szCs w:val="16"/>
          <w:color w:val="auto"/>
        </w:rPr>
        <w:t>An increasing number of our products are being incorporated into consumer electronics products, including gaming devices, which are subject to significant seasonality and fluctuations in demand. Due to holiday and back to school buying trends, we expect these seasonal demand patterns generally will negatively impact our results in the first and fourth quarter and positively impact our results in the second and third quarter of our fiscal years.</w:t>
      </w:r>
    </w:p>
    <w:p>
      <w:pPr>
        <w:spacing w:after="0" w:line="107"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A relatively large portion of our sales have historically been made on the basis of purchase orders rather than long-term agreements. The sales cycle for our products is long, which may cause us to experience a delay between the time we incur expenses and the time revenue is generated from these expenditures.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143" w:lineRule="exact"/>
        <w:rPr>
          <w:sz w:val="20"/>
          <w:szCs w:val="20"/>
          <w:color w:val="auto"/>
        </w:rPr>
      </w:pPr>
    </w:p>
    <w:p>
      <w:pPr>
        <w:jc w:val="both"/>
        <w:ind w:right="40" w:firstLine="456"/>
        <w:spacing w:after="0" w:line="256" w:lineRule="auto"/>
        <w:rPr>
          <w:sz w:val="20"/>
          <w:szCs w:val="20"/>
          <w:color w:val="auto"/>
        </w:rPr>
      </w:pPr>
      <w:r>
        <w:rPr>
          <w:rFonts w:ascii="Arial" w:cs="Arial" w:eastAsia="Arial" w:hAnsi="Arial"/>
          <w:sz w:val="18"/>
          <w:szCs w:val="18"/>
          <w:color w:val="auto"/>
        </w:rPr>
        <w:t>Our fiscal year is the 52- or 53-week period ending on the Saturday closest to January 31. In a 52-week year, each fiscal quarter consists of 13 weeks. The additional week in a 53-week year is added to the fourth quarter, making such quarter consist of 14 weeks. Fiscal 2012 and fiscal 2011 are comprised of 52-week periods. In this Quarterly Report on Form 10-Q, we refer to the fiscal year ended January 30, 2010 as fiscal 2010, the fiscal year ended January 29, 2011 as fiscal 2011 and the fiscal year ending January 28, 2012 as fiscal 2012.</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96" w:lineRule="exact"/>
        <w:rPr>
          <w:sz w:val="20"/>
          <w:szCs w:val="20"/>
          <w:color w:val="auto"/>
        </w:rPr>
      </w:pPr>
    </w:p>
    <w:p>
      <w:pPr>
        <w:ind w:right="120" w:firstLine="456"/>
        <w:spacing w:after="0" w:line="318" w:lineRule="auto"/>
        <w:rPr>
          <w:sz w:val="20"/>
          <w:szCs w:val="20"/>
          <w:color w:val="auto"/>
        </w:rPr>
      </w:pPr>
      <w:r>
        <w:rPr>
          <w:rFonts w:ascii="Arial" w:cs="Arial" w:eastAsia="Arial" w:hAnsi="Arial"/>
          <w:sz w:val="15"/>
          <w:szCs w:val="15"/>
          <w:color w:val="auto"/>
        </w:rPr>
        <w:t>The preparation of financial statements in conformity with accounting principles generally accepted in the United States (“GAAP”) requires management to make estimates, judgments and assumptions that affect the reported amounts of assets, liabilities, revenues and expenses and related disclosure of contingent assets and liabilities. Actual results could differ from these estimates, and such differences could affect the results of operations reported in future periods. For a description of our critical accounting policies and estimates, please refer to the “Critical Accounting Policies and Estimates” section of our Management’s Discussion and Analysis of Financial Condition and Results of Operations contained in our Annual Report on Form 10-K for the year ended January 29, 2011.</w:t>
      </w:r>
    </w:p>
    <w:p>
      <w:pPr>
        <w:spacing w:after="0" w:line="1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96"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During the first quarter of fiscal 2012, one of our leading mobile customers shifted their product sales to an earlier generation designed prior to our acquisition of this business. This came at the low seasonal point for most of our customers, compounding the effect leading to the decline in our revenues for the quarter. However, even with these factors, our business still generated solid results, with gross margins of 58.3%, operating margins of 18.5%, and operating cash flow of $177 million. We are confident in our business model and our ability to generate continued solid results. As a sign of this confidence, during the quarter, we repurchased and retired 50.3 million shares for $803.5 million, which represents a reduction of nearly 8% of our outstanding shares.</w:t>
      </w:r>
    </w:p>
    <w:p>
      <w:pPr>
        <w:spacing w:after="0" w:line="116"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As we look forward to the second quarter and second half of fiscal 2012, we anticipate revenue growth driven by seasonal recovery as well as growth from new products. One key area of this anticipated growth will be sales into TD handsets in China. We began to ship production volume into this market segment in the first quarter, and we anticipate revenue to more than double in the second quarter.</w:t>
      </w:r>
    </w:p>
    <w:p>
      <w:pPr>
        <w:spacing w:after="0" w:line="1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380"/>
          </w:cols>
          <w:pgMar w:left="240" w:top="459" w:right="27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16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620" w:type="dxa"/>
            <w:vAlign w:val="bottom"/>
          </w:tcPr>
          <w:p>
            <w:pPr>
              <w:spacing w:after="0"/>
              <w:rPr>
                <w:sz w:val="14"/>
                <w:szCs w:val="14"/>
                <w:color w:val="auto"/>
              </w:rPr>
            </w:pPr>
          </w:p>
        </w:tc>
        <w:tc>
          <w:tcPr>
            <w:tcW w:w="1860" w:type="dxa"/>
            <w:vAlign w:val="bottom"/>
            <w:gridSpan w:val="4"/>
          </w:tcPr>
          <w:p>
            <w:pPr>
              <w:jc w:val="right"/>
              <w:ind w:right="42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620" w:type="dxa"/>
            <w:vAlign w:val="bottom"/>
          </w:tcPr>
          <w:p>
            <w:pPr>
              <w:spacing w:after="0"/>
              <w:rPr>
                <w:sz w:val="11"/>
                <w:szCs w:val="11"/>
                <w:color w:val="auto"/>
              </w:rPr>
            </w:pPr>
          </w:p>
        </w:tc>
        <w:tc>
          <w:tcPr>
            <w:tcW w:w="1180" w:type="dxa"/>
            <w:vAlign w:val="bottom"/>
            <w:tcBorders>
              <w:top w:val="single" w:sz="8" w:color="auto"/>
            </w:tcBorders>
            <w:gridSpan w:val="2"/>
          </w:tcPr>
          <w:p>
            <w:pPr>
              <w:jc w:val="right"/>
              <w:ind w:right="680"/>
              <w:spacing w:after="0" w:line="129" w:lineRule="exact"/>
              <w:rPr>
                <w:sz w:val="20"/>
                <w:szCs w:val="20"/>
                <w:color w:val="auto"/>
              </w:rPr>
            </w:pPr>
            <w:r>
              <w:rPr>
                <w:rFonts w:ascii="Arial" w:cs="Arial" w:eastAsia="Arial" w:hAnsi="Arial"/>
                <w:sz w:val="14"/>
                <w:szCs w:val="14"/>
                <w:b w:val="1"/>
                <w:bCs w:val="1"/>
                <w:color w:val="auto"/>
                <w:w w:val="86"/>
              </w:rPr>
              <w:t>April 30,</w:t>
            </w:r>
          </w:p>
        </w:tc>
        <w:tc>
          <w:tcPr>
            <w:tcW w:w="4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8"/>
              </w:rPr>
              <w:t>May 1,</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8620" w:type="dxa"/>
            <w:vAlign w:val="bottom"/>
          </w:tcPr>
          <w:p>
            <w:pPr>
              <w:spacing w:after="0"/>
              <w:rPr>
                <w:sz w:val="14"/>
                <w:szCs w:val="14"/>
                <w:color w:val="auto"/>
              </w:rPr>
            </w:pPr>
          </w:p>
        </w:tc>
        <w:tc>
          <w:tcPr>
            <w:tcW w:w="520" w:type="dxa"/>
            <w:vAlign w:val="bottom"/>
            <w:tcBorders>
              <w:bottom w:val="single" w:sz="8" w:color="auto"/>
            </w:tcBorders>
          </w:tcPr>
          <w:p>
            <w:pPr>
              <w:jc w:val="right"/>
              <w:ind w:right="56"/>
              <w:spacing w:after="0"/>
              <w:rPr>
                <w:sz w:val="20"/>
                <w:szCs w:val="20"/>
                <w:color w:val="auto"/>
              </w:rPr>
            </w:pPr>
            <w:r>
              <w:rPr>
                <w:rFonts w:ascii="Arial" w:cs="Arial" w:eastAsia="Arial" w:hAnsi="Arial"/>
                <w:sz w:val="14"/>
                <w:szCs w:val="14"/>
                <w:b w:val="1"/>
                <w:bCs w:val="1"/>
                <w:color w:val="auto"/>
              </w:rPr>
              <w:t>2011</w:t>
            </w:r>
          </w:p>
        </w:tc>
        <w:tc>
          <w:tcPr>
            <w:tcW w:w="660" w:type="dxa"/>
            <w:vAlign w:val="bottom"/>
          </w:tcPr>
          <w:p>
            <w:pPr>
              <w:spacing w:after="0"/>
              <w:rPr>
                <w:sz w:val="14"/>
                <w:szCs w:val="14"/>
                <w:color w:val="auto"/>
              </w:rPr>
            </w:pPr>
          </w:p>
        </w:tc>
        <w:tc>
          <w:tcPr>
            <w:tcW w:w="480" w:type="dxa"/>
            <w:vAlign w:val="bottom"/>
            <w:tcBorders>
              <w:bottom w:val="single" w:sz="8" w:color="auto"/>
            </w:tcBorders>
          </w:tcPr>
          <w:p>
            <w:pPr>
              <w:jc w:val="right"/>
              <w:ind w:right="15"/>
              <w:spacing w:after="0"/>
              <w:rPr>
                <w:sz w:val="20"/>
                <w:szCs w:val="20"/>
                <w:color w:val="auto"/>
              </w:rPr>
            </w:pPr>
            <w:r>
              <w:rPr>
                <w:rFonts w:ascii="Arial" w:cs="Arial" w:eastAsia="Arial" w:hAnsi="Arial"/>
                <w:sz w:val="14"/>
                <w:szCs w:val="14"/>
                <w:b w:val="1"/>
                <w:bCs w:val="1"/>
                <w:color w:val="auto"/>
              </w:rPr>
              <w:t>2010</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862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18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100.0%</w:t>
            </w:r>
          </w:p>
        </w:tc>
        <w:tc>
          <w:tcPr>
            <w:tcW w:w="6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8"/>
              </w:rPr>
              <w:t>100.0%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2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5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41.7</w:t>
            </w:r>
          </w:p>
        </w:tc>
        <w:tc>
          <w:tcPr>
            <w:tcW w:w="66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40.2</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2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520" w:type="dxa"/>
            <w:vAlign w:val="bottom"/>
          </w:tcPr>
          <w:p>
            <w:pPr>
              <w:jc w:val="right"/>
              <w:spacing w:after="0"/>
              <w:rPr>
                <w:sz w:val="20"/>
                <w:szCs w:val="20"/>
                <w:color w:val="auto"/>
              </w:rPr>
            </w:pPr>
            <w:r>
              <w:rPr>
                <w:rFonts w:ascii="Arial" w:cs="Arial" w:eastAsia="Arial" w:hAnsi="Arial"/>
                <w:sz w:val="18"/>
                <w:szCs w:val="18"/>
                <w:color w:val="auto"/>
              </w:rPr>
              <w:t>30.2</w:t>
            </w:r>
          </w:p>
        </w:tc>
        <w:tc>
          <w:tcPr>
            <w:tcW w:w="66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25.6</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w:t>
            </w:r>
          </w:p>
        </w:tc>
        <w:tc>
          <w:tcPr>
            <w:tcW w:w="66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2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520" w:type="dxa"/>
            <w:vAlign w:val="bottom"/>
          </w:tcPr>
          <w:p>
            <w:pPr>
              <w:jc w:val="right"/>
              <w:spacing w:after="0"/>
              <w:rPr>
                <w:sz w:val="20"/>
                <w:szCs w:val="20"/>
                <w:color w:val="auto"/>
              </w:rPr>
            </w:pPr>
            <w:r>
              <w:rPr>
                <w:rFonts w:ascii="Arial" w:cs="Arial" w:eastAsia="Arial" w:hAnsi="Arial"/>
                <w:sz w:val="18"/>
                <w:szCs w:val="18"/>
                <w:color w:val="auto"/>
              </w:rPr>
              <w:t>3.1</w:t>
            </w:r>
          </w:p>
        </w:tc>
        <w:tc>
          <w:tcPr>
            <w:tcW w:w="66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2.7</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of acquired intangible assets</w:t>
            </w:r>
          </w:p>
        </w:tc>
        <w:tc>
          <w:tcPr>
            <w:tcW w:w="5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w:t>
            </w:r>
          </w:p>
        </w:tc>
        <w:tc>
          <w:tcPr>
            <w:tcW w:w="660" w:type="dxa"/>
            <w:vAlign w:val="bottom"/>
            <w:shd w:val="clear" w:color="auto" w:fill="CCEEFF"/>
          </w:tcPr>
          <w:p>
            <w:pPr>
              <w:spacing w:after="0"/>
              <w:rPr>
                <w:sz w:val="18"/>
                <w:szCs w:val="18"/>
                <w:color w:val="auto"/>
              </w:rPr>
            </w:pPr>
          </w:p>
        </w:tc>
        <w:tc>
          <w:tcPr>
            <w:tcW w:w="4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8620" w:type="dxa"/>
            <w:vAlign w:val="bottom"/>
          </w:tcPr>
          <w:p>
            <w:pPr>
              <w:ind w:left="860"/>
              <w:spacing w:after="0"/>
              <w:rPr>
                <w:sz w:val="20"/>
                <w:szCs w:val="20"/>
                <w:color w:val="auto"/>
              </w:rPr>
            </w:pPr>
            <w:r>
              <w:rPr>
                <w:rFonts w:ascii="Arial" w:cs="Arial" w:eastAsia="Arial" w:hAnsi="Arial"/>
                <w:sz w:val="18"/>
                <w:szCs w:val="18"/>
                <w:color w:val="auto"/>
              </w:rPr>
              <w:t>Total operating costs and expenses</w:t>
            </w:r>
          </w:p>
        </w:tc>
        <w:tc>
          <w:tcPr>
            <w:tcW w:w="5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81.5</w:t>
            </w:r>
          </w:p>
        </w:tc>
        <w:tc>
          <w:tcPr>
            <w:tcW w:w="660" w:type="dxa"/>
            <w:vAlign w:val="bottom"/>
          </w:tcPr>
          <w:p>
            <w:pPr>
              <w:spacing w:after="0"/>
              <w:rPr>
                <w:sz w:val="20"/>
                <w:szCs w:val="20"/>
                <w:color w:val="auto"/>
              </w:rPr>
            </w:pP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75.6</w:t>
            </w: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2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18.5</w:t>
            </w:r>
          </w:p>
        </w:tc>
        <w:tc>
          <w:tcPr>
            <w:tcW w:w="66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24.4</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20" w:type="dxa"/>
            <w:vAlign w:val="bottom"/>
          </w:tcPr>
          <w:p>
            <w:pPr>
              <w:spacing w:after="0"/>
              <w:rPr>
                <w:sz w:val="20"/>
                <w:szCs w:val="20"/>
                <w:color w:val="auto"/>
              </w:rPr>
            </w:pPr>
            <w:r>
              <w:rPr>
                <w:rFonts w:ascii="Arial" w:cs="Arial" w:eastAsia="Arial" w:hAnsi="Arial"/>
                <w:sz w:val="18"/>
                <w:szCs w:val="18"/>
                <w:color w:val="auto"/>
              </w:rPr>
              <w:t>Interest and other income (expense), net</w:t>
            </w:r>
          </w:p>
        </w:tc>
        <w:tc>
          <w:tcPr>
            <w:tcW w:w="1180" w:type="dxa"/>
            <w:vAlign w:val="bottom"/>
            <w:gridSpan w:val="2"/>
          </w:tcPr>
          <w:p>
            <w:pPr>
              <w:jc w:val="right"/>
              <w:ind w:right="620"/>
              <w:spacing w:after="0"/>
              <w:rPr>
                <w:sz w:val="20"/>
                <w:szCs w:val="20"/>
                <w:color w:val="auto"/>
              </w:rPr>
            </w:pPr>
            <w:r>
              <w:rPr>
                <w:rFonts w:ascii="Arial" w:cs="Arial" w:eastAsia="Arial" w:hAnsi="Arial"/>
                <w:sz w:val="18"/>
                <w:szCs w:val="18"/>
                <w:color w:val="auto"/>
              </w:rPr>
              <w:t>(0.1)</w:t>
            </w:r>
          </w:p>
        </w:tc>
        <w:tc>
          <w:tcPr>
            <w:tcW w:w="680" w:type="dxa"/>
            <w:vAlign w:val="bottom"/>
            <w:gridSpan w:val="2"/>
          </w:tcPr>
          <w:p>
            <w:pPr>
              <w:jc w:val="right"/>
              <w:ind w:right="140"/>
              <w:spacing w:after="0"/>
              <w:rPr>
                <w:sz w:val="20"/>
                <w:szCs w:val="20"/>
                <w:color w:val="auto"/>
              </w:rPr>
            </w:pPr>
            <w:r>
              <w:rPr>
                <w:rFonts w:ascii="Arial" w:cs="Arial" w:eastAsia="Arial" w:hAnsi="Arial"/>
                <w:sz w:val="18"/>
                <w:szCs w:val="18"/>
                <w:color w:val="auto"/>
              </w:rPr>
              <w:t>(0.4)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62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5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w:t>
            </w:r>
          </w:p>
        </w:tc>
        <w:tc>
          <w:tcPr>
            <w:tcW w:w="660" w:type="dxa"/>
            <w:vAlign w:val="bottom"/>
            <w:shd w:val="clear" w:color="auto" w:fill="CCEEFF"/>
          </w:tcPr>
          <w:p>
            <w:pPr>
              <w:spacing w:after="0"/>
              <w:rPr>
                <w:sz w:val="18"/>
                <w:szCs w:val="18"/>
                <w:color w:val="auto"/>
              </w:rPr>
            </w:pPr>
          </w:p>
        </w:tc>
        <w:tc>
          <w:tcPr>
            <w:tcW w:w="4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8640" w:type="dxa"/>
            <w:vAlign w:val="bottom"/>
            <w:gridSpan w:val="2"/>
          </w:tcPr>
          <w:p>
            <w:pPr>
              <w:spacing w:after="0"/>
              <w:rPr>
                <w:sz w:val="20"/>
                <w:szCs w:val="20"/>
                <w:color w:val="auto"/>
              </w:rPr>
            </w:pPr>
            <w:r>
              <w:rPr>
                <w:rFonts w:ascii="Arial" w:cs="Arial" w:eastAsia="Arial" w:hAnsi="Arial"/>
                <w:sz w:val="18"/>
                <w:szCs w:val="18"/>
                <w:color w:val="auto"/>
              </w:rPr>
              <w:t>Income before income taxes</w:t>
            </w:r>
          </w:p>
        </w:tc>
        <w:tc>
          <w:tcPr>
            <w:tcW w:w="520" w:type="dxa"/>
            <w:vAlign w:val="bottom"/>
          </w:tcPr>
          <w:p>
            <w:pPr>
              <w:jc w:val="right"/>
              <w:spacing w:after="0"/>
              <w:rPr>
                <w:sz w:val="20"/>
                <w:szCs w:val="20"/>
                <w:color w:val="auto"/>
              </w:rPr>
            </w:pPr>
            <w:r>
              <w:rPr>
                <w:rFonts w:ascii="Arial" w:cs="Arial" w:eastAsia="Arial" w:hAnsi="Arial"/>
                <w:sz w:val="18"/>
                <w:szCs w:val="18"/>
                <w:color w:val="auto"/>
              </w:rPr>
              <w:t>18.4</w:t>
            </w:r>
          </w:p>
        </w:tc>
        <w:tc>
          <w:tcPr>
            <w:tcW w:w="660" w:type="dxa"/>
            <w:vAlign w:val="bottom"/>
          </w:tcPr>
          <w:p>
            <w:pPr>
              <w:spacing w:after="0"/>
              <w:rPr>
                <w:sz w:val="19"/>
                <w:szCs w:val="19"/>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24.0</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862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w:t>
            </w:r>
          </w:p>
        </w:tc>
        <w:tc>
          <w:tcPr>
            <w:tcW w:w="66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(0.1)</w:t>
            </w:r>
          </w:p>
        </w:tc>
        <w:tc>
          <w:tcPr>
            <w:tcW w:w="0" w:type="dxa"/>
            <w:vAlign w:val="bottom"/>
          </w:tcPr>
          <w:p>
            <w:pPr>
              <w:spacing w:after="0"/>
              <w:rPr>
                <w:sz w:val="1"/>
                <w:szCs w:val="1"/>
                <w:color w:val="auto"/>
              </w:rPr>
            </w:pPr>
          </w:p>
        </w:tc>
      </w:tr>
      <w:tr>
        <w:trPr>
          <w:trHeight w:val="20"/>
        </w:trPr>
        <w:tc>
          <w:tcPr>
            <w:tcW w:w="8640" w:type="dxa"/>
            <w:vAlign w:val="bottom"/>
            <w:gridSpan w:val="2"/>
            <w:vMerge w:val="restart"/>
          </w:tcPr>
          <w:p>
            <w:pPr>
              <w:spacing w:after="0"/>
              <w:rPr>
                <w:sz w:val="20"/>
                <w:szCs w:val="20"/>
                <w:color w:val="auto"/>
              </w:rPr>
            </w:pPr>
            <w:r>
              <w:rPr>
                <w:rFonts w:ascii="Arial" w:cs="Arial" w:eastAsia="Arial" w:hAnsi="Arial"/>
                <w:sz w:val="18"/>
                <w:szCs w:val="18"/>
                <w:color w:val="auto"/>
              </w:rPr>
              <w:t>Net income</w:t>
            </w:r>
          </w:p>
        </w:tc>
        <w:tc>
          <w:tcPr>
            <w:tcW w:w="520" w:type="dxa"/>
            <w:vAlign w:val="bottom"/>
            <w:shd w:val="clear" w:color="auto" w:fill="000000"/>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8640" w:type="dxa"/>
            <w:vAlign w:val="bottom"/>
            <w:gridSpan w:val="2"/>
            <w:vMerge w:val="continue"/>
          </w:tcPr>
          <w:p>
            <w:pPr>
              <w:spacing w:after="0"/>
              <w:rPr>
                <w:sz w:val="19"/>
                <w:szCs w:val="19"/>
                <w:color w:val="auto"/>
              </w:rPr>
            </w:pPr>
          </w:p>
        </w:tc>
        <w:tc>
          <w:tcPr>
            <w:tcW w:w="1180" w:type="dxa"/>
            <w:vAlign w:val="bottom"/>
            <w:gridSpan w:val="2"/>
          </w:tcPr>
          <w:p>
            <w:pPr>
              <w:jc w:val="right"/>
              <w:ind w:right="520"/>
              <w:spacing w:after="0"/>
              <w:rPr>
                <w:sz w:val="20"/>
                <w:szCs w:val="20"/>
                <w:color w:val="auto"/>
              </w:rPr>
            </w:pPr>
            <w:r>
              <w:rPr>
                <w:rFonts w:ascii="Arial" w:cs="Arial" w:eastAsia="Arial" w:hAnsi="Arial"/>
                <w:sz w:val="18"/>
                <w:szCs w:val="18"/>
                <w:color w:val="auto"/>
              </w:rPr>
              <w:t>18.3%</w:t>
            </w:r>
          </w:p>
        </w:tc>
        <w:tc>
          <w:tcPr>
            <w:tcW w:w="680" w:type="dxa"/>
            <w:vAlign w:val="bottom"/>
            <w:gridSpan w:val="2"/>
          </w:tcPr>
          <w:p>
            <w:pPr>
              <w:jc w:val="right"/>
              <w:ind w:right="60"/>
              <w:spacing w:after="0"/>
              <w:rPr>
                <w:sz w:val="20"/>
                <w:szCs w:val="20"/>
                <w:color w:val="auto"/>
              </w:rPr>
            </w:pPr>
            <w:r>
              <w:rPr>
                <w:rFonts w:ascii="Arial" w:cs="Arial" w:eastAsia="Arial" w:hAnsi="Arial"/>
                <w:sz w:val="18"/>
                <w:szCs w:val="18"/>
                <w:color w:val="auto"/>
              </w:rPr>
              <w:t>24.1%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620" w:type="dxa"/>
            <w:vAlign w:val="bottom"/>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Three Months Ended April 30, 2011 and May 1, 2010</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Net Revenue</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3260" w:type="dxa"/>
            <w:vAlign w:val="bottom"/>
          </w:tcPr>
          <w:p>
            <w:pPr>
              <w:spacing w:after="0"/>
              <w:rPr>
                <w:sz w:val="14"/>
                <w:szCs w:val="14"/>
                <w:color w:val="auto"/>
              </w:rPr>
            </w:pPr>
          </w:p>
        </w:tc>
        <w:tc>
          <w:tcPr>
            <w:tcW w:w="2400" w:type="dxa"/>
            <w:vAlign w:val="bottom"/>
          </w:tcPr>
          <w:p>
            <w:pPr>
              <w:spacing w:after="0"/>
              <w:rPr>
                <w:sz w:val="14"/>
                <w:szCs w:val="14"/>
                <w:color w:val="auto"/>
              </w:rPr>
            </w:pPr>
          </w:p>
        </w:tc>
        <w:tc>
          <w:tcPr>
            <w:tcW w:w="1820" w:type="dxa"/>
            <w:vAlign w:val="bottom"/>
            <w:tcBorders>
              <w:bottom w:val="single" w:sz="8" w:color="auto"/>
            </w:tcBorders>
            <w:gridSpan w:val="3"/>
          </w:tcPr>
          <w:p>
            <w:pPr>
              <w:jc w:val="center"/>
              <w:spacing w:after="0"/>
              <w:rPr>
                <w:sz w:val="20"/>
                <w:szCs w:val="20"/>
                <w:color w:val="auto"/>
              </w:rPr>
            </w:pPr>
            <w:r>
              <w:rPr>
                <w:rFonts w:ascii="Arial" w:cs="Arial" w:eastAsia="Arial" w:hAnsi="Arial"/>
                <w:sz w:val="14"/>
                <w:szCs w:val="14"/>
                <w:b w:val="1"/>
                <w:bCs w:val="1"/>
                <w:color w:val="auto"/>
                <w:w w:val="88"/>
              </w:rPr>
              <w:t>Three Months Ended</w:t>
            </w:r>
          </w:p>
        </w:tc>
        <w:tc>
          <w:tcPr>
            <w:tcW w:w="940" w:type="dxa"/>
            <w:vAlign w:val="bottom"/>
            <w:gridSpan w:val="2"/>
            <w:vMerge w:val="restart"/>
          </w:tcPr>
          <w:p>
            <w:pPr>
              <w:ind w:left="640"/>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260" w:type="dxa"/>
            <w:vAlign w:val="bottom"/>
          </w:tcPr>
          <w:p>
            <w:pPr>
              <w:spacing w:after="0"/>
              <w:rPr>
                <w:sz w:val="11"/>
                <w:szCs w:val="11"/>
                <w:color w:val="auto"/>
              </w:rPr>
            </w:pPr>
          </w:p>
        </w:tc>
        <w:tc>
          <w:tcPr>
            <w:tcW w:w="2400" w:type="dxa"/>
            <w:vAlign w:val="bottom"/>
          </w:tcPr>
          <w:p>
            <w:pPr>
              <w:spacing w:after="0"/>
              <w:rPr>
                <w:sz w:val="11"/>
                <w:szCs w:val="11"/>
                <w:color w:val="auto"/>
              </w:rPr>
            </w:pPr>
          </w:p>
        </w:tc>
        <w:tc>
          <w:tcPr>
            <w:tcW w:w="680" w:type="dxa"/>
            <w:vAlign w:val="bottom"/>
          </w:tcPr>
          <w:p>
            <w:pPr>
              <w:ind w:left="80"/>
              <w:spacing w:after="0" w:line="129" w:lineRule="exact"/>
              <w:rPr>
                <w:sz w:val="20"/>
                <w:szCs w:val="20"/>
                <w:color w:val="auto"/>
              </w:rPr>
            </w:pPr>
            <w:r>
              <w:rPr>
                <w:rFonts w:ascii="Arial" w:cs="Arial" w:eastAsia="Arial" w:hAnsi="Arial"/>
                <w:sz w:val="14"/>
                <w:szCs w:val="14"/>
                <w:b w:val="1"/>
                <w:bCs w:val="1"/>
                <w:color w:val="auto"/>
              </w:rPr>
              <w:t>April 30,</w:t>
            </w:r>
          </w:p>
        </w:tc>
        <w:tc>
          <w:tcPr>
            <w:tcW w:w="480" w:type="dxa"/>
            <w:vAlign w:val="bottom"/>
          </w:tcPr>
          <w:p>
            <w:pPr>
              <w:spacing w:after="0"/>
              <w:rPr>
                <w:sz w:val="11"/>
                <w:szCs w:val="11"/>
                <w:color w:val="auto"/>
              </w:rPr>
            </w:pPr>
          </w:p>
        </w:tc>
        <w:tc>
          <w:tcPr>
            <w:tcW w:w="660" w:type="dxa"/>
            <w:vAlign w:val="bottom"/>
          </w:tcPr>
          <w:p>
            <w:pPr>
              <w:ind w:left="120"/>
              <w:spacing w:after="0" w:line="129" w:lineRule="exact"/>
              <w:rPr>
                <w:sz w:val="20"/>
                <w:szCs w:val="20"/>
                <w:color w:val="auto"/>
              </w:rPr>
            </w:pPr>
            <w:r>
              <w:rPr>
                <w:rFonts w:ascii="Arial" w:cs="Arial" w:eastAsia="Arial" w:hAnsi="Arial"/>
                <w:sz w:val="14"/>
                <w:szCs w:val="14"/>
                <w:b w:val="1"/>
                <w:bCs w:val="1"/>
                <w:color w:val="auto"/>
              </w:rPr>
              <w:t>May 1,</w:t>
            </w:r>
          </w:p>
        </w:tc>
        <w:tc>
          <w:tcPr>
            <w:tcW w:w="940" w:type="dxa"/>
            <w:vAlign w:val="bottom"/>
            <w:gridSpan w:val="2"/>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260" w:type="dxa"/>
            <w:vAlign w:val="bottom"/>
          </w:tcPr>
          <w:p>
            <w:pPr>
              <w:spacing w:after="0"/>
              <w:rPr>
                <w:sz w:val="14"/>
                <w:szCs w:val="14"/>
                <w:color w:val="auto"/>
              </w:rPr>
            </w:pPr>
          </w:p>
        </w:tc>
        <w:tc>
          <w:tcPr>
            <w:tcW w:w="3080" w:type="dxa"/>
            <w:vAlign w:val="bottom"/>
            <w:gridSpan w:val="2"/>
          </w:tcPr>
          <w:p>
            <w:pPr>
              <w:jc w:val="right"/>
              <w:ind w:right="152"/>
              <w:spacing w:after="0"/>
              <w:rPr>
                <w:sz w:val="20"/>
                <w:szCs w:val="20"/>
                <w:color w:val="auto"/>
              </w:rPr>
            </w:pPr>
            <w:r>
              <w:rPr>
                <w:rFonts w:ascii="Arial" w:cs="Arial" w:eastAsia="Arial" w:hAnsi="Arial"/>
                <w:sz w:val="14"/>
                <w:szCs w:val="14"/>
                <w:b w:val="1"/>
                <w:bCs w:val="1"/>
                <w:color w:val="auto"/>
              </w:rPr>
              <w:t>2011</w:t>
            </w:r>
          </w:p>
        </w:tc>
        <w:tc>
          <w:tcPr>
            <w:tcW w:w="114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2010</w:t>
            </w:r>
          </w:p>
        </w:tc>
        <w:tc>
          <w:tcPr>
            <w:tcW w:w="1200" w:type="dxa"/>
            <w:vAlign w:val="bottom"/>
            <w:gridSpan w:val="3"/>
          </w:tcPr>
          <w:p>
            <w:pPr>
              <w:ind w:left="48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3260" w:type="dxa"/>
            <w:vAlign w:val="bottom"/>
          </w:tcPr>
          <w:p>
            <w:pPr>
              <w:spacing w:after="0"/>
              <w:rPr>
                <w:sz w:val="12"/>
                <w:szCs w:val="12"/>
                <w:color w:val="auto"/>
              </w:rPr>
            </w:pPr>
          </w:p>
        </w:tc>
        <w:tc>
          <w:tcPr>
            <w:tcW w:w="2400" w:type="dxa"/>
            <w:vAlign w:val="bottom"/>
          </w:tcPr>
          <w:p>
            <w:pPr>
              <w:spacing w:after="0"/>
              <w:rPr>
                <w:sz w:val="12"/>
                <w:szCs w:val="12"/>
                <w:color w:val="auto"/>
              </w:rPr>
            </w:pPr>
          </w:p>
        </w:tc>
        <w:tc>
          <w:tcPr>
            <w:tcW w:w="680" w:type="dxa"/>
            <w:vAlign w:val="bottom"/>
            <w:tcBorders>
              <w:top w:val="single" w:sz="8" w:color="auto"/>
            </w:tcBorders>
          </w:tcPr>
          <w:p>
            <w:pPr>
              <w:ind w:left="420"/>
              <w:spacing w:after="0" w:line="142" w:lineRule="exact"/>
              <w:rPr>
                <w:sz w:val="20"/>
                <w:szCs w:val="20"/>
                <w:color w:val="auto"/>
              </w:rPr>
            </w:pPr>
            <w:r>
              <w:rPr>
                <w:rFonts w:ascii="Arial" w:cs="Arial" w:eastAsia="Arial" w:hAnsi="Arial"/>
                <w:sz w:val="14"/>
                <w:szCs w:val="14"/>
                <w:b w:val="1"/>
                <w:bCs w:val="1"/>
                <w:color w:val="auto"/>
              </w:rPr>
              <w:t>(in</w:t>
            </w:r>
          </w:p>
        </w:tc>
        <w:tc>
          <w:tcPr>
            <w:tcW w:w="480" w:type="dxa"/>
            <w:vAlign w:val="bottom"/>
          </w:tcPr>
          <w:p>
            <w:pPr>
              <w:jc w:val="center"/>
              <w:spacing w:after="0"/>
              <w:rPr>
                <w:sz w:val="20"/>
                <w:szCs w:val="20"/>
                <w:color w:val="auto"/>
              </w:rPr>
            </w:pPr>
            <w:r>
              <w:rPr>
                <w:rFonts w:ascii="Arial" w:cs="Arial" w:eastAsia="Arial" w:hAnsi="Arial"/>
                <w:sz w:val="12"/>
                <w:szCs w:val="12"/>
                <w:b w:val="1"/>
                <w:bCs w:val="1"/>
                <w:color w:val="auto"/>
                <w:w w:val="74"/>
              </w:rPr>
              <w:t>thousands,</w:t>
            </w:r>
          </w:p>
        </w:tc>
        <w:tc>
          <w:tcPr>
            <w:tcW w:w="660" w:type="dxa"/>
            <w:vAlign w:val="bottom"/>
            <w:tcBorders>
              <w:top w:val="single" w:sz="8" w:color="auto"/>
            </w:tcBorders>
          </w:tcPr>
          <w:p>
            <w:pPr>
              <w:ind w:left="100"/>
              <w:spacing w:after="0" w:line="142" w:lineRule="exact"/>
              <w:rPr>
                <w:sz w:val="20"/>
                <w:szCs w:val="20"/>
                <w:color w:val="auto"/>
              </w:rPr>
            </w:pPr>
            <w:r>
              <w:rPr>
                <w:rFonts w:ascii="Arial" w:cs="Arial" w:eastAsia="Arial" w:hAnsi="Arial"/>
                <w:sz w:val="14"/>
                <w:szCs w:val="14"/>
                <w:b w:val="1"/>
                <w:bCs w:val="1"/>
                <w:color w:val="auto"/>
              </w:rPr>
              <w:t>except</w:t>
            </w:r>
          </w:p>
        </w:tc>
        <w:tc>
          <w:tcPr>
            <w:tcW w:w="500" w:type="dxa"/>
            <w:vAlign w:val="bottom"/>
          </w:tcPr>
          <w:p>
            <w:pPr>
              <w:spacing w:after="0"/>
              <w:rPr>
                <w:sz w:val="20"/>
                <w:szCs w:val="20"/>
                <w:color w:val="auto"/>
              </w:rPr>
            </w:pPr>
            <w:r>
              <w:rPr>
                <w:rFonts w:ascii="Arial" w:cs="Arial" w:eastAsia="Arial" w:hAnsi="Arial"/>
                <w:sz w:val="12"/>
                <w:szCs w:val="12"/>
                <w:b w:val="1"/>
                <w:bCs w:val="1"/>
                <w:color w:val="auto"/>
                <w:w w:val="70"/>
              </w:rPr>
              <w:t>percentage)</w:t>
            </w:r>
          </w:p>
        </w:tc>
        <w:tc>
          <w:tcPr>
            <w:tcW w:w="44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26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30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$802,402</w:t>
            </w:r>
          </w:p>
        </w:tc>
        <w:tc>
          <w:tcPr>
            <w:tcW w:w="1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$855,579</w:t>
            </w:r>
          </w:p>
        </w:tc>
        <w:tc>
          <w:tcPr>
            <w:tcW w:w="1200" w:type="dxa"/>
            <w:vAlign w:val="bottom"/>
            <w:gridSpan w:val="3"/>
            <w:shd w:val="clear" w:color="auto" w:fill="CCEEFF"/>
          </w:tcPr>
          <w:p>
            <w:pPr>
              <w:ind w:left="660"/>
              <w:spacing w:after="0"/>
              <w:rPr>
                <w:sz w:val="20"/>
                <w:szCs w:val="20"/>
                <w:color w:val="auto"/>
              </w:rPr>
            </w:pPr>
            <w:r>
              <w:rPr>
                <w:rFonts w:ascii="Arial" w:cs="Arial" w:eastAsia="Arial" w:hAnsi="Arial"/>
                <w:sz w:val="18"/>
                <w:szCs w:val="18"/>
                <w:color w:val="auto"/>
                <w:w w:val="98"/>
              </w:rPr>
              <w:t>(6.2)%</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decrease in net revenue during the three months ended April 30, 2011 compared to the three months ended May 1, 2010, was driven by lower storage revenue which declined 16%. The decline in storage revenue was due mainly to a shift in product mix at some of our major customers and to inventory reduction at our customers from a year ago. Partially offsetting this decline was additional revenue from the ramp of solid-state drive controllers. Sales of mobile and wireless products increased approximately 9% due to growth over the past year into new customers and new products such as gaming consoles, offset partially by declines at our leading mobile customer driven by a shift in product mix. Our networking revenue was approximately flat in the three months ended April 30, 2011 as compared to the three months ended May 1, 2010.</w:t>
      </w:r>
    </w:p>
    <w:p>
      <w:pPr>
        <w:spacing w:after="0" w:line="120" w:lineRule="exact"/>
        <w:rPr>
          <w:sz w:val="20"/>
          <w:szCs w:val="20"/>
          <w:color w:val="auto"/>
        </w:rPr>
      </w:pPr>
    </w:p>
    <w:p>
      <w:pPr>
        <w:ind w:right="340" w:firstLine="456"/>
        <w:spacing w:after="0" w:line="256" w:lineRule="auto"/>
        <w:rPr>
          <w:sz w:val="20"/>
          <w:szCs w:val="20"/>
          <w:color w:val="auto"/>
        </w:rPr>
      </w:pPr>
      <w:r>
        <w:rPr>
          <w:rFonts w:ascii="Arial" w:cs="Arial" w:eastAsia="Arial" w:hAnsi="Arial"/>
          <w:sz w:val="18"/>
          <w:szCs w:val="18"/>
          <w:color w:val="auto"/>
        </w:rPr>
        <w:t>Compared to the three months ended January 29, 2011, the most significant change in net revenue during the three months ended April 30, 2011 was attributable to declines in our mobile and wireless business, following a significant increase in revenues over the course of the past several quarters. These declines were driven by seasonality in the gaming and printer end markets, and lower sales to a major customer due to a mix shift to older generation cellular handsets that do not contain our products.</w:t>
      </w:r>
    </w:p>
    <w:p>
      <w:pPr>
        <w:spacing w:after="0" w:line="143" w:lineRule="exact"/>
        <w:rPr>
          <w:sz w:val="20"/>
          <w:szCs w:val="20"/>
          <w:color w:val="auto"/>
        </w:rPr>
      </w:pPr>
    </w:p>
    <w:p>
      <w:pPr>
        <w:ind w:right="480" w:firstLine="456"/>
        <w:spacing w:after="0" w:line="268" w:lineRule="auto"/>
        <w:rPr>
          <w:sz w:val="20"/>
          <w:szCs w:val="20"/>
          <w:color w:val="auto"/>
        </w:rPr>
      </w:pPr>
      <w:r>
        <w:rPr>
          <w:rFonts w:ascii="Arial" w:cs="Arial" w:eastAsia="Arial" w:hAnsi="Arial"/>
          <w:sz w:val="18"/>
          <w:szCs w:val="18"/>
          <w:color w:val="auto"/>
        </w:rPr>
        <w:t>We currently expect overall net revenues for the three months ending July 30, 2011 to increase moderately from the level for the three months ended April 30, 2011, largely driven by normal seasonality and new products ramping.</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380"/>
          </w:cols>
          <w:pgMar w:left="240" w:top="459" w:right="27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Historically, a relatively small number of customers have accounted for a significant portion of our revenue. No distributors accounted for more than 10% of our net revenue for the three months ended April 30, 2011 and May 1, 2010. The following table sets forth revenue attributable to end customers comprising 10% or more of our net revenue for the periods indicated:</w:t>
      </w:r>
    </w:p>
    <w:p>
      <w:pPr>
        <w:spacing w:after="0" w:line="176"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100" w:type="dxa"/>
            <w:vAlign w:val="bottom"/>
          </w:tcPr>
          <w:p>
            <w:pPr>
              <w:spacing w:after="0"/>
              <w:rPr>
                <w:sz w:val="14"/>
                <w:szCs w:val="14"/>
                <w:color w:val="auto"/>
              </w:rPr>
            </w:pPr>
          </w:p>
        </w:tc>
        <w:tc>
          <w:tcPr>
            <w:tcW w:w="1980" w:type="dxa"/>
            <w:vAlign w:val="bottom"/>
            <w:gridSpan w:val="4"/>
          </w:tcPr>
          <w:p>
            <w:pPr>
              <w:jc w:val="right"/>
              <w:ind w:right="50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100" w:type="dxa"/>
            <w:vAlign w:val="bottom"/>
          </w:tcPr>
          <w:p>
            <w:pPr>
              <w:spacing w:after="0"/>
              <w:rPr>
                <w:sz w:val="11"/>
                <w:szCs w:val="11"/>
                <w:color w:val="auto"/>
              </w:rPr>
            </w:pPr>
          </w:p>
        </w:tc>
        <w:tc>
          <w:tcPr>
            <w:tcW w:w="1320" w:type="dxa"/>
            <w:vAlign w:val="bottom"/>
            <w:tcBorders>
              <w:top w:val="single" w:sz="8" w:color="auto"/>
            </w:tcBorders>
            <w:gridSpan w:val="2"/>
          </w:tcPr>
          <w:p>
            <w:pPr>
              <w:jc w:val="right"/>
              <w:ind w:right="820"/>
              <w:spacing w:after="0" w:line="129" w:lineRule="exact"/>
              <w:rPr>
                <w:sz w:val="20"/>
                <w:szCs w:val="20"/>
                <w:color w:val="auto"/>
              </w:rPr>
            </w:pPr>
            <w:r>
              <w:rPr>
                <w:rFonts w:ascii="Arial" w:cs="Arial" w:eastAsia="Arial" w:hAnsi="Arial"/>
                <w:sz w:val="14"/>
                <w:szCs w:val="14"/>
                <w:b w:val="1"/>
                <w:bCs w:val="1"/>
                <w:color w:val="auto"/>
                <w:w w:val="86"/>
              </w:rPr>
              <w:t>April 30,</w:t>
            </w:r>
          </w:p>
        </w:tc>
        <w:tc>
          <w:tcPr>
            <w:tcW w:w="4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3"/>
              </w:rPr>
              <w:t>May 1,</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700" w:type="dxa"/>
            <w:vAlign w:val="bottom"/>
            <w:gridSpan w:val="3"/>
          </w:tcPr>
          <w:p>
            <w:pPr>
              <w:spacing w:after="0"/>
              <w:rPr>
                <w:sz w:val="20"/>
                <w:szCs w:val="20"/>
                <w:color w:val="auto"/>
              </w:rPr>
            </w:pPr>
            <w:r>
              <w:rPr>
                <w:rFonts w:ascii="Arial" w:cs="Arial" w:eastAsia="Arial" w:hAnsi="Arial"/>
                <w:sz w:val="14"/>
                <w:szCs w:val="14"/>
                <w:b w:val="1"/>
                <w:bCs w:val="1"/>
                <w:color w:val="auto"/>
              </w:rPr>
              <w:t>Customer</w:t>
            </w:r>
          </w:p>
        </w:tc>
        <w:tc>
          <w:tcPr>
            <w:tcW w:w="520" w:type="dxa"/>
            <w:vAlign w:val="bottom"/>
          </w:tcPr>
          <w:p>
            <w:pPr>
              <w:jc w:val="right"/>
              <w:ind w:right="62"/>
              <w:spacing w:after="0"/>
              <w:rPr>
                <w:sz w:val="20"/>
                <w:szCs w:val="20"/>
                <w:color w:val="auto"/>
              </w:rPr>
            </w:pPr>
            <w:r>
              <w:rPr>
                <w:rFonts w:ascii="Arial" w:cs="Arial" w:eastAsia="Arial" w:hAnsi="Arial"/>
                <w:sz w:val="14"/>
                <w:szCs w:val="14"/>
                <w:b w:val="1"/>
                <w:bCs w:val="1"/>
                <w:color w:val="auto"/>
              </w:rPr>
              <w:t>2011</w:t>
            </w:r>
          </w:p>
        </w:tc>
        <w:tc>
          <w:tcPr>
            <w:tcW w:w="800" w:type="dxa"/>
            <w:vAlign w:val="bottom"/>
          </w:tcPr>
          <w:p>
            <w:pPr>
              <w:spacing w:after="0"/>
              <w:rPr>
                <w:sz w:val="14"/>
                <w:szCs w:val="14"/>
                <w:color w:val="auto"/>
              </w:rPr>
            </w:pPr>
          </w:p>
        </w:tc>
        <w:tc>
          <w:tcPr>
            <w:tcW w:w="460" w:type="dxa"/>
            <w:vAlign w:val="bottom"/>
          </w:tcPr>
          <w:p>
            <w:pPr>
              <w:jc w:val="right"/>
              <w:ind w:right="20"/>
              <w:spacing w:after="0"/>
              <w:rPr>
                <w:sz w:val="20"/>
                <w:szCs w:val="20"/>
                <w:color w:val="auto"/>
              </w:rPr>
            </w:pPr>
            <w:r>
              <w:rPr>
                <w:rFonts w:ascii="Arial" w:cs="Arial" w:eastAsia="Arial" w:hAnsi="Arial"/>
                <w:sz w:val="14"/>
                <w:szCs w:val="14"/>
                <w:b w:val="1"/>
                <w:bCs w:val="1"/>
                <w:color w:val="auto"/>
              </w:rPr>
              <w:t>2010</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6100" w:type="dxa"/>
            <w:vAlign w:val="bottom"/>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580" w:type="dxa"/>
            <w:vAlign w:val="bottom"/>
            <w:shd w:val="clear" w:color="auto" w:fill="CCEEFF"/>
          </w:tcPr>
          <w:p>
            <w:pPr>
              <w:spacing w:after="0"/>
              <w:rPr>
                <w:sz w:val="20"/>
                <w:szCs w:val="20"/>
                <w:color w:val="auto"/>
              </w:rPr>
            </w:pPr>
            <w:r>
              <w:rPr>
                <w:rFonts w:ascii="Arial" w:cs="Arial" w:eastAsia="Arial" w:hAnsi="Arial"/>
                <w:sz w:val="18"/>
                <w:szCs w:val="18"/>
                <w:color w:val="auto"/>
              </w:rPr>
              <w:t>A</w:t>
            </w:r>
          </w:p>
        </w:tc>
        <w:tc>
          <w:tcPr>
            <w:tcW w:w="610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rPr>
              <w:t>21%</w:t>
            </w:r>
          </w:p>
        </w:tc>
        <w:tc>
          <w:tcPr>
            <w:tcW w:w="6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80" w:type="dxa"/>
            <w:vAlign w:val="bottom"/>
            <w:gridSpan w:val="2"/>
          </w:tcPr>
          <w:p>
            <w:pPr>
              <w:spacing w:after="0"/>
              <w:rPr>
                <w:sz w:val="20"/>
                <w:szCs w:val="20"/>
                <w:color w:val="auto"/>
              </w:rPr>
            </w:pPr>
            <w:r>
              <w:rPr>
                <w:rFonts w:ascii="Arial" w:cs="Arial" w:eastAsia="Arial" w:hAnsi="Arial"/>
                <w:sz w:val="18"/>
                <w:szCs w:val="18"/>
                <w:color w:val="auto"/>
              </w:rPr>
              <w:t>B</w:t>
            </w:r>
          </w:p>
        </w:tc>
        <w:tc>
          <w:tcPr>
            <w:tcW w:w="520" w:type="dxa"/>
            <w:vAlign w:val="bottom"/>
          </w:tcPr>
          <w:p>
            <w:pPr>
              <w:jc w:val="right"/>
              <w:spacing w:after="0"/>
              <w:rPr>
                <w:sz w:val="20"/>
                <w:szCs w:val="20"/>
                <w:color w:val="auto"/>
              </w:rPr>
            </w:pPr>
            <w:r>
              <w:rPr>
                <w:rFonts w:ascii="Arial" w:cs="Arial" w:eastAsia="Arial" w:hAnsi="Arial"/>
                <w:sz w:val="18"/>
                <w:szCs w:val="18"/>
                <w:color w:val="auto"/>
              </w:rPr>
              <w:t>*</w:t>
            </w:r>
          </w:p>
        </w:tc>
        <w:tc>
          <w:tcPr>
            <w:tcW w:w="800" w:type="dxa"/>
            <w:vAlign w:val="bottom"/>
          </w:tcPr>
          <w:p>
            <w:pPr>
              <w:spacing w:after="0"/>
              <w:rPr>
                <w:sz w:val="18"/>
                <w:szCs w:val="18"/>
                <w:color w:val="auto"/>
              </w:rPr>
            </w:pPr>
          </w:p>
        </w:tc>
        <w:tc>
          <w:tcPr>
            <w:tcW w:w="660" w:type="dxa"/>
            <w:vAlign w:val="bottom"/>
            <w:gridSpan w:val="2"/>
          </w:tcPr>
          <w:p>
            <w:pPr>
              <w:jc w:val="right"/>
              <w:ind w:right="60"/>
              <w:spacing w:after="0"/>
              <w:rPr>
                <w:sz w:val="20"/>
                <w:szCs w:val="20"/>
                <w:color w:val="auto"/>
              </w:rPr>
            </w:pPr>
            <w:r>
              <w:rPr>
                <w:rFonts w:ascii="Arial" w:cs="Arial" w:eastAsia="Arial" w:hAnsi="Arial"/>
                <w:sz w:val="18"/>
                <w:szCs w:val="18"/>
                <w:color w:val="auto"/>
              </w:rPr>
              <w:t>12%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spacing w:after="0"/>
        <w:rPr>
          <w:sz w:val="20"/>
          <w:szCs w:val="20"/>
          <w:color w:val="auto"/>
        </w:rPr>
      </w:pPr>
      <w:r>
        <w:rPr>
          <w:rFonts w:ascii="Arial" w:cs="Arial" w:eastAsia="Arial" w:hAnsi="Arial"/>
          <w:sz w:val="18"/>
          <w:szCs w:val="18"/>
          <w:color w:val="auto"/>
        </w:rPr>
        <w:t>*  Less than 10% of net revenue</w:t>
      </w:r>
    </w:p>
    <w:p>
      <w:pPr>
        <w:spacing w:after="0" w:line="171" w:lineRule="exact"/>
        <w:rPr>
          <w:sz w:val="20"/>
          <w:szCs w:val="20"/>
          <w:color w:val="auto"/>
        </w:rPr>
      </w:pPr>
    </w:p>
    <w:p>
      <w:pPr>
        <w:ind w:right="220" w:firstLine="456"/>
        <w:spacing w:after="0" w:line="335" w:lineRule="auto"/>
        <w:rPr>
          <w:sz w:val="20"/>
          <w:szCs w:val="20"/>
          <w:color w:val="auto"/>
        </w:rPr>
      </w:pPr>
      <w:r>
        <w:rPr>
          <w:rFonts w:ascii="Arial" w:cs="Arial" w:eastAsia="Arial" w:hAnsi="Arial"/>
          <w:sz w:val="15"/>
          <w:szCs w:val="15"/>
          <w:color w:val="auto"/>
        </w:rPr>
        <w:t>Because we sell our products to many OEM manufacturers who have manufacturing operations located in Asia, a significant percentage of our sales are made to customers located outside of the United States. Sales to customers located in Asia represented 85% of our net revenue for the three months ended April 30, 2011 and May 1, 2010. We expect that a significant portion of our net revenue will continue to be represented by sales to our customers in Asia.</w:t>
      </w:r>
    </w:p>
    <w:p>
      <w:pPr>
        <w:spacing w:after="0" w:line="16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Cost of Goods Sold</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3780" w:type="dxa"/>
            <w:vAlign w:val="bottom"/>
          </w:tcPr>
          <w:p>
            <w:pPr>
              <w:spacing w:after="0"/>
              <w:rPr>
                <w:sz w:val="14"/>
                <w:szCs w:val="14"/>
                <w:color w:val="auto"/>
              </w:rPr>
            </w:pPr>
          </w:p>
        </w:tc>
        <w:tc>
          <w:tcPr>
            <w:tcW w:w="2400" w:type="dxa"/>
            <w:vAlign w:val="bottom"/>
          </w:tcPr>
          <w:p>
            <w:pPr>
              <w:spacing w:after="0"/>
              <w:rPr>
                <w:sz w:val="14"/>
                <w:szCs w:val="14"/>
                <w:color w:val="auto"/>
              </w:rPr>
            </w:pPr>
          </w:p>
        </w:tc>
        <w:tc>
          <w:tcPr>
            <w:tcW w:w="2700" w:type="dxa"/>
            <w:vAlign w:val="bottom"/>
            <w:gridSpan w:val="5"/>
          </w:tcPr>
          <w:p>
            <w:pPr>
              <w:jc w:val="right"/>
              <w:ind w:right="1080"/>
              <w:spacing w:after="0"/>
              <w:rPr>
                <w:sz w:val="20"/>
                <w:szCs w:val="20"/>
                <w:color w:val="auto"/>
              </w:rPr>
            </w:pPr>
            <w:r>
              <w:rPr>
                <w:rFonts w:ascii="Arial" w:cs="Arial" w:eastAsia="Arial" w:hAnsi="Arial"/>
                <w:sz w:val="14"/>
                <w:szCs w:val="14"/>
                <w:b w:val="1"/>
                <w:bCs w:val="1"/>
                <w:color w:val="auto"/>
              </w:rPr>
              <w:t>Three Months Ended</w:t>
            </w:r>
          </w:p>
        </w:tc>
        <w:tc>
          <w:tcPr>
            <w:tcW w:w="440" w:type="dxa"/>
            <w:vAlign w:val="bottom"/>
            <w:vMerge w:val="restart"/>
          </w:tcPr>
          <w:p>
            <w:pPr>
              <w:ind w:left="160"/>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780" w:type="dxa"/>
            <w:vAlign w:val="bottom"/>
          </w:tcPr>
          <w:p>
            <w:pPr>
              <w:spacing w:after="0"/>
              <w:rPr>
                <w:sz w:val="11"/>
                <w:szCs w:val="11"/>
                <w:color w:val="auto"/>
              </w:rPr>
            </w:pPr>
          </w:p>
        </w:tc>
        <w:tc>
          <w:tcPr>
            <w:tcW w:w="2400" w:type="dxa"/>
            <w:vAlign w:val="bottom"/>
          </w:tcPr>
          <w:p>
            <w:pPr>
              <w:spacing w:after="0"/>
              <w:rPr>
                <w:sz w:val="11"/>
                <w:szCs w:val="11"/>
                <w:color w:val="auto"/>
              </w:rPr>
            </w:pPr>
          </w:p>
        </w:tc>
        <w:tc>
          <w:tcPr>
            <w:tcW w:w="1080" w:type="dxa"/>
            <w:vAlign w:val="bottom"/>
            <w:tcBorders>
              <w:top w:val="single" w:sz="8" w:color="auto"/>
            </w:tcBorders>
            <w:gridSpan w:val="2"/>
          </w:tcPr>
          <w:p>
            <w:pPr>
              <w:jc w:val="right"/>
              <w:ind w:right="480"/>
              <w:spacing w:after="0" w:line="129" w:lineRule="exact"/>
              <w:rPr>
                <w:sz w:val="20"/>
                <w:szCs w:val="20"/>
                <w:color w:val="auto"/>
              </w:rPr>
            </w:pPr>
            <w:r>
              <w:rPr>
                <w:rFonts w:ascii="Arial" w:cs="Arial" w:eastAsia="Arial" w:hAnsi="Arial"/>
                <w:sz w:val="14"/>
                <w:szCs w:val="14"/>
                <w:b w:val="1"/>
                <w:bCs w:val="1"/>
                <w:color w:val="auto"/>
              </w:rPr>
              <w:t>April 30,</w:t>
            </w:r>
          </w:p>
        </w:tc>
        <w:tc>
          <w:tcPr>
            <w:tcW w:w="26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right"/>
              <w:ind w:right="72"/>
              <w:spacing w:after="0" w:line="129" w:lineRule="exact"/>
              <w:rPr>
                <w:sz w:val="20"/>
                <w:szCs w:val="20"/>
                <w:color w:val="auto"/>
              </w:rPr>
            </w:pPr>
            <w:r>
              <w:rPr>
                <w:rFonts w:ascii="Arial" w:cs="Arial" w:eastAsia="Arial" w:hAnsi="Arial"/>
                <w:sz w:val="14"/>
                <w:szCs w:val="14"/>
                <w:b w:val="1"/>
                <w:bCs w:val="1"/>
                <w:color w:val="auto"/>
              </w:rPr>
              <w:t>May 1,</w:t>
            </w:r>
          </w:p>
        </w:tc>
        <w:tc>
          <w:tcPr>
            <w:tcW w:w="68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780" w:type="dxa"/>
            <w:vAlign w:val="bottom"/>
          </w:tcPr>
          <w:p>
            <w:pPr>
              <w:spacing w:after="0"/>
              <w:rPr>
                <w:sz w:val="14"/>
                <w:szCs w:val="14"/>
                <w:color w:val="auto"/>
              </w:rPr>
            </w:pPr>
          </w:p>
        </w:tc>
        <w:tc>
          <w:tcPr>
            <w:tcW w:w="2400" w:type="dxa"/>
            <w:vAlign w:val="bottom"/>
          </w:tcPr>
          <w:p>
            <w:pPr>
              <w:spacing w:after="0"/>
              <w:rPr>
                <w:sz w:val="14"/>
                <w:szCs w:val="14"/>
                <w:color w:val="auto"/>
              </w:rPr>
            </w:pPr>
          </w:p>
        </w:tc>
        <w:tc>
          <w:tcPr>
            <w:tcW w:w="680" w:type="dxa"/>
            <w:vAlign w:val="bottom"/>
          </w:tcPr>
          <w:p>
            <w:pPr>
              <w:jc w:val="right"/>
              <w:ind w:right="152"/>
              <w:spacing w:after="0"/>
              <w:rPr>
                <w:sz w:val="20"/>
                <w:szCs w:val="20"/>
                <w:color w:val="auto"/>
              </w:rPr>
            </w:pPr>
            <w:r>
              <w:rPr>
                <w:rFonts w:ascii="Arial" w:cs="Arial" w:eastAsia="Arial" w:hAnsi="Arial"/>
                <w:sz w:val="14"/>
                <w:szCs w:val="14"/>
                <w:b w:val="1"/>
                <w:bCs w:val="1"/>
                <w:color w:val="auto"/>
              </w:rPr>
              <w:t>2011</w:t>
            </w:r>
          </w:p>
        </w:tc>
        <w:tc>
          <w:tcPr>
            <w:tcW w:w="4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80" w:type="dxa"/>
            <w:vAlign w:val="bottom"/>
          </w:tcPr>
          <w:p>
            <w:pPr>
              <w:jc w:val="right"/>
              <w:ind w:right="132"/>
              <w:spacing w:after="0"/>
              <w:rPr>
                <w:sz w:val="20"/>
                <w:szCs w:val="20"/>
                <w:color w:val="auto"/>
              </w:rPr>
            </w:pPr>
            <w:r>
              <w:rPr>
                <w:rFonts w:ascii="Arial" w:cs="Arial" w:eastAsia="Arial" w:hAnsi="Arial"/>
                <w:sz w:val="14"/>
                <w:szCs w:val="14"/>
                <w:b w:val="1"/>
                <w:bCs w:val="1"/>
                <w:color w:val="auto"/>
              </w:rPr>
              <w:t>2010</w:t>
            </w:r>
          </w:p>
        </w:tc>
        <w:tc>
          <w:tcPr>
            <w:tcW w:w="680" w:type="dxa"/>
            <w:vAlign w:val="bottom"/>
          </w:tcPr>
          <w:p>
            <w:pPr>
              <w:spacing w:after="0"/>
              <w:rPr>
                <w:sz w:val="14"/>
                <w:szCs w:val="14"/>
                <w:color w:val="auto"/>
              </w:rPr>
            </w:pPr>
          </w:p>
        </w:tc>
        <w:tc>
          <w:tcPr>
            <w:tcW w:w="700" w:type="dxa"/>
            <w:vAlign w:val="bottom"/>
            <w:gridSpan w:val="2"/>
          </w:tcPr>
          <w:p>
            <w:pPr>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20"/>
        </w:trPr>
        <w:tc>
          <w:tcPr>
            <w:tcW w:w="3780" w:type="dxa"/>
            <w:vAlign w:val="bottom"/>
          </w:tcPr>
          <w:p>
            <w:pPr>
              <w:spacing w:after="0" w:line="20" w:lineRule="exact"/>
              <w:rPr>
                <w:sz w:val="1"/>
                <w:szCs w:val="1"/>
                <w:color w:val="auto"/>
              </w:rPr>
            </w:pPr>
          </w:p>
        </w:tc>
        <w:tc>
          <w:tcPr>
            <w:tcW w:w="240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2"/>
        </w:trPr>
        <w:tc>
          <w:tcPr>
            <w:tcW w:w="3780" w:type="dxa"/>
            <w:vAlign w:val="bottom"/>
          </w:tcPr>
          <w:p>
            <w:pPr>
              <w:spacing w:after="0"/>
              <w:rPr>
                <w:sz w:val="12"/>
                <w:szCs w:val="12"/>
                <w:color w:val="auto"/>
              </w:rPr>
            </w:pPr>
          </w:p>
        </w:tc>
        <w:tc>
          <w:tcPr>
            <w:tcW w:w="2400" w:type="dxa"/>
            <w:vAlign w:val="bottom"/>
          </w:tcPr>
          <w:p>
            <w:pPr>
              <w:spacing w:after="0"/>
              <w:rPr>
                <w:sz w:val="12"/>
                <w:szCs w:val="12"/>
                <w:color w:val="auto"/>
              </w:rPr>
            </w:pPr>
          </w:p>
        </w:tc>
        <w:tc>
          <w:tcPr>
            <w:tcW w:w="2700" w:type="dxa"/>
            <w:vAlign w:val="bottom"/>
            <w:gridSpan w:val="5"/>
          </w:tcPr>
          <w:p>
            <w:pPr>
              <w:jc w:val="right"/>
              <w:ind w:right="160"/>
              <w:spacing w:after="0" w:line="142" w:lineRule="exact"/>
              <w:rPr>
                <w:sz w:val="20"/>
                <w:szCs w:val="20"/>
                <w:color w:val="auto"/>
              </w:rPr>
            </w:pPr>
            <w:r>
              <w:rPr>
                <w:rFonts w:ascii="Arial" w:cs="Arial" w:eastAsia="Arial" w:hAnsi="Arial"/>
                <w:sz w:val="14"/>
                <w:szCs w:val="14"/>
                <w:b w:val="1"/>
                <w:bCs w:val="1"/>
                <w:color w:val="auto"/>
              </w:rPr>
              <w:t>(in thousands, except percentage)</w:t>
            </w:r>
          </w:p>
        </w:tc>
        <w:tc>
          <w:tcPr>
            <w:tcW w:w="4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78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3480" w:type="dxa"/>
            <w:vAlign w:val="bottom"/>
            <w:gridSpan w:val="3"/>
            <w:shd w:val="clear" w:color="auto" w:fill="CCEEFF"/>
          </w:tcPr>
          <w:p>
            <w:pPr>
              <w:jc w:val="right"/>
              <w:ind w:right="400"/>
              <w:spacing w:after="0"/>
              <w:rPr>
                <w:sz w:val="20"/>
                <w:szCs w:val="20"/>
                <w:color w:val="auto"/>
              </w:rPr>
            </w:pPr>
            <w:r>
              <w:rPr>
                <w:rFonts w:ascii="Arial" w:cs="Arial" w:eastAsia="Arial" w:hAnsi="Arial"/>
                <w:sz w:val="18"/>
                <w:szCs w:val="18"/>
                <w:color w:val="auto"/>
              </w:rPr>
              <w:t>$334,475</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$343,985</w:t>
            </w:r>
          </w:p>
        </w:tc>
        <w:tc>
          <w:tcPr>
            <w:tcW w:w="6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w w:val="98"/>
              </w:rPr>
              <w:t>(2.8)%</w:t>
            </w:r>
          </w:p>
        </w:tc>
        <w:tc>
          <w:tcPr>
            <w:tcW w:w="0" w:type="dxa"/>
            <w:vAlign w:val="bottom"/>
          </w:tcPr>
          <w:p>
            <w:pPr>
              <w:spacing w:after="0"/>
              <w:rPr>
                <w:sz w:val="1"/>
                <w:szCs w:val="1"/>
                <w:color w:val="auto"/>
              </w:rPr>
            </w:pPr>
          </w:p>
        </w:tc>
      </w:tr>
      <w:tr>
        <w:trPr>
          <w:trHeight w:val="222"/>
        </w:trPr>
        <w:tc>
          <w:tcPr>
            <w:tcW w:w="3780" w:type="dxa"/>
            <w:vAlign w:val="bottom"/>
          </w:tcPr>
          <w:p>
            <w:pPr>
              <w:spacing w:after="0"/>
              <w:rPr>
                <w:sz w:val="20"/>
                <w:szCs w:val="20"/>
                <w:color w:val="auto"/>
              </w:rPr>
            </w:pPr>
            <w:r>
              <w:rPr>
                <w:rFonts w:ascii="Arial" w:cs="Arial" w:eastAsia="Arial" w:hAnsi="Arial"/>
                <w:sz w:val="18"/>
                <w:szCs w:val="18"/>
                <w:color w:val="auto"/>
              </w:rPr>
              <w:t>% of net revenue</w:t>
            </w:r>
          </w:p>
        </w:tc>
        <w:tc>
          <w:tcPr>
            <w:tcW w:w="3480" w:type="dxa"/>
            <w:vAlign w:val="bottom"/>
            <w:gridSpan w:val="3"/>
          </w:tcPr>
          <w:p>
            <w:pPr>
              <w:jc w:val="right"/>
              <w:ind w:right="260"/>
              <w:spacing w:after="0"/>
              <w:rPr>
                <w:sz w:val="20"/>
                <w:szCs w:val="20"/>
                <w:color w:val="auto"/>
              </w:rPr>
            </w:pPr>
            <w:r>
              <w:rPr>
                <w:rFonts w:ascii="Arial" w:cs="Arial" w:eastAsia="Arial" w:hAnsi="Arial"/>
                <w:sz w:val="18"/>
                <w:szCs w:val="18"/>
                <w:color w:val="auto"/>
              </w:rPr>
              <w:t>41.7%</w:t>
            </w:r>
          </w:p>
        </w:tc>
        <w:tc>
          <w:tcPr>
            <w:tcW w:w="1620" w:type="dxa"/>
            <w:vAlign w:val="bottom"/>
            <w:gridSpan w:val="3"/>
          </w:tcPr>
          <w:p>
            <w:pPr>
              <w:jc w:val="right"/>
              <w:ind w:right="520"/>
              <w:spacing w:after="0"/>
              <w:rPr>
                <w:sz w:val="20"/>
                <w:szCs w:val="20"/>
                <w:color w:val="auto"/>
              </w:rPr>
            </w:pPr>
            <w:r>
              <w:rPr>
                <w:rFonts w:ascii="Arial" w:cs="Arial" w:eastAsia="Arial" w:hAnsi="Arial"/>
                <w:sz w:val="18"/>
                <w:szCs w:val="18"/>
                <w:color w:val="auto"/>
              </w:rPr>
              <w:t>40.2%</w:t>
            </w:r>
          </w:p>
        </w:tc>
        <w:tc>
          <w:tcPr>
            <w:tcW w:w="4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The increase in cost of goods sold as a percentage of revenue for the three months ended April 30, 2011 compared to the three months ended May 1, 2010 was primarily driven by the volume and costs of new product tapeouts, as well as higher commodity costs in the manufacturing process. The impact of lower average selling prices was mostly offset by manufacturing cost reductions. Our cost of goods sold as a percentage of revenue may fluctuate in future periods due to, among other things, changes in the mix of products sold; the timing of production ramps of new products; increased pricing pressures from our customers and competitors, particularly in the consumer product markets that we are targeting; charges for obsolete or potentially excess inventory; changes in the costs charged by our foundry; assembly and test subcontractors; product warranty costs; changes in commodity prices such as gold; and the introduction of new products with lower margins.</w:t>
      </w:r>
    </w:p>
    <w:p>
      <w:pPr>
        <w:spacing w:after="0" w:line="118"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We currently expect cost of goods sold as a percentage of revenue for the three months ending July 30, 2011 to be slightly higher than for the three months ended April 30, 2011 as a result of product mix changes.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Research and Development</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4140" w:type="dxa"/>
            <w:vAlign w:val="bottom"/>
          </w:tcPr>
          <w:p>
            <w:pPr>
              <w:spacing w:after="0"/>
              <w:rPr>
                <w:sz w:val="14"/>
                <w:szCs w:val="14"/>
                <w:color w:val="auto"/>
              </w:rPr>
            </w:pPr>
          </w:p>
        </w:tc>
        <w:tc>
          <w:tcPr>
            <w:tcW w:w="2240" w:type="dxa"/>
            <w:vAlign w:val="bottom"/>
          </w:tcPr>
          <w:p>
            <w:pPr>
              <w:spacing w:after="0"/>
              <w:rPr>
                <w:sz w:val="14"/>
                <w:szCs w:val="14"/>
                <w:color w:val="auto"/>
              </w:rPr>
            </w:pPr>
          </w:p>
        </w:tc>
        <w:tc>
          <w:tcPr>
            <w:tcW w:w="2560" w:type="dxa"/>
            <w:vAlign w:val="bottom"/>
            <w:gridSpan w:val="5"/>
          </w:tcPr>
          <w:p>
            <w:pPr>
              <w:jc w:val="right"/>
              <w:ind w:right="918"/>
              <w:spacing w:after="0"/>
              <w:rPr>
                <w:sz w:val="20"/>
                <w:szCs w:val="20"/>
                <w:color w:val="auto"/>
              </w:rPr>
            </w:pPr>
            <w:r>
              <w:rPr>
                <w:rFonts w:ascii="Arial" w:cs="Arial" w:eastAsia="Arial" w:hAnsi="Arial"/>
                <w:sz w:val="14"/>
                <w:szCs w:val="14"/>
                <w:b w:val="1"/>
                <w:bCs w:val="1"/>
                <w:color w:val="auto"/>
              </w:rPr>
              <w:t>Three Months Ended</w:t>
            </w:r>
          </w:p>
        </w:tc>
        <w:tc>
          <w:tcPr>
            <w:tcW w:w="440" w:type="dxa"/>
            <w:vAlign w:val="bottom"/>
            <w:vMerge w:val="restart"/>
          </w:tcPr>
          <w:p>
            <w:pPr>
              <w:ind w:left="140"/>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140" w:type="dxa"/>
            <w:vAlign w:val="bottom"/>
          </w:tcPr>
          <w:p>
            <w:pPr>
              <w:spacing w:after="0"/>
              <w:rPr>
                <w:sz w:val="11"/>
                <w:szCs w:val="11"/>
                <w:color w:val="auto"/>
              </w:rPr>
            </w:pPr>
          </w:p>
        </w:tc>
        <w:tc>
          <w:tcPr>
            <w:tcW w:w="2240" w:type="dxa"/>
            <w:vAlign w:val="bottom"/>
          </w:tcPr>
          <w:p>
            <w:pPr>
              <w:spacing w:after="0"/>
              <w:rPr>
                <w:sz w:val="11"/>
                <w:szCs w:val="11"/>
                <w:color w:val="auto"/>
              </w:rPr>
            </w:pPr>
          </w:p>
        </w:tc>
        <w:tc>
          <w:tcPr>
            <w:tcW w:w="1060" w:type="dxa"/>
            <w:vAlign w:val="bottom"/>
            <w:tcBorders>
              <w:top w:val="single" w:sz="8" w:color="auto"/>
            </w:tcBorders>
            <w:gridSpan w:val="2"/>
          </w:tcPr>
          <w:p>
            <w:pPr>
              <w:jc w:val="right"/>
              <w:ind w:right="398"/>
              <w:spacing w:after="0" w:line="129" w:lineRule="exact"/>
              <w:rPr>
                <w:sz w:val="20"/>
                <w:szCs w:val="20"/>
                <w:color w:val="auto"/>
              </w:rPr>
            </w:pPr>
            <w:r>
              <w:rPr>
                <w:rFonts w:ascii="Arial" w:cs="Arial" w:eastAsia="Arial" w:hAnsi="Arial"/>
                <w:sz w:val="14"/>
                <w:szCs w:val="14"/>
                <w:b w:val="1"/>
                <w:bCs w:val="1"/>
                <w:color w:val="auto"/>
              </w:rPr>
              <w:t>April 30,</w:t>
            </w:r>
          </w:p>
        </w:tc>
        <w:tc>
          <w:tcPr>
            <w:tcW w:w="22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tcPr>
          <w:p>
            <w:pPr>
              <w:jc w:val="right"/>
              <w:ind w:right="52"/>
              <w:spacing w:after="0" w:line="129" w:lineRule="exact"/>
              <w:rPr>
                <w:sz w:val="20"/>
                <w:szCs w:val="20"/>
                <w:color w:val="auto"/>
              </w:rPr>
            </w:pPr>
            <w:r>
              <w:rPr>
                <w:rFonts w:ascii="Arial" w:cs="Arial" w:eastAsia="Arial" w:hAnsi="Arial"/>
                <w:sz w:val="14"/>
                <w:szCs w:val="14"/>
                <w:b w:val="1"/>
                <w:bCs w:val="1"/>
                <w:color w:val="auto"/>
              </w:rPr>
              <w:t>May 1,</w:t>
            </w:r>
          </w:p>
        </w:tc>
        <w:tc>
          <w:tcPr>
            <w:tcW w:w="62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140" w:type="dxa"/>
            <w:vAlign w:val="bottom"/>
          </w:tcPr>
          <w:p>
            <w:pPr>
              <w:spacing w:after="0"/>
              <w:rPr>
                <w:sz w:val="14"/>
                <w:szCs w:val="14"/>
                <w:color w:val="auto"/>
              </w:rPr>
            </w:pPr>
          </w:p>
        </w:tc>
        <w:tc>
          <w:tcPr>
            <w:tcW w:w="2920" w:type="dxa"/>
            <w:vAlign w:val="bottom"/>
            <w:gridSpan w:val="2"/>
          </w:tcPr>
          <w:p>
            <w:pPr>
              <w:jc w:val="right"/>
              <w:ind w:right="152"/>
              <w:spacing w:after="0"/>
              <w:rPr>
                <w:sz w:val="20"/>
                <w:szCs w:val="20"/>
                <w:color w:val="auto"/>
              </w:rPr>
            </w:pPr>
            <w:r>
              <w:rPr>
                <w:rFonts w:ascii="Arial" w:cs="Arial" w:eastAsia="Arial" w:hAnsi="Arial"/>
                <w:sz w:val="14"/>
                <w:szCs w:val="14"/>
                <w:b w:val="1"/>
                <w:bCs w:val="1"/>
                <w:color w:val="auto"/>
              </w:rPr>
              <w:t>2011</w:t>
            </w:r>
          </w:p>
        </w:tc>
        <w:tc>
          <w:tcPr>
            <w:tcW w:w="380" w:type="dxa"/>
            <w:vAlign w:val="bottom"/>
          </w:tcPr>
          <w:p>
            <w:pPr>
              <w:spacing w:after="0"/>
              <w:rPr>
                <w:sz w:val="14"/>
                <w:szCs w:val="14"/>
                <w:color w:val="auto"/>
              </w:rPr>
            </w:pPr>
          </w:p>
        </w:tc>
        <w:tc>
          <w:tcPr>
            <w:tcW w:w="88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2010</w:t>
            </w:r>
          </w:p>
        </w:tc>
        <w:tc>
          <w:tcPr>
            <w:tcW w:w="620" w:type="dxa"/>
            <w:vAlign w:val="bottom"/>
          </w:tcPr>
          <w:p>
            <w:pPr>
              <w:spacing w:after="0"/>
              <w:rPr>
                <w:sz w:val="14"/>
                <w:szCs w:val="14"/>
                <w:color w:val="auto"/>
              </w:rPr>
            </w:pPr>
          </w:p>
        </w:tc>
        <w:tc>
          <w:tcPr>
            <w:tcW w:w="640" w:type="dxa"/>
            <w:vAlign w:val="bottom"/>
            <w:gridSpan w:val="2"/>
          </w:tcPr>
          <w:p>
            <w:pPr>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4140" w:type="dxa"/>
            <w:vAlign w:val="bottom"/>
          </w:tcPr>
          <w:p>
            <w:pPr>
              <w:spacing w:after="0"/>
              <w:rPr>
                <w:sz w:val="12"/>
                <w:szCs w:val="12"/>
                <w:color w:val="auto"/>
              </w:rPr>
            </w:pPr>
          </w:p>
        </w:tc>
        <w:tc>
          <w:tcPr>
            <w:tcW w:w="2240" w:type="dxa"/>
            <w:vAlign w:val="bottom"/>
          </w:tcPr>
          <w:p>
            <w:pPr>
              <w:spacing w:after="0"/>
              <w:rPr>
                <w:sz w:val="12"/>
                <w:szCs w:val="12"/>
                <w:color w:val="auto"/>
              </w:rPr>
            </w:pPr>
          </w:p>
        </w:tc>
        <w:tc>
          <w:tcPr>
            <w:tcW w:w="680" w:type="dxa"/>
            <w:vAlign w:val="bottom"/>
            <w:tcBorders>
              <w:top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rPr>
              <w:t>(in</w:t>
            </w:r>
          </w:p>
        </w:tc>
        <w:tc>
          <w:tcPr>
            <w:tcW w:w="600" w:type="dxa"/>
            <w:vAlign w:val="bottom"/>
            <w:gridSpan w:val="2"/>
          </w:tcPr>
          <w:p>
            <w:pPr>
              <w:ind w:left="60"/>
              <w:spacing w:after="0"/>
              <w:rPr>
                <w:sz w:val="20"/>
                <w:szCs w:val="20"/>
                <w:color w:val="auto"/>
              </w:rPr>
            </w:pPr>
            <w:r>
              <w:rPr>
                <w:rFonts w:ascii="Arial" w:cs="Arial" w:eastAsia="Arial" w:hAnsi="Arial"/>
                <w:sz w:val="12"/>
                <w:szCs w:val="12"/>
                <w:b w:val="1"/>
                <w:bCs w:val="1"/>
                <w:color w:val="auto"/>
                <w:w w:val="81"/>
              </w:rPr>
              <w:t>thousands,</w:t>
            </w:r>
          </w:p>
        </w:tc>
        <w:tc>
          <w:tcPr>
            <w:tcW w:w="660" w:type="dxa"/>
            <w:vAlign w:val="bottom"/>
            <w:tcBorders>
              <w:top w:val="single" w:sz="8" w:color="auto"/>
            </w:tcBorders>
          </w:tcPr>
          <w:p>
            <w:pPr>
              <w:jc w:val="right"/>
              <w:ind w:right="112"/>
              <w:spacing w:after="0" w:line="142" w:lineRule="exact"/>
              <w:rPr>
                <w:sz w:val="20"/>
                <w:szCs w:val="20"/>
                <w:color w:val="auto"/>
              </w:rPr>
            </w:pPr>
            <w:r>
              <w:rPr>
                <w:rFonts w:ascii="Arial" w:cs="Arial" w:eastAsia="Arial" w:hAnsi="Arial"/>
                <w:sz w:val="14"/>
                <w:szCs w:val="14"/>
                <w:b w:val="1"/>
                <w:bCs w:val="1"/>
                <w:color w:val="auto"/>
              </w:rPr>
              <w:t>except</w:t>
            </w:r>
          </w:p>
        </w:tc>
        <w:tc>
          <w:tcPr>
            <w:tcW w:w="620" w:type="dxa"/>
            <w:vAlign w:val="bottom"/>
          </w:tcPr>
          <w:p>
            <w:pPr>
              <w:jc w:val="right"/>
              <w:ind w:right="38"/>
              <w:spacing w:after="0"/>
              <w:rPr>
                <w:sz w:val="20"/>
                <w:szCs w:val="20"/>
                <w:color w:val="auto"/>
              </w:rPr>
            </w:pPr>
            <w:r>
              <w:rPr>
                <w:rFonts w:ascii="Arial" w:cs="Arial" w:eastAsia="Arial" w:hAnsi="Arial"/>
                <w:sz w:val="12"/>
                <w:szCs w:val="12"/>
                <w:b w:val="1"/>
                <w:bCs w:val="1"/>
                <w:color w:val="auto"/>
                <w:w w:val="73"/>
              </w:rPr>
              <w:t>percentage)</w:t>
            </w:r>
          </w:p>
        </w:tc>
        <w:tc>
          <w:tcPr>
            <w:tcW w:w="44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14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3300" w:type="dxa"/>
            <w:vAlign w:val="bottom"/>
            <w:gridSpan w:val="3"/>
            <w:shd w:val="clear" w:color="auto" w:fill="CCEEFF"/>
          </w:tcPr>
          <w:p>
            <w:pPr>
              <w:jc w:val="right"/>
              <w:ind w:right="318"/>
              <w:spacing w:after="0"/>
              <w:rPr>
                <w:sz w:val="20"/>
                <w:szCs w:val="20"/>
                <w:color w:val="auto"/>
              </w:rPr>
            </w:pPr>
            <w:r>
              <w:rPr>
                <w:rFonts w:ascii="Arial" w:cs="Arial" w:eastAsia="Arial" w:hAnsi="Arial"/>
                <w:sz w:val="18"/>
                <w:szCs w:val="18"/>
                <w:color w:val="auto"/>
              </w:rPr>
              <w:t>$242,537</w:t>
            </w:r>
          </w:p>
        </w:tc>
        <w:tc>
          <w:tcPr>
            <w:tcW w:w="8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$219,111</w:t>
            </w:r>
          </w:p>
        </w:tc>
        <w:tc>
          <w:tcPr>
            <w:tcW w:w="620" w:type="dxa"/>
            <w:vAlign w:val="bottom"/>
            <w:shd w:val="clear" w:color="auto" w:fill="CCEEFF"/>
          </w:tcPr>
          <w:p>
            <w:pPr>
              <w:spacing w:after="0"/>
              <w:rPr>
                <w:sz w:val="18"/>
                <w:szCs w:val="18"/>
                <w:color w:val="auto"/>
              </w:rPr>
            </w:pPr>
          </w:p>
        </w:tc>
        <w:tc>
          <w:tcPr>
            <w:tcW w:w="640" w:type="dxa"/>
            <w:vAlign w:val="bottom"/>
            <w:gridSpan w:val="2"/>
            <w:shd w:val="clear" w:color="auto" w:fill="CCEEFF"/>
          </w:tcPr>
          <w:p>
            <w:pPr>
              <w:ind w:left="140"/>
              <w:spacing w:after="0"/>
              <w:rPr>
                <w:sz w:val="20"/>
                <w:szCs w:val="20"/>
                <w:color w:val="auto"/>
              </w:rPr>
            </w:pPr>
            <w:r>
              <w:rPr>
                <w:rFonts w:ascii="Arial" w:cs="Arial" w:eastAsia="Arial" w:hAnsi="Arial"/>
                <w:sz w:val="18"/>
                <w:szCs w:val="18"/>
                <w:color w:val="auto"/>
                <w:w w:val="93"/>
              </w:rPr>
              <w:t>10.7%</w:t>
            </w:r>
          </w:p>
        </w:tc>
        <w:tc>
          <w:tcPr>
            <w:tcW w:w="0" w:type="dxa"/>
            <w:vAlign w:val="bottom"/>
          </w:tcPr>
          <w:p>
            <w:pPr>
              <w:spacing w:after="0"/>
              <w:rPr>
                <w:sz w:val="1"/>
                <w:szCs w:val="1"/>
                <w:color w:val="auto"/>
              </w:rPr>
            </w:pPr>
          </w:p>
        </w:tc>
      </w:tr>
      <w:tr>
        <w:trPr>
          <w:trHeight w:val="222"/>
        </w:trPr>
        <w:tc>
          <w:tcPr>
            <w:tcW w:w="4140" w:type="dxa"/>
            <w:vAlign w:val="bottom"/>
          </w:tcPr>
          <w:p>
            <w:pPr>
              <w:spacing w:after="0"/>
              <w:rPr>
                <w:sz w:val="20"/>
                <w:szCs w:val="20"/>
                <w:color w:val="auto"/>
              </w:rPr>
            </w:pPr>
            <w:r>
              <w:rPr>
                <w:rFonts w:ascii="Arial" w:cs="Arial" w:eastAsia="Arial" w:hAnsi="Arial"/>
                <w:sz w:val="18"/>
                <w:szCs w:val="18"/>
                <w:color w:val="auto"/>
              </w:rPr>
              <w:t>% of net revenue</w:t>
            </w:r>
          </w:p>
        </w:tc>
        <w:tc>
          <w:tcPr>
            <w:tcW w:w="3300" w:type="dxa"/>
            <w:vAlign w:val="bottom"/>
            <w:gridSpan w:val="3"/>
          </w:tcPr>
          <w:p>
            <w:pPr>
              <w:jc w:val="right"/>
              <w:ind w:right="178"/>
              <w:spacing w:after="0"/>
              <w:rPr>
                <w:sz w:val="20"/>
                <w:szCs w:val="20"/>
                <w:color w:val="auto"/>
              </w:rPr>
            </w:pPr>
            <w:r>
              <w:rPr>
                <w:rFonts w:ascii="Arial" w:cs="Arial" w:eastAsia="Arial" w:hAnsi="Arial"/>
                <w:sz w:val="18"/>
                <w:szCs w:val="18"/>
                <w:color w:val="auto"/>
              </w:rPr>
              <w:t>30.2%</w:t>
            </w:r>
          </w:p>
        </w:tc>
        <w:tc>
          <w:tcPr>
            <w:tcW w:w="1500" w:type="dxa"/>
            <w:vAlign w:val="bottom"/>
            <w:gridSpan w:val="3"/>
          </w:tcPr>
          <w:p>
            <w:pPr>
              <w:jc w:val="right"/>
              <w:ind w:right="398"/>
              <w:spacing w:after="0"/>
              <w:rPr>
                <w:sz w:val="20"/>
                <w:szCs w:val="20"/>
                <w:color w:val="auto"/>
              </w:rPr>
            </w:pPr>
            <w:r>
              <w:rPr>
                <w:rFonts w:ascii="Arial" w:cs="Arial" w:eastAsia="Arial" w:hAnsi="Arial"/>
                <w:sz w:val="18"/>
                <w:szCs w:val="18"/>
                <w:color w:val="auto"/>
              </w:rPr>
              <w:t>25.6%</w:t>
            </w:r>
          </w:p>
        </w:tc>
        <w:tc>
          <w:tcPr>
            <w:tcW w:w="4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jc w:val="both"/>
        <w:ind w:right="160" w:firstLine="456"/>
        <w:spacing w:after="0" w:line="259" w:lineRule="auto"/>
        <w:rPr>
          <w:sz w:val="20"/>
          <w:szCs w:val="20"/>
          <w:color w:val="auto"/>
        </w:rPr>
      </w:pPr>
      <w:r>
        <w:rPr>
          <w:rFonts w:ascii="Arial" w:cs="Arial" w:eastAsia="Arial" w:hAnsi="Arial"/>
          <w:sz w:val="18"/>
          <w:szCs w:val="18"/>
          <w:color w:val="auto"/>
        </w:rPr>
        <w:t>The increase in research and development expense for the three months ended April 30, 2011 compared to the three months ended May 1, 2010 of $23.4 million was primarily due a $22.9 million increase in personnel related costs as a result of increased headcount and contractor services to support the growth of our business.</w:t>
      </w:r>
    </w:p>
    <w:p>
      <w:pPr>
        <w:spacing w:after="0" w:line="140" w:lineRule="exact"/>
        <w:rPr>
          <w:sz w:val="20"/>
          <w:szCs w:val="20"/>
          <w:color w:val="auto"/>
        </w:rPr>
      </w:pPr>
    </w:p>
    <w:p>
      <w:pPr>
        <w:ind w:right="120" w:firstLine="456"/>
        <w:spacing w:after="0" w:line="268" w:lineRule="auto"/>
        <w:rPr>
          <w:sz w:val="20"/>
          <w:szCs w:val="20"/>
          <w:color w:val="auto"/>
        </w:rPr>
      </w:pPr>
      <w:r>
        <w:rPr>
          <w:rFonts w:ascii="Arial" w:cs="Arial" w:eastAsia="Arial" w:hAnsi="Arial"/>
          <w:sz w:val="18"/>
          <w:szCs w:val="18"/>
          <w:color w:val="auto"/>
        </w:rPr>
        <w:t>We currently expect that research and development expense for the three months ending July 30, 2011 will increase moderately from the level of expense reported for the three months ended April 30, 2011.</w:t>
      </w:r>
    </w:p>
    <w:p>
      <w:pPr>
        <w:spacing w:after="0" w:line="118"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360"/>
          </w:cols>
          <w:pgMar w:left="240" w:top="459" w:right="29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Selling and Marketing</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6360" w:type="dxa"/>
            <w:vAlign w:val="bottom"/>
          </w:tcPr>
          <w:p>
            <w:pPr>
              <w:spacing w:after="0"/>
              <w:rPr>
                <w:sz w:val="14"/>
                <w:szCs w:val="14"/>
                <w:color w:val="auto"/>
              </w:rPr>
            </w:pPr>
          </w:p>
        </w:tc>
        <w:tc>
          <w:tcPr>
            <w:tcW w:w="2520" w:type="dxa"/>
            <w:vAlign w:val="bottom"/>
            <w:gridSpan w:val="4"/>
          </w:tcPr>
          <w:p>
            <w:pPr>
              <w:jc w:val="right"/>
              <w:ind w:right="980"/>
              <w:spacing w:after="0"/>
              <w:rPr>
                <w:sz w:val="20"/>
                <w:szCs w:val="20"/>
                <w:color w:val="auto"/>
              </w:rPr>
            </w:pPr>
            <w:r>
              <w:rPr>
                <w:rFonts w:ascii="Arial" w:cs="Arial" w:eastAsia="Arial" w:hAnsi="Arial"/>
                <w:sz w:val="14"/>
                <w:szCs w:val="14"/>
                <w:b w:val="1"/>
                <w:bCs w:val="1"/>
                <w:color w:val="auto"/>
              </w:rPr>
              <w:t>Three Months Ended</w:t>
            </w:r>
          </w:p>
        </w:tc>
        <w:tc>
          <w:tcPr>
            <w:tcW w:w="440" w:type="dxa"/>
            <w:vAlign w:val="bottom"/>
            <w:vMerge w:val="restart"/>
          </w:tcPr>
          <w:p>
            <w:pPr>
              <w:ind w:left="160"/>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360" w:type="dxa"/>
            <w:vAlign w:val="bottom"/>
          </w:tcPr>
          <w:p>
            <w:pPr>
              <w:spacing w:after="0"/>
              <w:rPr>
                <w:sz w:val="11"/>
                <w:szCs w:val="11"/>
                <w:color w:val="auto"/>
              </w:rPr>
            </w:pPr>
          </w:p>
        </w:tc>
        <w:tc>
          <w:tcPr>
            <w:tcW w:w="1260" w:type="dxa"/>
            <w:vAlign w:val="bottom"/>
            <w:tcBorders>
              <w:top w:val="single" w:sz="8" w:color="auto"/>
            </w:tcBorders>
            <w:gridSpan w:val="2"/>
          </w:tcPr>
          <w:p>
            <w:pPr>
              <w:jc w:val="center"/>
              <w:ind w:right="660"/>
              <w:spacing w:after="0" w:line="129" w:lineRule="exact"/>
              <w:rPr>
                <w:sz w:val="20"/>
                <w:szCs w:val="20"/>
                <w:color w:val="auto"/>
              </w:rPr>
            </w:pPr>
            <w:r>
              <w:rPr>
                <w:rFonts w:ascii="Arial" w:cs="Arial" w:eastAsia="Arial" w:hAnsi="Arial"/>
                <w:sz w:val="14"/>
                <w:szCs w:val="14"/>
                <w:b w:val="1"/>
                <w:bCs w:val="1"/>
                <w:color w:val="auto"/>
                <w:w w:val="94"/>
              </w:rPr>
              <w:t>April 30,</w:t>
            </w:r>
          </w:p>
        </w:tc>
        <w:tc>
          <w:tcPr>
            <w:tcW w:w="580" w:type="dxa"/>
            <w:vAlign w:val="bottom"/>
            <w:tcBorders>
              <w:top w:val="single" w:sz="8" w:color="auto"/>
            </w:tcBorders>
          </w:tcPr>
          <w:p>
            <w:pPr>
              <w:jc w:val="right"/>
              <w:ind w:right="2"/>
              <w:spacing w:after="0" w:line="129" w:lineRule="exact"/>
              <w:rPr>
                <w:sz w:val="20"/>
                <w:szCs w:val="20"/>
                <w:color w:val="auto"/>
              </w:rPr>
            </w:pPr>
            <w:r>
              <w:rPr>
                <w:rFonts w:ascii="Arial" w:cs="Arial" w:eastAsia="Arial" w:hAnsi="Arial"/>
                <w:sz w:val="14"/>
                <w:szCs w:val="14"/>
                <w:b w:val="1"/>
                <w:bCs w:val="1"/>
                <w:color w:val="auto"/>
              </w:rPr>
              <w:t>May 1,</w:t>
            </w:r>
          </w:p>
        </w:tc>
        <w:tc>
          <w:tcPr>
            <w:tcW w:w="68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360" w:type="dxa"/>
            <w:vAlign w:val="bottom"/>
          </w:tcPr>
          <w:p>
            <w:pPr>
              <w:spacing w:after="0"/>
              <w:rPr>
                <w:sz w:val="14"/>
                <w:szCs w:val="14"/>
                <w:color w:val="auto"/>
              </w:rPr>
            </w:pPr>
          </w:p>
        </w:tc>
        <w:tc>
          <w:tcPr>
            <w:tcW w:w="580" w:type="dxa"/>
            <w:vAlign w:val="bottom"/>
          </w:tcPr>
          <w:p>
            <w:pPr>
              <w:jc w:val="center"/>
              <w:spacing w:after="0"/>
              <w:rPr>
                <w:sz w:val="20"/>
                <w:szCs w:val="20"/>
                <w:color w:val="auto"/>
              </w:rPr>
            </w:pPr>
            <w:r>
              <w:rPr>
                <w:rFonts w:ascii="Arial" w:cs="Arial" w:eastAsia="Arial" w:hAnsi="Arial"/>
                <w:sz w:val="14"/>
                <w:szCs w:val="14"/>
                <w:b w:val="1"/>
                <w:bCs w:val="1"/>
                <w:color w:val="auto"/>
                <w:w w:val="83"/>
              </w:rPr>
              <w:t>2011</w:t>
            </w:r>
          </w:p>
        </w:tc>
        <w:tc>
          <w:tcPr>
            <w:tcW w:w="680" w:type="dxa"/>
            <w:vAlign w:val="bottom"/>
          </w:tcPr>
          <w:p>
            <w:pPr>
              <w:spacing w:after="0"/>
              <w:rPr>
                <w:sz w:val="14"/>
                <w:szCs w:val="14"/>
                <w:color w:val="auto"/>
              </w:rPr>
            </w:pPr>
          </w:p>
        </w:tc>
        <w:tc>
          <w:tcPr>
            <w:tcW w:w="580" w:type="dxa"/>
            <w:vAlign w:val="bottom"/>
          </w:tcPr>
          <w:p>
            <w:pPr>
              <w:jc w:val="right"/>
              <w:ind w:right="82"/>
              <w:spacing w:after="0"/>
              <w:rPr>
                <w:sz w:val="20"/>
                <w:szCs w:val="20"/>
                <w:color w:val="auto"/>
              </w:rPr>
            </w:pPr>
            <w:r>
              <w:rPr>
                <w:rFonts w:ascii="Arial" w:cs="Arial" w:eastAsia="Arial" w:hAnsi="Arial"/>
                <w:sz w:val="14"/>
                <w:szCs w:val="14"/>
                <w:b w:val="1"/>
                <w:bCs w:val="1"/>
                <w:color w:val="auto"/>
              </w:rPr>
              <w:t>2010</w:t>
            </w:r>
          </w:p>
        </w:tc>
        <w:tc>
          <w:tcPr>
            <w:tcW w:w="680" w:type="dxa"/>
            <w:vAlign w:val="bottom"/>
          </w:tcPr>
          <w:p>
            <w:pPr>
              <w:spacing w:after="0"/>
              <w:rPr>
                <w:sz w:val="14"/>
                <w:szCs w:val="14"/>
                <w:color w:val="auto"/>
              </w:rPr>
            </w:pPr>
          </w:p>
        </w:tc>
        <w:tc>
          <w:tcPr>
            <w:tcW w:w="700" w:type="dxa"/>
            <w:vAlign w:val="bottom"/>
            <w:gridSpan w:val="2"/>
          </w:tcPr>
          <w:p>
            <w:pPr>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20"/>
        </w:trPr>
        <w:tc>
          <w:tcPr>
            <w:tcW w:w="636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2"/>
        </w:trPr>
        <w:tc>
          <w:tcPr>
            <w:tcW w:w="6360" w:type="dxa"/>
            <w:vAlign w:val="bottom"/>
          </w:tcPr>
          <w:p>
            <w:pPr>
              <w:spacing w:after="0"/>
              <w:rPr>
                <w:sz w:val="12"/>
                <w:szCs w:val="12"/>
                <w:color w:val="auto"/>
              </w:rPr>
            </w:pPr>
          </w:p>
        </w:tc>
        <w:tc>
          <w:tcPr>
            <w:tcW w:w="2520" w:type="dxa"/>
            <w:vAlign w:val="bottom"/>
            <w:gridSpan w:val="4"/>
          </w:tcPr>
          <w:p>
            <w:pPr>
              <w:jc w:val="right"/>
              <w:ind w:right="80"/>
              <w:spacing w:after="0" w:line="142" w:lineRule="exact"/>
              <w:rPr>
                <w:sz w:val="20"/>
                <w:szCs w:val="20"/>
                <w:color w:val="auto"/>
              </w:rPr>
            </w:pPr>
            <w:r>
              <w:rPr>
                <w:rFonts w:ascii="Arial" w:cs="Arial" w:eastAsia="Arial" w:hAnsi="Arial"/>
                <w:sz w:val="14"/>
                <w:szCs w:val="14"/>
                <w:b w:val="1"/>
                <w:bCs w:val="1"/>
                <w:color w:val="auto"/>
              </w:rPr>
              <w:t>(in thousands, except percentage)</w:t>
            </w:r>
          </w:p>
        </w:tc>
        <w:tc>
          <w:tcPr>
            <w:tcW w:w="4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36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58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9"/>
              </w:rPr>
              <w:t>$38,152</w:t>
            </w:r>
          </w:p>
        </w:tc>
        <w:tc>
          <w:tcPr>
            <w:tcW w:w="6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$38,423</w:t>
            </w:r>
          </w:p>
        </w:tc>
        <w:tc>
          <w:tcPr>
            <w:tcW w:w="6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w w:val="98"/>
              </w:rPr>
              <w:t>(0.7)%</w:t>
            </w:r>
          </w:p>
        </w:tc>
        <w:tc>
          <w:tcPr>
            <w:tcW w:w="0" w:type="dxa"/>
            <w:vAlign w:val="bottom"/>
          </w:tcPr>
          <w:p>
            <w:pPr>
              <w:spacing w:after="0"/>
              <w:rPr>
                <w:sz w:val="1"/>
                <w:szCs w:val="1"/>
                <w:color w:val="auto"/>
              </w:rPr>
            </w:pPr>
          </w:p>
        </w:tc>
      </w:tr>
      <w:tr>
        <w:trPr>
          <w:trHeight w:val="222"/>
        </w:trPr>
        <w:tc>
          <w:tcPr>
            <w:tcW w:w="6360" w:type="dxa"/>
            <w:vAlign w:val="bottom"/>
          </w:tcPr>
          <w:p>
            <w:pPr>
              <w:spacing w:after="0"/>
              <w:rPr>
                <w:sz w:val="20"/>
                <w:szCs w:val="20"/>
                <w:color w:val="auto"/>
              </w:rPr>
            </w:pPr>
            <w:r>
              <w:rPr>
                <w:rFonts w:ascii="Arial" w:cs="Arial" w:eastAsia="Arial" w:hAnsi="Arial"/>
                <w:sz w:val="18"/>
                <w:szCs w:val="18"/>
                <w:color w:val="auto"/>
              </w:rPr>
              <w:t>% of net revenue</w:t>
            </w:r>
          </w:p>
        </w:tc>
        <w:tc>
          <w:tcPr>
            <w:tcW w:w="1260" w:type="dxa"/>
            <w:vAlign w:val="bottom"/>
            <w:gridSpan w:val="2"/>
          </w:tcPr>
          <w:p>
            <w:pPr>
              <w:jc w:val="right"/>
              <w:ind w:right="520"/>
              <w:spacing w:after="0"/>
              <w:rPr>
                <w:sz w:val="20"/>
                <w:szCs w:val="20"/>
                <w:color w:val="auto"/>
              </w:rPr>
            </w:pPr>
            <w:r>
              <w:rPr>
                <w:rFonts w:ascii="Arial" w:cs="Arial" w:eastAsia="Arial" w:hAnsi="Arial"/>
                <w:sz w:val="18"/>
                <w:szCs w:val="18"/>
                <w:color w:val="auto"/>
              </w:rPr>
              <w:t>4.8%</w:t>
            </w:r>
          </w:p>
        </w:tc>
        <w:tc>
          <w:tcPr>
            <w:tcW w:w="1260" w:type="dxa"/>
            <w:vAlign w:val="bottom"/>
            <w:gridSpan w:val="2"/>
          </w:tcPr>
          <w:p>
            <w:pPr>
              <w:jc w:val="right"/>
              <w:ind w:right="520"/>
              <w:spacing w:after="0"/>
              <w:rPr>
                <w:sz w:val="20"/>
                <w:szCs w:val="20"/>
                <w:color w:val="auto"/>
              </w:rPr>
            </w:pPr>
            <w:r>
              <w:rPr>
                <w:rFonts w:ascii="Arial" w:cs="Arial" w:eastAsia="Arial" w:hAnsi="Arial"/>
                <w:sz w:val="18"/>
                <w:szCs w:val="18"/>
                <w:color w:val="auto"/>
              </w:rPr>
              <w:t>4.5%</w:t>
            </w:r>
          </w:p>
        </w:tc>
        <w:tc>
          <w:tcPr>
            <w:tcW w:w="4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20" w:firstLine="456"/>
        <w:spacing w:after="0" w:line="335" w:lineRule="auto"/>
        <w:rPr>
          <w:sz w:val="20"/>
          <w:szCs w:val="20"/>
          <w:color w:val="auto"/>
        </w:rPr>
      </w:pPr>
      <w:r>
        <w:rPr>
          <w:rFonts w:ascii="Arial" w:cs="Arial" w:eastAsia="Arial" w:hAnsi="Arial"/>
          <w:sz w:val="15"/>
          <w:szCs w:val="15"/>
          <w:color w:val="auto"/>
        </w:rPr>
        <w:t>The slight decrease in selling and marketing expense for the three months ended April 30, 2011 compared to the three months ended May 1, 2010 of $0.3 million was primarily due to a decrease of $1.7 million in trade show and public relations expenses and a decrease of $0.5 million related to stock-based compensation. Partially offsetting the decrease, our personnel related costs increased by $2.2 million as a result of increased headcount and contractor services.</w:t>
      </w:r>
    </w:p>
    <w:p>
      <w:pPr>
        <w:spacing w:after="0" w:line="88"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We currently expect that selling and marketing expense for the three months ending July 30, 2011 will increase slightly from the level of expense reported for the three months ended April 30, 2011.</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General and Administrative</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6420" w:type="dxa"/>
            <w:vAlign w:val="bottom"/>
          </w:tcPr>
          <w:p>
            <w:pPr>
              <w:spacing w:after="0"/>
              <w:rPr>
                <w:sz w:val="14"/>
                <w:szCs w:val="14"/>
                <w:color w:val="auto"/>
              </w:rPr>
            </w:pPr>
          </w:p>
        </w:tc>
        <w:tc>
          <w:tcPr>
            <w:tcW w:w="2520" w:type="dxa"/>
            <w:vAlign w:val="bottom"/>
            <w:gridSpan w:val="4"/>
          </w:tcPr>
          <w:p>
            <w:pPr>
              <w:jc w:val="right"/>
              <w:ind w:right="980"/>
              <w:spacing w:after="0"/>
              <w:rPr>
                <w:sz w:val="20"/>
                <w:szCs w:val="20"/>
                <w:color w:val="auto"/>
              </w:rPr>
            </w:pPr>
            <w:r>
              <w:rPr>
                <w:rFonts w:ascii="Arial" w:cs="Arial" w:eastAsia="Arial" w:hAnsi="Arial"/>
                <w:sz w:val="14"/>
                <w:szCs w:val="14"/>
                <w:b w:val="1"/>
                <w:bCs w:val="1"/>
                <w:color w:val="auto"/>
              </w:rPr>
              <w:t>Three Months Ended</w:t>
            </w:r>
          </w:p>
        </w:tc>
        <w:tc>
          <w:tcPr>
            <w:tcW w:w="4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420" w:type="dxa"/>
            <w:vAlign w:val="bottom"/>
          </w:tcPr>
          <w:p>
            <w:pPr>
              <w:spacing w:after="0"/>
              <w:rPr>
                <w:sz w:val="11"/>
                <w:szCs w:val="11"/>
                <w:color w:val="auto"/>
              </w:rPr>
            </w:pPr>
          </w:p>
        </w:tc>
        <w:tc>
          <w:tcPr>
            <w:tcW w:w="1260" w:type="dxa"/>
            <w:vAlign w:val="bottom"/>
            <w:tcBorders>
              <w:top w:val="single" w:sz="8" w:color="auto"/>
            </w:tcBorders>
            <w:gridSpan w:val="2"/>
          </w:tcPr>
          <w:p>
            <w:pPr>
              <w:jc w:val="center"/>
              <w:ind w:right="680"/>
              <w:spacing w:after="0" w:line="129" w:lineRule="exact"/>
              <w:rPr>
                <w:sz w:val="20"/>
                <w:szCs w:val="20"/>
                <w:color w:val="auto"/>
              </w:rPr>
            </w:pPr>
            <w:r>
              <w:rPr>
                <w:rFonts w:ascii="Arial" w:cs="Arial" w:eastAsia="Arial" w:hAnsi="Arial"/>
                <w:sz w:val="14"/>
                <w:szCs w:val="14"/>
                <w:b w:val="1"/>
                <w:bCs w:val="1"/>
                <w:color w:val="auto"/>
                <w:w w:val="90"/>
              </w:rPr>
              <w:t>April 30,</w:t>
            </w:r>
          </w:p>
        </w:tc>
        <w:tc>
          <w:tcPr>
            <w:tcW w:w="580" w:type="dxa"/>
            <w:vAlign w:val="bottom"/>
            <w:tcBorders>
              <w:top w:val="single" w:sz="8" w:color="auto"/>
            </w:tcBorders>
          </w:tcPr>
          <w:p>
            <w:pPr>
              <w:jc w:val="right"/>
              <w:ind w:right="22"/>
              <w:spacing w:after="0" w:line="129" w:lineRule="exact"/>
              <w:rPr>
                <w:sz w:val="20"/>
                <w:szCs w:val="20"/>
                <w:color w:val="auto"/>
              </w:rPr>
            </w:pPr>
            <w:r>
              <w:rPr>
                <w:rFonts w:ascii="Arial" w:cs="Arial" w:eastAsia="Arial" w:hAnsi="Arial"/>
                <w:sz w:val="14"/>
                <w:szCs w:val="14"/>
                <w:b w:val="1"/>
                <w:bCs w:val="1"/>
                <w:color w:val="auto"/>
              </w:rPr>
              <w:t>May 1,</w:t>
            </w:r>
          </w:p>
        </w:tc>
        <w:tc>
          <w:tcPr>
            <w:tcW w:w="68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420" w:type="dxa"/>
            <w:vAlign w:val="bottom"/>
          </w:tcPr>
          <w:p>
            <w:pPr>
              <w:spacing w:after="0"/>
              <w:rPr>
                <w:sz w:val="14"/>
                <w:szCs w:val="14"/>
                <w:color w:val="auto"/>
              </w:rPr>
            </w:pPr>
          </w:p>
        </w:tc>
        <w:tc>
          <w:tcPr>
            <w:tcW w:w="580" w:type="dxa"/>
            <w:vAlign w:val="bottom"/>
            <w:tcBorders>
              <w:bottom w:val="single" w:sz="8" w:color="auto"/>
            </w:tcBorders>
          </w:tcPr>
          <w:p>
            <w:pPr>
              <w:jc w:val="right"/>
              <w:ind w:right="86"/>
              <w:spacing w:after="0"/>
              <w:rPr>
                <w:sz w:val="20"/>
                <w:szCs w:val="20"/>
                <w:color w:val="auto"/>
              </w:rPr>
            </w:pPr>
            <w:r>
              <w:rPr>
                <w:rFonts w:ascii="Arial" w:cs="Arial" w:eastAsia="Arial" w:hAnsi="Arial"/>
                <w:sz w:val="14"/>
                <w:szCs w:val="14"/>
                <w:b w:val="1"/>
                <w:bCs w:val="1"/>
                <w:color w:val="auto"/>
              </w:rPr>
              <w:t>2011</w:t>
            </w:r>
          </w:p>
        </w:tc>
        <w:tc>
          <w:tcPr>
            <w:tcW w:w="680" w:type="dxa"/>
            <w:vAlign w:val="bottom"/>
          </w:tcPr>
          <w:p>
            <w:pPr>
              <w:spacing w:after="0"/>
              <w:rPr>
                <w:sz w:val="14"/>
                <w:szCs w:val="14"/>
                <w:color w:val="auto"/>
              </w:rPr>
            </w:pPr>
          </w:p>
        </w:tc>
        <w:tc>
          <w:tcPr>
            <w:tcW w:w="580" w:type="dxa"/>
            <w:vAlign w:val="bottom"/>
            <w:tcBorders>
              <w:bottom w:val="single" w:sz="8" w:color="auto"/>
            </w:tcBorders>
          </w:tcPr>
          <w:p>
            <w:pPr>
              <w:jc w:val="right"/>
              <w:ind w:right="82"/>
              <w:spacing w:after="0"/>
              <w:rPr>
                <w:sz w:val="20"/>
                <w:szCs w:val="20"/>
                <w:color w:val="auto"/>
              </w:rPr>
            </w:pPr>
            <w:r>
              <w:rPr>
                <w:rFonts w:ascii="Arial" w:cs="Arial" w:eastAsia="Arial" w:hAnsi="Arial"/>
                <w:sz w:val="14"/>
                <w:szCs w:val="14"/>
                <w:b w:val="1"/>
                <w:bCs w:val="1"/>
                <w:color w:val="auto"/>
              </w:rPr>
              <w:t>2010</w:t>
            </w:r>
          </w:p>
        </w:tc>
        <w:tc>
          <w:tcPr>
            <w:tcW w:w="680" w:type="dxa"/>
            <w:vAlign w:val="bottom"/>
          </w:tcPr>
          <w:p>
            <w:pPr>
              <w:spacing w:after="0"/>
              <w:rPr>
                <w:sz w:val="14"/>
                <w:szCs w:val="14"/>
                <w:color w:val="auto"/>
              </w:rPr>
            </w:pPr>
          </w:p>
        </w:tc>
        <w:tc>
          <w:tcPr>
            <w:tcW w:w="4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5"/>
              </w:rPr>
              <w:t>Change</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6420" w:type="dxa"/>
            <w:vAlign w:val="bottom"/>
          </w:tcPr>
          <w:p>
            <w:pPr>
              <w:spacing w:after="0"/>
              <w:rPr>
                <w:sz w:val="12"/>
                <w:szCs w:val="12"/>
                <w:color w:val="auto"/>
              </w:rPr>
            </w:pPr>
          </w:p>
        </w:tc>
        <w:tc>
          <w:tcPr>
            <w:tcW w:w="2520" w:type="dxa"/>
            <w:vAlign w:val="bottom"/>
            <w:gridSpan w:val="4"/>
          </w:tcPr>
          <w:p>
            <w:pPr>
              <w:jc w:val="right"/>
              <w:ind w:right="80"/>
              <w:spacing w:after="0" w:line="142" w:lineRule="exact"/>
              <w:rPr>
                <w:sz w:val="20"/>
                <w:szCs w:val="20"/>
                <w:color w:val="auto"/>
              </w:rPr>
            </w:pPr>
            <w:r>
              <w:rPr>
                <w:rFonts w:ascii="Arial" w:cs="Arial" w:eastAsia="Arial" w:hAnsi="Arial"/>
                <w:sz w:val="14"/>
                <w:szCs w:val="14"/>
                <w:b w:val="1"/>
                <w:bCs w:val="1"/>
                <w:color w:val="auto"/>
              </w:rPr>
              <w:t>(in thousands, except percentage)</w:t>
            </w:r>
          </w:p>
        </w:tc>
        <w:tc>
          <w:tcPr>
            <w:tcW w:w="4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42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1260" w:type="dxa"/>
            <w:vAlign w:val="bottom"/>
            <w:gridSpan w:val="2"/>
            <w:shd w:val="clear" w:color="auto" w:fill="CCEEFF"/>
          </w:tcPr>
          <w:p>
            <w:pPr>
              <w:jc w:val="right"/>
              <w:ind w:right="680"/>
              <w:spacing w:after="0"/>
              <w:rPr>
                <w:sz w:val="20"/>
                <w:szCs w:val="20"/>
                <w:color w:val="auto"/>
              </w:rPr>
            </w:pPr>
            <w:r>
              <w:rPr>
                <w:rFonts w:ascii="Arial" w:cs="Arial" w:eastAsia="Arial" w:hAnsi="Arial"/>
                <w:sz w:val="18"/>
                <w:szCs w:val="18"/>
                <w:color w:val="auto"/>
                <w:w w:val="86"/>
              </w:rPr>
              <w:t>$24,784</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$23,108</w:t>
            </w:r>
          </w:p>
        </w:tc>
        <w:tc>
          <w:tcPr>
            <w:tcW w:w="68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7.3%</w:t>
            </w:r>
          </w:p>
        </w:tc>
        <w:tc>
          <w:tcPr>
            <w:tcW w:w="0" w:type="dxa"/>
            <w:vAlign w:val="bottom"/>
          </w:tcPr>
          <w:p>
            <w:pPr>
              <w:spacing w:after="0"/>
              <w:rPr>
                <w:sz w:val="1"/>
                <w:szCs w:val="1"/>
                <w:color w:val="auto"/>
              </w:rPr>
            </w:pPr>
          </w:p>
        </w:tc>
      </w:tr>
      <w:tr>
        <w:trPr>
          <w:trHeight w:val="222"/>
        </w:trPr>
        <w:tc>
          <w:tcPr>
            <w:tcW w:w="6420" w:type="dxa"/>
            <w:vAlign w:val="bottom"/>
          </w:tcPr>
          <w:p>
            <w:pPr>
              <w:spacing w:after="0"/>
              <w:rPr>
                <w:sz w:val="20"/>
                <w:szCs w:val="20"/>
                <w:color w:val="auto"/>
              </w:rPr>
            </w:pPr>
            <w:r>
              <w:rPr>
                <w:rFonts w:ascii="Arial" w:cs="Arial" w:eastAsia="Arial" w:hAnsi="Arial"/>
                <w:sz w:val="18"/>
                <w:szCs w:val="18"/>
                <w:color w:val="auto"/>
              </w:rPr>
              <w:t>% of net revenue</w:t>
            </w:r>
          </w:p>
        </w:tc>
        <w:tc>
          <w:tcPr>
            <w:tcW w:w="1260" w:type="dxa"/>
            <w:vAlign w:val="bottom"/>
            <w:gridSpan w:val="2"/>
          </w:tcPr>
          <w:p>
            <w:pPr>
              <w:jc w:val="right"/>
              <w:ind w:right="540"/>
              <w:spacing w:after="0"/>
              <w:rPr>
                <w:sz w:val="20"/>
                <w:szCs w:val="20"/>
                <w:color w:val="auto"/>
              </w:rPr>
            </w:pPr>
            <w:r>
              <w:rPr>
                <w:rFonts w:ascii="Arial" w:cs="Arial" w:eastAsia="Arial" w:hAnsi="Arial"/>
                <w:sz w:val="18"/>
                <w:szCs w:val="18"/>
                <w:color w:val="auto"/>
              </w:rPr>
              <w:t>3.1%</w:t>
            </w:r>
          </w:p>
        </w:tc>
        <w:tc>
          <w:tcPr>
            <w:tcW w:w="1260" w:type="dxa"/>
            <w:vAlign w:val="bottom"/>
            <w:gridSpan w:val="2"/>
          </w:tcPr>
          <w:p>
            <w:pPr>
              <w:jc w:val="right"/>
              <w:ind w:right="540"/>
              <w:spacing w:after="0"/>
              <w:rPr>
                <w:sz w:val="20"/>
                <w:szCs w:val="20"/>
                <w:color w:val="auto"/>
              </w:rPr>
            </w:pPr>
            <w:r>
              <w:rPr>
                <w:rFonts w:ascii="Arial" w:cs="Arial" w:eastAsia="Arial" w:hAnsi="Arial"/>
                <w:sz w:val="18"/>
                <w:szCs w:val="18"/>
                <w:color w:val="auto"/>
              </w:rPr>
              <w:t>2.7%</w:t>
            </w:r>
          </w:p>
        </w:tc>
        <w:tc>
          <w:tcPr>
            <w:tcW w:w="4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The increase in general and administrative expense for the three months ended April 30, 2011 compared to the three months ended May 1, 2010 of $1.7 million was primarily due to a slight increase in general expenses necessary to support our growing business.</w:t>
      </w:r>
    </w:p>
    <w:p>
      <w:pPr>
        <w:spacing w:after="0" w:line="132"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We currently expect that general and administrative expense for the three months ending July 30, 2011 will increase moderately from the level of expense reported for the three months ended April 30, 2011.</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Amortization of Acquired Intangible Assets</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4740" w:type="dxa"/>
            <w:vAlign w:val="bottom"/>
          </w:tcPr>
          <w:p>
            <w:pPr>
              <w:spacing w:after="0"/>
              <w:rPr>
                <w:sz w:val="14"/>
                <w:szCs w:val="14"/>
                <w:color w:val="auto"/>
              </w:rPr>
            </w:pPr>
          </w:p>
        </w:tc>
        <w:tc>
          <w:tcPr>
            <w:tcW w:w="1760" w:type="dxa"/>
            <w:vAlign w:val="bottom"/>
          </w:tcPr>
          <w:p>
            <w:pPr>
              <w:spacing w:after="0"/>
              <w:rPr>
                <w:sz w:val="14"/>
                <w:szCs w:val="14"/>
                <w:color w:val="auto"/>
              </w:rPr>
            </w:pPr>
          </w:p>
        </w:tc>
        <w:tc>
          <w:tcPr>
            <w:tcW w:w="2380" w:type="dxa"/>
            <w:vAlign w:val="bottom"/>
            <w:gridSpan w:val="5"/>
          </w:tcPr>
          <w:p>
            <w:pPr>
              <w:jc w:val="right"/>
              <w:ind w:right="812"/>
              <w:spacing w:after="0"/>
              <w:rPr>
                <w:sz w:val="20"/>
                <w:szCs w:val="20"/>
                <w:color w:val="auto"/>
              </w:rPr>
            </w:pPr>
            <w:r>
              <w:rPr>
                <w:rFonts w:ascii="Arial" w:cs="Arial" w:eastAsia="Arial" w:hAnsi="Arial"/>
                <w:sz w:val="14"/>
                <w:szCs w:val="14"/>
                <w:b w:val="1"/>
                <w:bCs w:val="1"/>
                <w:color w:val="auto"/>
              </w:rPr>
              <w:t>Three Months Ended</w:t>
            </w:r>
          </w:p>
        </w:tc>
        <w:tc>
          <w:tcPr>
            <w:tcW w:w="4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740" w:type="dxa"/>
            <w:vAlign w:val="bottom"/>
          </w:tcPr>
          <w:p>
            <w:pPr>
              <w:spacing w:after="0"/>
              <w:rPr>
                <w:sz w:val="11"/>
                <w:szCs w:val="11"/>
                <w:color w:val="auto"/>
              </w:rPr>
            </w:pPr>
          </w:p>
        </w:tc>
        <w:tc>
          <w:tcPr>
            <w:tcW w:w="1760" w:type="dxa"/>
            <w:vAlign w:val="bottom"/>
          </w:tcPr>
          <w:p>
            <w:pPr>
              <w:spacing w:after="0"/>
              <w:rPr>
                <w:sz w:val="11"/>
                <w:szCs w:val="11"/>
                <w:color w:val="auto"/>
              </w:rPr>
            </w:pPr>
          </w:p>
        </w:tc>
        <w:tc>
          <w:tcPr>
            <w:tcW w:w="960" w:type="dxa"/>
            <w:vAlign w:val="bottom"/>
            <w:tcBorders>
              <w:top w:val="single" w:sz="8" w:color="auto"/>
            </w:tcBorders>
            <w:gridSpan w:val="2"/>
          </w:tcPr>
          <w:p>
            <w:pPr>
              <w:jc w:val="center"/>
              <w:ind w:right="312"/>
              <w:spacing w:after="0" w:line="129" w:lineRule="exact"/>
              <w:rPr>
                <w:sz w:val="20"/>
                <w:szCs w:val="20"/>
                <w:color w:val="auto"/>
              </w:rPr>
            </w:pPr>
            <w:r>
              <w:rPr>
                <w:rFonts w:ascii="Arial" w:cs="Arial" w:eastAsia="Arial" w:hAnsi="Arial"/>
                <w:sz w:val="14"/>
                <w:szCs w:val="14"/>
                <w:b w:val="1"/>
                <w:bCs w:val="1"/>
                <w:color w:val="auto"/>
                <w:w w:val="90"/>
              </w:rPr>
              <w:t>April 30,</w:t>
            </w:r>
          </w:p>
        </w:tc>
        <w:tc>
          <w:tcPr>
            <w:tcW w:w="24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3"/>
              </w:rPr>
              <w:t>May 1,</w:t>
            </w:r>
          </w:p>
        </w:tc>
        <w:tc>
          <w:tcPr>
            <w:tcW w:w="60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740" w:type="dxa"/>
            <w:vAlign w:val="bottom"/>
          </w:tcPr>
          <w:p>
            <w:pPr>
              <w:spacing w:after="0"/>
              <w:rPr>
                <w:sz w:val="14"/>
                <w:szCs w:val="14"/>
                <w:color w:val="auto"/>
              </w:rPr>
            </w:pPr>
          </w:p>
        </w:tc>
        <w:tc>
          <w:tcPr>
            <w:tcW w:w="2340" w:type="dxa"/>
            <w:vAlign w:val="bottom"/>
            <w:gridSpan w:val="2"/>
          </w:tcPr>
          <w:p>
            <w:pPr>
              <w:jc w:val="right"/>
              <w:ind w:right="96"/>
              <w:spacing w:after="0"/>
              <w:rPr>
                <w:sz w:val="20"/>
                <w:szCs w:val="20"/>
                <w:color w:val="auto"/>
              </w:rPr>
            </w:pPr>
            <w:r>
              <w:rPr>
                <w:rFonts w:ascii="Arial" w:cs="Arial" w:eastAsia="Arial" w:hAnsi="Arial"/>
                <w:sz w:val="14"/>
                <w:szCs w:val="14"/>
                <w:b w:val="1"/>
                <w:bCs w:val="1"/>
                <w:color w:val="auto"/>
              </w:rPr>
              <w:t>2011</w:t>
            </w:r>
          </w:p>
        </w:tc>
        <w:tc>
          <w:tcPr>
            <w:tcW w:w="380" w:type="dxa"/>
            <w:vAlign w:val="bottom"/>
          </w:tcPr>
          <w:p>
            <w:pPr>
              <w:spacing w:after="0"/>
              <w:rPr>
                <w:sz w:val="14"/>
                <w:szCs w:val="14"/>
                <w:color w:val="auto"/>
              </w:rPr>
            </w:pPr>
          </w:p>
        </w:tc>
        <w:tc>
          <w:tcPr>
            <w:tcW w:w="820" w:type="dxa"/>
            <w:vAlign w:val="bottom"/>
            <w:gridSpan w:val="2"/>
          </w:tcPr>
          <w:p>
            <w:pPr>
              <w:jc w:val="center"/>
              <w:ind w:left="139"/>
              <w:spacing w:after="0"/>
              <w:rPr>
                <w:sz w:val="20"/>
                <w:szCs w:val="20"/>
                <w:color w:val="auto"/>
              </w:rPr>
            </w:pPr>
            <w:r>
              <w:rPr>
                <w:rFonts w:ascii="Arial" w:cs="Arial" w:eastAsia="Arial" w:hAnsi="Arial"/>
                <w:sz w:val="14"/>
                <w:szCs w:val="14"/>
                <w:b w:val="1"/>
                <w:bCs w:val="1"/>
                <w:color w:val="auto"/>
                <w:w w:val="89"/>
              </w:rPr>
              <w:t>2010</w:t>
            </w:r>
          </w:p>
        </w:tc>
        <w:tc>
          <w:tcPr>
            <w:tcW w:w="600" w:type="dxa"/>
            <w:vAlign w:val="bottom"/>
          </w:tcPr>
          <w:p>
            <w:pPr>
              <w:spacing w:after="0"/>
              <w:rPr>
                <w:sz w:val="14"/>
                <w:szCs w:val="14"/>
                <w:color w:val="auto"/>
              </w:rPr>
            </w:pPr>
          </w:p>
        </w:tc>
        <w:tc>
          <w:tcPr>
            <w:tcW w:w="7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4740" w:type="dxa"/>
            <w:vAlign w:val="bottom"/>
          </w:tcPr>
          <w:p>
            <w:pPr>
              <w:spacing w:after="0"/>
              <w:rPr>
                <w:sz w:val="12"/>
                <w:szCs w:val="12"/>
                <w:color w:val="auto"/>
              </w:rPr>
            </w:pPr>
          </w:p>
        </w:tc>
        <w:tc>
          <w:tcPr>
            <w:tcW w:w="1760" w:type="dxa"/>
            <w:vAlign w:val="bottom"/>
          </w:tcPr>
          <w:p>
            <w:pPr>
              <w:spacing w:after="0"/>
              <w:rPr>
                <w:sz w:val="12"/>
                <w:szCs w:val="12"/>
                <w:color w:val="auto"/>
              </w:rPr>
            </w:pPr>
          </w:p>
        </w:tc>
        <w:tc>
          <w:tcPr>
            <w:tcW w:w="580" w:type="dxa"/>
            <w:vAlign w:val="bottom"/>
            <w:tcBorders>
              <w:top w:val="single" w:sz="8" w:color="auto"/>
            </w:tcBorders>
          </w:tcPr>
          <w:p>
            <w:pPr>
              <w:ind w:left="460"/>
              <w:spacing w:after="0"/>
              <w:rPr>
                <w:sz w:val="20"/>
                <w:szCs w:val="20"/>
                <w:color w:val="auto"/>
              </w:rPr>
            </w:pPr>
            <w:r>
              <w:rPr>
                <w:rFonts w:ascii="Arial" w:cs="Arial" w:eastAsia="Arial" w:hAnsi="Arial"/>
                <w:sz w:val="11"/>
                <w:szCs w:val="11"/>
                <w:b w:val="1"/>
                <w:bCs w:val="1"/>
                <w:color w:val="auto"/>
                <w:w w:val="74"/>
              </w:rPr>
              <w:t>(in</w:t>
            </w:r>
          </w:p>
        </w:tc>
        <w:tc>
          <w:tcPr>
            <w:tcW w:w="620" w:type="dxa"/>
            <w:vAlign w:val="bottom"/>
            <w:gridSpan w:val="2"/>
          </w:tcPr>
          <w:p>
            <w:pPr>
              <w:ind w:left="60"/>
              <w:spacing w:after="0" w:line="142" w:lineRule="exact"/>
              <w:rPr>
                <w:sz w:val="20"/>
                <w:szCs w:val="20"/>
                <w:color w:val="auto"/>
              </w:rPr>
            </w:pPr>
            <w:r>
              <w:rPr>
                <w:rFonts w:ascii="Arial" w:cs="Arial" w:eastAsia="Arial" w:hAnsi="Arial"/>
                <w:sz w:val="14"/>
                <w:szCs w:val="14"/>
                <w:b w:val="1"/>
                <w:bCs w:val="1"/>
                <w:color w:val="auto"/>
                <w:w w:val="72"/>
              </w:rPr>
              <w:t>thousands,</w:t>
            </w:r>
          </w:p>
        </w:tc>
        <w:tc>
          <w:tcPr>
            <w:tcW w:w="58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1"/>
              </w:rPr>
              <w:t>except</w:t>
            </w:r>
          </w:p>
        </w:tc>
        <w:tc>
          <w:tcPr>
            <w:tcW w:w="600" w:type="dxa"/>
            <w:vAlign w:val="bottom"/>
          </w:tcPr>
          <w:p>
            <w:pPr>
              <w:jc w:val="right"/>
              <w:spacing w:after="0" w:line="142" w:lineRule="exact"/>
              <w:rPr>
                <w:sz w:val="20"/>
                <w:szCs w:val="20"/>
                <w:color w:val="auto"/>
              </w:rPr>
            </w:pPr>
            <w:r>
              <w:rPr>
                <w:rFonts w:ascii="Arial" w:cs="Arial" w:eastAsia="Arial" w:hAnsi="Arial"/>
                <w:sz w:val="14"/>
                <w:szCs w:val="14"/>
                <w:b w:val="1"/>
                <w:bCs w:val="1"/>
                <w:color w:val="auto"/>
                <w:w w:val="73"/>
              </w:rPr>
              <w:t>percentage)</w:t>
            </w:r>
          </w:p>
        </w:tc>
        <w:tc>
          <w:tcPr>
            <w:tcW w:w="44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740" w:type="dxa"/>
            <w:vAlign w:val="bottom"/>
            <w:shd w:val="clear" w:color="auto" w:fill="CCEEFF"/>
          </w:tcPr>
          <w:p>
            <w:pPr>
              <w:spacing w:after="0"/>
              <w:rPr>
                <w:sz w:val="20"/>
                <w:szCs w:val="20"/>
                <w:color w:val="auto"/>
              </w:rPr>
            </w:pPr>
            <w:r>
              <w:rPr>
                <w:rFonts w:ascii="Arial" w:cs="Arial" w:eastAsia="Arial" w:hAnsi="Arial"/>
                <w:sz w:val="18"/>
                <w:szCs w:val="18"/>
                <w:color w:val="auto"/>
              </w:rPr>
              <w:t>Amortization of acquired intangible assets</w:t>
            </w:r>
          </w:p>
        </w:tc>
        <w:tc>
          <w:tcPr>
            <w:tcW w:w="2720" w:type="dxa"/>
            <w:vAlign w:val="bottom"/>
            <w:gridSpan w:val="3"/>
            <w:shd w:val="clear" w:color="auto" w:fill="CCEEFF"/>
          </w:tcPr>
          <w:p>
            <w:pPr>
              <w:jc w:val="right"/>
              <w:ind w:right="312"/>
              <w:spacing w:after="0"/>
              <w:rPr>
                <w:sz w:val="20"/>
                <w:szCs w:val="20"/>
                <w:color w:val="auto"/>
              </w:rPr>
            </w:pPr>
            <w:r>
              <w:rPr>
                <w:rFonts w:ascii="Arial" w:cs="Arial" w:eastAsia="Arial" w:hAnsi="Arial"/>
                <w:sz w:val="18"/>
                <w:szCs w:val="18"/>
                <w:color w:val="auto"/>
              </w:rPr>
              <w:t>$14,341</w:t>
            </w:r>
          </w:p>
        </w:tc>
        <w:tc>
          <w:tcPr>
            <w:tcW w:w="1420" w:type="dxa"/>
            <w:vAlign w:val="bottom"/>
            <w:gridSpan w:val="3"/>
            <w:shd w:val="clear" w:color="auto" w:fill="CCEEFF"/>
          </w:tcPr>
          <w:p>
            <w:pPr>
              <w:jc w:val="right"/>
              <w:ind w:right="532"/>
              <w:spacing w:after="0"/>
              <w:rPr>
                <w:sz w:val="20"/>
                <w:szCs w:val="20"/>
                <w:color w:val="auto"/>
              </w:rPr>
            </w:pPr>
            <w:r>
              <w:rPr>
                <w:rFonts w:ascii="Arial" w:cs="Arial" w:eastAsia="Arial" w:hAnsi="Arial"/>
                <w:sz w:val="18"/>
                <w:szCs w:val="18"/>
                <w:color w:val="auto"/>
              </w:rPr>
              <w:t>$22,549</w:t>
            </w: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8"/>
              </w:rPr>
              <w:t>(36.4)%</w:t>
            </w:r>
          </w:p>
        </w:tc>
        <w:tc>
          <w:tcPr>
            <w:tcW w:w="0" w:type="dxa"/>
            <w:vAlign w:val="bottom"/>
          </w:tcPr>
          <w:p>
            <w:pPr>
              <w:spacing w:after="0"/>
              <w:rPr>
                <w:sz w:val="1"/>
                <w:szCs w:val="1"/>
                <w:color w:val="auto"/>
              </w:rPr>
            </w:pPr>
          </w:p>
        </w:tc>
      </w:tr>
      <w:tr>
        <w:trPr>
          <w:trHeight w:val="222"/>
        </w:trPr>
        <w:tc>
          <w:tcPr>
            <w:tcW w:w="4740" w:type="dxa"/>
            <w:vAlign w:val="bottom"/>
          </w:tcPr>
          <w:p>
            <w:pPr>
              <w:spacing w:after="0"/>
              <w:rPr>
                <w:sz w:val="20"/>
                <w:szCs w:val="20"/>
                <w:color w:val="auto"/>
              </w:rPr>
            </w:pPr>
            <w:r>
              <w:rPr>
                <w:rFonts w:ascii="Arial" w:cs="Arial" w:eastAsia="Arial" w:hAnsi="Arial"/>
                <w:sz w:val="18"/>
                <w:szCs w:val="18"/>
                <w:color w:val="auto"/>
              </w:rPr>
              <w:t>% of net revenue</w:t>
            </w:r>
          </w:p>
        </w:tc>
        <w:tc>
          <w:tcPr>
            <w:tcW w:w="2720" w:type="dxa"/>
            <w:vAlign w:val="bottom"/>
            <w:gridSpan w:val="3"/>
          </w:tcPr>
          <w:p>
            <w:pPr>
              <w:jc w:val="right"/>
              <w:ind w:right="172"/>
              <w:spacing w:after="0"/>
              <w:rPr>
                <w:sz w:val="20"/>
                <w:szCs w:val="20"/>
                <w:color w:val="auto"/>
              </w:rPr>
            </w:pPr>
            <w:r>
              <w:rPr>
                <w:rFonts w:ascii="Arial" w:cs="Arial" w:eastAsia="Arial" w:hAnsi="Arial"/>
                <w:sz w:val="18"/>
                <w:szCs w:val="18"/>
                <w:color w:val="auto"/>
              </w:rPr>
              <w:t>1.8%</w:t>
            </w:r>
          </w:p>
        </w:tc>
        <w:tc>
          <w:tcPr>
            <w:tcW w:w="1420" w:type="dxa"/>
            <w:vAlign w:val="bottom"/>
            <w:gridSpan w:val="3"/>
          </w:tcPr>
          <w:p>
            <w:pPr>
              <w:jc w:val="right"/>
              <w:ind w:right="392"/>
              <w:spacing w:after="0"/>
              <w:rPr>
                <w:sz w:val="20"/>
                <w:szCs w:val="20"/>
                <w:color w:val="auto"/>
              </w:rPr>
            </w:pPr>
            <w:r>
              <w:rPr>
                <w:rFonts w:ascii="Arial" w:cs="Arial" w:eastAsia="Arial" w:hAnsi="Arial"/>
                <w:sz w:val="18"/>
                <w:szCs w:val="18"/>
                <w:color w:val="auto"/>
              </w:rPr>
              <w:t>2.6%</w:t>
            </w:r>
          </w:p>
        </w:tc>
        <w:tc>
          <w:tcPr>
            <w:tcW w:w="4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jc w:val="both"/>
        <w:ind w:firstLine="456"/>
        <w:spacing w:after="0" w:line="268" w:lineRule="auto"/>
        <w:rPr>
          <w:sz w:val="20"/>
          <w:szCs w:val="20"/>
          <w:color w:val="auto"/>
        </w:rPr>
      </w:pPr>
      <w:r>
        <w:rPr>
          <w:rFonts w:ascii="Arial" w:cs="Arial" w:eastAsia="Arial" w:hAnsi="Arial"/>
          <w:sz w:val="18"/>
          <w:szCs w:val="18"/>
          <w:color w:val="auto"/>
        </w:rPr>
        <w:t>The decrease in amortization of acquired intangible assets for the three months ended April 30, 2011 compared to the three months ended May 1, 2010 was due to intangible assets from certain acquisitions becoming fully amortized.</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Interest and Other Expense, Net</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6520" w:type="dxa"/>
            <w:vAlign w:val="bottom"/>
          </w:tcPr>
          <w:p>
            <w:pPr>
              <w:spacing w:after="0"/>
              <w:rPr>
                <w:sz w:val="14"/>
                <w:szCs w:val="14"/>
                <w:color w:val="auto"/>
              </w:rPr>
            </w:pPr>
          </w:p>
        </w:tc>
        <w:tc>
          <w:tcPr>
            <w:tcW w:w="2360" w:type="dxa"/>
            <w:vAlign w:val="bottom"/>
            <w:gridSpan w:val="4"/>
          </w:tcPr>
          <w:p>
            <w:pPr>
              <w:jc w:val="right"/>
              <w:ind w:right="900"/>
              <w:spacing w:after="0"/>
              <w:rPr>
                <w:sz w:val="20"/>
                <w:szCs w:val="20"/>
                <w:color w:val="auto"/>
              </w:rPr>
            </w:pPr>
            <w:r>
              <w:rPr>
                <w:rFonts w:ascii="Arial" w:cs="Arial" w:eastAsia="Arial" w:hAnsi="Arial"/>
                <w:sz w:val="14"/>
                <w:szCs w:val="14"/>
                <w:b w:val="1"/>
                <w:bCs w:val="1"/>
                <w:color w:val="auto"/>
              </w:rPr>
              <w:t>Three Months Ended</w:t>
            </w:r>
          </w:p>
        </w:tc>
        <w:tc>
          <w:tcPr>
            <w:tcW w:w="4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520" w:type="dxa"/>
            <w:vAlign w:val="bottom"/>
          </w:tcPr>
          <w:p>
            <w:pPr>
              <w:spacing w:after="0"/>
              <w:rPr>
                <w:sz w:val="11"/>
                <w:szCs w:val="11"/>
                <w:color w:val="auto"/>
              </w:rPr>
            </w:pPr>
          </w:p>
        </w:tc>
        <w:tc>
          <w:tcPr>
            <w:tcW w:w="1180" w:type="dxa"/>
            <w:vAlign w:val="bottom"/>
            <w:tcBorders>
              <w:top w:val="single" w:sz="8" w:color="auto"/>
            </w:tcBorders>
            <w:gridSpan w:val="2"/>
          </w:tcPr>
          <w:p>
            <w:pPr>
              <w:jc w:val="center"/>
              <w:ind w:right="680"/>
              <w:spacing w:after="0" w:line="129" w:lineRule="exact"/>
              <w:rPr>
                <w:sz w:val="20"/>
                <w:szCs w:val="20"/>
                <w:color w:val="auto"/>
              </w:rPr>
            </w:pPr>
            <w:r>
              <w:rPr>
                <w:rFonts w:ascii="Arial" w:cs="Arial" w:eastAsia="Arial" w:hAnsi="Arial"/>
                <w:sz w:val="14"/>
                <w:szCs w:val="14"/>
                <w:b w:val="1"/>
                <w:bCs w:val="1"/>
                <w:color w:val="auto"/>
                <w:w w:val="90"/>
              </w:rPr>
              <w:t>April 30,</w:t>
            </w:r>
          </w:p>
        </w:tc>
        <w:tc>
          <w:tcPr>
            <w:tcW w:w="5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May 1,</w:t>
            </w:r>
          </w:p>
        </w:tc>
        <w:tc>
          <w:tcPr>
            <w:tcW w:w="68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520" w:type="dxa"/>
            <w:vAlign w:val="bottom"/>
          </w:tcPr>
          <w:p>
            <w:pPr>
              <w:spacing w:after="0"/>
              <w:rPr>
                <w:sz w:val="14"/>
                <w:szCs w:val="14"/>
                <w:color w:val="auto"/>
              </w:rPr>
            </w:pPr>
          </w:p>
        </w:tc>
        <w:tc>
          <w:tcPr>
            <w:tcW w:w="500" w:type="dxa"/>
            <w:vAlign w:val="bottom"/>
          </w:tcPr>
          <w:p>
            <w:pPr>
              <w:jc w:val="right"/>
              <w:ind w:right="46"/>
              <w:spacing w:after="0"/>
              <w:rPr>
                <w:sz w:val="20"/>
                <w:szCs w:val="20"/>
                <w:color w:val="auto"/>
              </w:rPr>
            </w:pPr>
            <w:r>
              <w:rPr>
                <w:rFonts w:ascii="Arial" w:cs="Arial" w:eastAsia="Arial" w:hAnsi="Arial"/>
                <w:sz w:val="14"/>
                <w:szCs w:val="14"/>
                <w:b w:val="1"/>
                <w:bCs w:val="1"/>
                <w:color w:val="auto"/>
              </w:rPr>
              <w:t>2011</w:t>
            </w:r>
          </w:p>
        </w:tc>
        <w:tc>
          <w:tcPr>
            <w:tcW w:w="680" w:type="dxa"/>
            <w:vAlign w:val="bottom"/>
          </w:tcPr>
          <w:p>
            <w:pPr>
              <w:spacing w:after="0"/>
              <w:rPr>
                <w:sz w:val="14"/>
                <w:szCs w:val="14"/>
                <w:color w:val="auto"/>
              </w:rPr>
            </w:pPr>
          </w:p>
        </w:tc>
        <w:tc>
          <w:tcPr>
            <w:tcW w:w="500" w:type="dxa"/>
            <w:vAlign w:val="bottom"/>
          </w:tcPr>
          <w:p>
            <w:pPr>
              <w:jc w:val="right"/>
              <w:ind w:right="42"/>
              <w:spacing w:after="0"/>
              <w:rPr>
                <w:sz w:val="20"/>
                <w:szCs w:val="20"/>
                <w:color w:val="auto"/>
              </w:rPr>
            </w:pPr>
            <w:r>
              <w:rPr>
                <w:rFonts w:ascii="Arial" w:cs="Arial" w:eastAsia="Arial" w:hAnsi="Arial"/>
                <w:sz w:val="14"/>
                <w:szCs w:val="14"/>
                <w:b w:val="1"/>
                <w:bCs w:val="1"/>
                <w:color w:val="auto"/>
              </w:rPr>
              <w:t>2010</w:t>
            </w:r>
          </w:p>
        </w:tc>
        <w:tc>
          <w:tcPr>
            <w:tcW w:w="680" w:type="dxa"/>
            <w:vAlign w:val="bottom"/>
          </w:tcPr>
          <w:p>
            <w:pPr>
              <w:spacing w:after="0"/>
              <w:rPr>
                <w:sz w:val="14"/>
                <w:szCs w:val="14"/>
                <w:color w:val="auto"/>
              </w:rPr>
            </w:pPr>
          </w:p>
        </w:tc>
        <w:tc>
          <w:tcPr>
            <w:tcW w:w="7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20"/>
        </w:trPr>
        <w:tc>
          <w:tcPr>
            <w:tcW w:w="6520" w:type="dxa"/>
            <w:vAlign w:val="bottom"/>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2"/>
        </w:trPr>
        <w:tc>
          <w:tcPr>
            <w:tcW w:w="6520" w:type="dxa"/>
            <w:vAlign w:val="bottom"/>
          </w:tcPr>
          <w:p>
            <w:pPr>
              <w:spacing w:after="0"/>
              <w:rPr>
                <w:sz w:val="12"/>
                <w:szCs w:val="12"/>
                <w:color w:val="auto"/>
              </w:rPr>
            </w:pPr>
          </w:p>
        </w:tc>
        <w:tc>
          <w:tcPr>
            <w:tcW w:w="2360" w:type="dxa"/>
            <w:vAlign w:val="bottom"/>
            <w:gridSpan w:val="4"/>
          </w:tcPr>
          <w:p>
            <w:pPr>
              <w:jc w:val="right"/>
              <w:spacing w:after="0" w:line="142" w:lineRule="exact"/>
              <w:rPr>
                <w:sz w:val="20"/>
                <w:szCs w:val="20"/>
                <w:color w:val="auto"/>
              </w:rPr>
            </w:pPr>
            <w:r>
              <w:rPr>
                <w:rFonts w:ascii="Arial" w:cs="Arial" w:eastAsia="Arial" w:hAnsi="Arial"/>
                <w:sz w:val="14"/>
                <w:szCs w:val="14"/>
                <w:b w:val="1"/>
                <w:bCs w:val="1"/>
                <w:color w:val="auto"/>
              </w:rPr>
              <w:t>(in thousands, except percentage)</w:t>
            </w:r>
          </w:p>
        </w:tc>
        <w:tc>
          <w:tcPr>
            <w:tcW w:w="4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52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expense, net</w:t>
            </w:r>
          </w:p>
        </w:tc>
        <w:tc>
          <w:tcPr>
            <w:tcW w:w="1180" w:type="dxa"/>
            <w:vAlign w:val="bottom"/>
            <w:gridSpan w:val="2"/>
            <w:shd w:val="clear" w:color="auto" w:fill="CCEEFF"/>
          </w:tcPr>
          <w:p>
            <w:pPr>
              <w:jc w:val="right"/>
              <w:ind w:right="680"/>
              <w:spacing w:after="0"/>
              <w:rPr>
                <w:sz w:val="20"/>
                <w:szCs w:val="20"/>
                <w:color w:val="auto"/>
              </w:rPr>
            </w:pPr>
            <w:r>
              <w:rPr>
                <w:rFonts w:ascii="Arial" w:cs="Arial" w:eastAsia="Arial" w:hAnsi="Arial"/>
                <w:sz w:val="18"/>
                <w:szCs w:val="18"/>
                <w:color w:val="auto"/>
              </w:rPr>
              <w:t>$   27</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$3,701</w:t>
            </w:r>
          </w:p>
        </w:tc>
        <w:tc>
          <w:tcPr>
            <w:tcW w:w="6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8"/>
              </w:rPr>
              <w:t>(99.3)%</w:t>
            </w:r>
          </w:p>
        </w:tc>
        <w:tc>
          <w:tcPr>
            <w:tcW w:w="0" w:type="dxa"/>
            <w:vAlign w:val="bottom"/>
          </w:tcPr>
          <w:p>
            <w:pPr>
              <w:spacing w:after="0"/>
              <w:rPr>
                <w:sz w:val="1"/>
                <w:szCs w:val="1"/>
                <w:color w:val="auto"/>
              </w:rPr>
            </w:pPr>
          </w:p>
        </w:tc>
      </w:tr>
      <w:tr>
        <w:trPr>
          <w:trHeight w:val="222"/>
        </w:trPr>
        <w:tc>
          <w:tcPr>
            <w:tcW w:w="6520" w:type="dxa"/>
            <w:vAlign w:val="bottom"/>
          </w:tcPr>
          <w:p>
            <w:pPr>
              <w:spacing w:after="0"/>
              <w:rPr>
                <w:sz w:val="20"/>
                <w:szCs w:val="20"/>
                <w:color w:val="auto"/>
              </w:rPr>
            </w:pPr>
            <w:r>
              <w:rPr>
                <w:rFonts w:ascii="Arial" w:cs="Arial" w:eastAsia="Arial" w:hAnsi="Arial"/>
                <w:sz w:val="18"/>
                <w:szCs w:val="18"/>
                <w:color w:val="auto"/>
              </w:rPr>
              <w:t>% of net revenue</w:t>
            </w:r>
          </w:p>
        </w:tc>
        <w:tc>
          <w:tcPr>
            <w:tcW w:w="1180" w:type="dxa"/>
            <w:vAlign w:val="bottom"/>
            <w:gridSpan w:val="2"/>
          </w:tcPr>
          <w:p>
            <w:pPr>
              <w:jc w:val="right"/>
              <w:ind w:right="520"/>
              <w:spacing w:after="0"/>
              <w:rPr>
                <w:sz w:val="20"/>
                <w:szCs w:val="20"/>
                <w:color w:val="auto"/>
              </w:rPr>
            </w:pPr>
            <w:r>
              <w:rPr>
                <w:rFonts w:ascii="Arial" w:cs="Arial" w:eastAsia="Arial" w:hAnsi="Arial"/>
                <w:sz w:val="18"/>
                <w:szCs w:val="18"/>
                <w:color w:val="auto"/>
              </w:rPr>
              <w:t>0.1%</w:t>
            </w:r>
          </w:p>
        </w:tc>
        <w:tc>
          <w:tcPr>
            <w:tcW w:w="1180" w:type="dxa"/>
            <w:vAlign w:val="bottom"/>
            <w:gridSpan w:val="2"/>
          </w:tcPr>
          <w:p>
            <w:pPr>
              <w:jc w:val="right"/>
              <w:ind w:right="520"/>
              <w:spacing w:after="0"/>
              <w:rPr>
                <w:sz w:val="20"/>
                <w:szCs w:val="20"/>
                <w:color w:val="auto"/>
              </w:rPr>
            </w:pPr>
            <w:r>
              <w:rPr>
                <w:rFonts w:ascii="Arial" w:cs="Arial" w:eastAsia="Arial" w:hAnsi="Arial"/>
                <w:sz w:val="18"/>
                <w:szCs w:val="18"/>
                <w:color w:val="auto"/>
              </w:rPr>
              <w:t>0.4%</w:t>
            </w:r>
          </w:p>
        </w:tc>
        <w:tc>
          <w:tcPr>
            <w:tcW w:w="4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jc w:val="both"/>
        <w:ind w:firstLine="456"/>
        <w:spacing w:after="0" w:line="298" w:lineRule="auto"/>
        <w:rPr>
          <w:sz w:val="20"/>
          <w:szCs w:val="20"/>
          <w:color w:val="auto"/>
        </w:rPr>
      </w:pPr>
      <w:r>
        <w:rPr>
          <w:rFonts w:ascii="Arial" w:cs="Arial" w:eastAsia="Arial" w:hAnsi="Arial"/>
          <w:sz w:val="16"/>
          <w:szCs w:val="16"/>
          <w:color w:val="auto"/>
        </w:rPr>
        <w:t>The decrease in the loss in interest and other expense, net for the three months ended April 30, 2011 compared to the three months ended May 1, 2010 was primarily due to gains from sales of investments in the first quarter of fiscal 2012, and higher interest income on our investments. The increase in interest income was due to both higher average cash and investment balances, as well as higher interest rates. This was partially offset by higher translation losses of $1.3 million due to a significant weakening of the U.S. dollar during the three months ended April 30, 2011.</w:t>
      </w:r>
    </w:p>
    <w:p>
      <w:pPr>
        <w:spacing w:after="0" w:line="9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360"/>
          </w:cols>
          <w:pgMar w:left="240" w:top="459" w:right="29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Provision (Benefit) for Income Taxes</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6480" w:type="dxa"/>
            <w:vAlign w:val="bottom"/>
          </w:tcPr>
          <w:p>
            <w:pPr>
              <w:spacing w:after="0"/>
              <w:rPr>
                <w:sz w:val="14"/>
                <w:szCs w:val="14"/>
                <w:color w:val="auto"/>
              </w:rPr>
            </w:pPr>
          </w:p>
        </w:tc>
        <w:tc>
          <w:tcPr>
            <w:tcW w:w="2340" w:type="dxa"/>
            <w:vAlign w:val="bottom"/>
            <w:gridSpan w:val="4"/>
          </w:tcPr>
          <w:p>
            <w:pPr>
              <w:jc w:val="right"/>
              <w:ind w:right="900"/>
              <w:spacing w:after="0"/>
              <w:rPr>
                <w:sz w:val="20"/>
                <w:szCs w:val="20"/>
                <w:color w:val="auto"/>
              </w:rPr>
            </w:pPr>
            <w:r>
              <w:rPr>
                <w:rFonts w:ascii="Arial" w:cs="Arial" w:eastAsia="Arial" w:hAnsi="Arial"/>
                <w:sz w:val="14"/>
                <w:szCs w:val="14"/>
                <w:b w:val="1"/>
                <w:bCs w:val="1"/>
                <w:color w:val="auto"/>
              </w:rPr>
              <w:t>Three Months Ended</w:t>
            </w:r>
          </w:p>
        </w:tc>
        <w:tc>
          <w:tcPr>
            <w:tcW w:w="500" w:type="dxa"/>
            <w:vAlign w:val="bottom"/>
            <w:vMerge w:val="restart"/>
          </w:tcPr>
          <w:p>
            <w:pPr>
              <w:jc w:val="right"/>
              <w:ind w:right="10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480" w:type="dxa"/>
            <w:vAlign w:val="bottom"/>
          </w:tcPr>
          <w:p>
            <w:pPr>
              <w:spacing w:after="0"/>
              <w:rPr>
                <w:sz w:val="11"/>
                <w:szCs w:val="11"/>
                <w:color w:val="auto"/>
              </w:rPr>
            </w:pPr>
          </w:p>
        </w:tc>
        <w:tc>
          <w:tcPr>
            <w:tcW w:w="1120" w:type="dxa"/>
            <w:vAlign w:val="bottom"/>
            <w:tcBorders>
              <w:top w:val="single" w:sz="8" w:color="auto"/>
            </w:tcBorders>
            <w:gridSpan w:val="2"/>
          </w:tcPr>
          <w:p>
            <w:pPr>
              <w:jc w:val="center"/>
              <w:ind w:right="620"/>
              <w:spacing w:after="0" w:line="129" w:lineRule="exact"/>
              <w:rPr>
                <w:sz w:val="20"/>
                <w:szCs w:val="20"/>
                <w:color w:val="auto"/>
              </w:rPr>
            </w:pPr>
            <w:r>
              <w:rPr>
                <w:rFonts w:ascii="Arial" w:cs="Arial" w:eastAsia="Arial" w:hAnsi="Arial"/>
                <w:sz w:val="14"/>
                <w:szCs w:val="14"/>
                <w:b w:val="1"/>
                <w:bCs w:val="1"/>
                <w:color w:val="auto"/>
                <w:w w:val="90"/>
              </w:rPr>
              <w:t>April 30,</w:t>
            </w:r>
          </w:p>
        </w:tc>
        <w:tc>
          <w:tcPr>
            <w:tcW w:w="560" w:type="dxa"/>
            <w:vAlign w:val="bottom"/>
            <w:tcBorders>
              <w:top w:val="single" w:sz="8" w:color="auto"/>
            </w:tcBorders>
          </w:tcPr>
          <w:p>
            <w:pPr>
              <w:jc w:val="right"/>
              <w:ind w:right="2"/>
              <w:spacing w:after="0" w:line="129" w:lineRule="exact"/>
              <w:rPr>
                <w:sz w:val="20"/>
                <w:szCs w:val="20"/>
                <w:color w:val="auto"/>
              </w:rPr>
            </w:pPr>
            <w:r>
              <w:rPr>
                <w:rFonts w:ascii="Arial" w:cs="Arial" w:eastAsia="Arial" w:hAnsi="Arial"/>
                <w:sz w:val="14"/>
                <w:szCs w:val="14"/>
                <w:b w:val="1"/>
                <w:bCs w:val="1"/>
                <w:color w:val="auto"/>
              </w:rPr>
              <w:t>May 1,</w:t>
            </w:r>
          </w:p>
        </w:tc>
        <w:tc>
          <w:tcPr>
            <w:tcW w:w="660" w:type="dxa"/>
            <w:vAlign w:val="bottom"/>
          </w:tcPr>
          <w:p>
            <w:pPr>
              <w:spacing w:after="0"/>
              <w:rPr>
                <w:sz w:val="11"/>
                <w:szCs w:val="11"/>
                <w:color w:val="auto"/>
              </w:rPr>
            </w:pPr>
          </w:p>
        </w:tc>
        <w:tc>
          <w:tcPr>
            <w:tcW w:w="50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480" w:type="dxa"/>
            <w:vAlign w:val="bottom"/>
          </w:tcPr>
          <w:p>
            <w:pPr>
              <w:spacing w:after="0"/>
              <w:rPr>
                <w:sz w:val="14"/>
                <w:szCs w:val="14"/>
                <w:color w:val="auto"/>
              </w:rPr>
            </w:pPr>
          </w:p>
        </w:tc>
        <w:tc>
          <w:tcPr>
            <w:tcW w:w="500" w:type="dxa"/>
            <w:vAlign w:val="bottom"/>
            <w:tcBorders>
              <w:bottom w:val="single" w:sz="8" w:color="auto"/>
            </w:tcBorders>
          </w:tcPr>
          <w:p>
            <w:pPr>
              <w:jc w:val="right"/>
              <w:ind w:right="46"/>
              <w:spacing w:after="0"/>
              <w:rPr>
                <w:sz w:val="20"/>
                <w:szCs w:val="20"/>
                <w:color w:val="auto"/>
              </w:rPr>
            </w:pPr>
            <w:r>
              <w:rPr>
                <w:rFonts w:ascii="Arial" w:cs="Arial" w:eastAsia="Arial" w:hAnsi="Arial"/>
                <w:sz w:val="14"/>
                <w:szCs w:val="14"/>
                <w:b w:val="1"/>
                <w:bCs w:val="1"/>
                <w:color w:val="auto"/>
              </w:rPr>
              <w:t>2011</w:t>
            </w:r>
          </w:p>
        </w:tc>
        <w:tc>
          <w:tcPr>
            <w:tcW w:w="620" w:type="dxa"/>
            <w:vAlign w:val="bottom"/>
          </w:tcPr>
          <w:p>
            <w:pPr>
              <w:spacing w:after="0"/>
              <w:rPr>
                <w:sz w:val="14"/>
                <w:szCs w:val="14"/>
                <w:color w:val="auto"/>
              </w:rPr>
            </w:pPr>
          </w:p>
        </w:tc>
        <w:tc>
          <w:tcPr>
            <w:tcW w:w="560" w:type="dxa"/>
            <w:vAlign w:val="bottom"/>
            <w:tcBorders>
              <w:bottom w:val="single" w:sz="8" w:color="auto"/>
            </w:tcBorders>
          </w:tcPr>
          <w:p>
            <w:pPr>
              <w:jc w:val="right"/>
              <w:ind w:right="82"/>
              <w:spacing w:after="0"/>
              <w:rPr>
                <w:sz w:val="20"/>
                <w:szCs w:val="20"/>
                <w:color w:val="auto"/>
              </w:rPr>
            </w:pPr>
            <w:r>
              <w:rPr>
                <w:rFonts w:ascii="Arial" w:cs="Arial" w:eastAsia="Arial" w:hAnsi="Arial"/>
                <w:sz w:val="14"/>
                <w:szCs w:val="14"/>
                <w:b w:val="1"/>
                <w:bCs w:val="1"/>
                <w:color w:val="auto"/>
              </w:rPr>
              <w:t>2010</w:t>
            </w:r>
          </w:p>
        </w:tc>
        <w:tc>
          <w:tcPr>
            <w:tcW w:w="660" w:type="dxa"/>
            <w:vAlign w:val="bottom"/>
          </w:tcPr>
          <w:p>
            <w:pPr>
              <w:spacing w:after="0"/>
              <w:rPr>
                <w:sz w:val="14"/>
                <w:szCs w:val="14"/>
                <w:color w:val="auto"/>
              </w:rPr>
            </w:pPr>
          </w:p>
        </w:tc>
        <w:tc>
          <w:tcPr>
            <w:tcW w:w="5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5"/>
              </w:rPr>
              <w:t>Change</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6480" w:type="dxa"/>
            <w:vAlign w:val="bottom"/>
          </w:tcPr>
          <w:p>
            <w:pPr>
              <w:spacing w:after="0"/>
              <w:rPr>
                <w:sz w:val="12"/>
                <w:szCs w:val="12"/>
                <w:color w:val="auto"/>
              </w:rPr>
            </w:pPr>
          </w:p>
        </w:tc>
        <w:tc>
          <w:tcPr>
            <w:tcW w:w="3100" w:type="dxa"/>
            <w:vAlign w:val="bottom"/>
            <w:gridSpan w:val="6"/>
          </w:tcPr>
          <w:p>
            <w:pPr>
              <w:jc w:val="right"/>
              <w:ind w:right="720"/>
              <w:spacing w:after="0" w:line="142" w:lineRule="exact"/>
              <w:rPr>
                <w:sz w:val="20"/>
                <w:szCs w:val="20"/>
                <w:color w:val="auto"/>
              </w:rPr>
            </w:pPr>
            <w:r>
              <w:rPr>
                <w:rFonts w:ascii="Arial" w:cs="Arial" w:eastAsia="Arial" w:hAnsi="Arial"/>
                <w:sz w:val="14"/>
                <w:szCs w:val="14"/>
                <w:b w:val="1"/>
                <w:bCs w:val="1"/>
                <w:color w:val="auto"/>
              </w:rPr>
              <w:t>(in thousands, except percentage)</w:t>
            </w:r>
          </w:p>
        </w:tc>
        <w:tc>
          <w:tcPr>
            <w:tcW w:w="0" w:type="dxa"/>
            <w:vAlign w:val="bottom"/>
          </w:tcPr>
          <w:p>
            <w:pPr>
              <w:spacing w:after="0"/>
              <w:rPr>
                <w:sz w:val="1"/>
                <w:szCs w:val="1"/>
                <w:color w:val="auto"/>
              </w:rPr>
            </w:pPr>
          </w:p>
        </w:tc>
      </w:tr>
      <w:tr>
        <w:trPr>
          <w:trHeight w:val="216"/>
        </w:trPr>
        <w:tc>
          <w:tcPr>
            <w:tcW w:w="648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112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w w:val="79"/>
              </w:rPr>
              <w:t>$ 1,034</w:t>
            </w:r>
          </w:p>
        </w:tc>
        <w:tc>
          <w:tcPr>
            <w:tcW w:w="122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w w:val="80"/>
              </w:rPr>
              <w:t>$ (1,116)</w:t>
            </w:r>
          </w:p>
        </w:tc>
        <w:tc>
          <w:tcPr>
            <w:tcW w:w="7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3"/>
              </w:rPr>
              <w:t>(192.7)%</w:t>
            </w:r>
          </w:p>
        </w:tc>
        <w:tc>
          <w:tcPr>
            <w:tcW w:w="0" w:type="dxa"/>
            <w:vAlign w:val="bottom"/>
          </w:tcPr>
          <w:p>
            <w:pPr>
              <w:spacing w:after="0"/>
              <w:rPr>
                <w:sz w:val="1"/>
                <w:szCs w:val="1"/>
                <w:color w:val="auto"/>
              </w:rPr>
            </w:pPr>
          </w:p>
        </w:tc>
      </w:tr>
      <w:tr>
        <w:trPr>
          <w:trHeight w:val="222"/>
        </w:trPr>
        <w:tc>
          <w:tcPr>
            <w:tcW w:w="6480" w:type="dxa"/>
            <w:vAlign w:val="bottom"/>
          </w:tcPr>
          <w:p>
            <w:pPr>
              <w:spacing w:after="0"/>
              <w:rPr>
                <w:sz w:val="20"/>
                <w:szCs w:val="20"/>
                <w:color w:val="auto"/>
              </w:rPr>
            </w:pPr>
            <w:r>
              <w:rPr>
                <w:rFonts w:ascii="Arial" w:cs="Arial" w:eastAsia="Arial" w:hAnsi="Arial"/>
                <w:sz w:val="18"/>
                <w:szCs w:val="18"/>
                <w:color w:val="auto"/>
              </w:rPr>
              <w:t>% of net revenue</w:t>
            </w:r>
          </w:p>
        </w:tc>
        <w:tc>
          <w:tcPr>
            <w:tcW w:w="1120" w:type="dxa"/>
            <w:vAlign w:val="bottom"/>
            <w:gridSpan w:val="2"/>
          </w:tcPr>
          <w:p>
            <w:pPr>
              <w:jc w:val="right"/>
              <w:ind w:right="460"/>
              <w:spacing w:after="0"/>
              <w:rPr>
                <w:sz w:val="20"/>
                <w:szCs w:val="20"/>
                <w:color w:val="auto"/>
              </w:rPr>
            </w:pPr>
            <w:r>
              <w:rPr>
                <w:rFonts w:ascii="Arial" w:cs="Arial" w:eastAsia="Arial" w:hAnsi="Arial"/>
                <w:sz w:val="18"/>
                <w:szCs w:val="18"/>
                <w:color w:val="auto"/>
              </w:rPr>
              <w:t>0.1%</w:t>
            </w:r>
          </w:p>
        </w:tc>
        <w:tc>
          <w:tcPr>
            <w:tcW w:w="1220" w:type="dxa"/>
            <w:vAlign w:val="bottom"/>
            <w:gridSpan w:val="2"/>
          </w:tcPr>
          <w:p>
            <w:pPr>
              <w:jc w:val="right"/>
              <w:ind w:right="460"/>
              <w:spacing w:after="0"/>
              <w:rPr>
                <w:sz w:val="20"/>
                <w:szCs w:val="20"/>
                <w:color w:val="auto"/>
              </w:rPr>
            </w:pPr>
            <w:r>
              <w:rPr>
                <w:rFonts w:ascii="Arial" w:cs="Arial" w:eastAsia="Arial" w:hAnsi="Arial"/>
                <w:sz w:val="18"/>
                <w:szCs w:val="18"/>
                <w:color w:val="auto"/>
              </w:rPr>
              <w:t>(0.1)%</w:t>
            </w:r>
          </w:p>
        </w:tc>
        <w:tc>
          <w:tcPr>
            <w:tcW w:w="5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color w:val="auto"/>
        </w:rPr>
        <w:t>For the three months ended April 30, 2011 and May 1, 2010, our effective tax rate was an income tax provision of 0.7% and an income tax benefit of 0.5%, respectively. The income tax provision for these periods was affected by non-tax-deductible expenses such as stock-based compensation expense and amortization of acquired intangibles. For the three months ended April 30, 2011, the provision for income taxes consisted of the current year income tax liability of $3.4 million, a reduction of unrecognized tax benefits in the amount $4.3 million due to the expiration of the statute of limitations in multiple jurisdictions, and increases in unrecognized tax benefits of $1.9 million. During the three months ended May 1, 2010 the benefit for income taxes was impacted by the current year income tax liability of $3.2 million, a reduction of unrecognized tax benefits in the amount $6.5 million due to the expiration of the statute of limitations in multiple jurisdictions, and increases in unrecognized tax benefits of $2.2 million. During the next 12 months, its is reasonably possible that the amount of unrecognized tax benefits could decrease due to potential settlement with tax authorities and the expiration of applicable statutes of limitations. However, an amount cannot be reasonably estimated as we will have negotiations with various tax authorities throughout the year.</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96" w:lineRule="exact"/>
        <w:rPr>
          <w:sz w:val="20"/>
          <w:szCs w:val="20"/>
          <w:color w:val="auto"/>
        </w:rPr>
      </w:pPr>
    </w:p>
    <w:p>
      <w:pPr>
        <w:ind w:right="120" w:firstLine="456"/>
        <w:spacing w:after="0" w:line="306" w:lineRule="auto"/>
        <w:rPr>
          <w:sz w:val="20"/>
          <w:szCs w:val="20"/>
          <w:color w:val="auto"/>
        </w:rPr>
      </w:pPr>
      <w:r>
        <w:rPr>
          <w:rFonts w:ascii="Arial" w:cs="Arial" w:eastAsia="Arial" w:hAnsi="Arial"/>
          <w:sz w:val="16"/>
          <w:szCs w:val="16"/>
          <w:color w:val="auto"/>
        </w:rPr>
        <w:t>Our principal source of liquidity as of April 30, 2011 consisted of approximately $2.3 billion of cash, cash equivalents and short-term investments. We believe that our existing cash, cash equivalents and short term investments, together with cash generated from operations, will be sufficient to cover our working capital needs, capital expenditures, investment requirements and commitments for at least the next 12 months.</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Provided by Operating Activities</w:t>
      </w:r>
    </w:p>
    <w:p>
      <w:pPr>
        <w:spacing w:after="0" w:line="90" w:lineRule="exact"/>
        <w:rPr>
          <w:sz w:val="20"/>
          <w:szCs w:val="20"/>
          <w:color w:val="auto"/>
        </w:rPr>
      </w:pPr>
    </w:p>
    <w:p>
      <w:pPr>
        <w:ind w:right="160" w:firstLine="456"/>
        <w:spacing w:after="0" w:line="259" w:lineRule="auto"/>
        <w:rPr>
          <w:sz w:val="20"/>
          <w:szCs w:val="20"/>
          <w:color w:val="auto"/>
        </w:rPr>
      </w:pPr>
      <w:r>
        <w:rPr>
          <w:rFonts w:ascii="Arial" w:cs="Arial" w:eastAsia="Arial" w:hAnsi="Arial"/>
          <w:sz w:val="18"/>
          <w:szCs w:val="18"/>
          <w:color w:val="auto"/>
        </w:rPr>
        <w:t>Net cash provided by operating activities was $177.1 million for the three months ended April 30, 2011. The cash inflows from operations for the three months ended April 30, 2011 were primarily due to $216.6 million of net income adjusted for non-cash items, offset by changes in assets and liabilities of $39.4 million primarily driven by higher inventory levels.</w:t>
      </w:r>
    </w:p>
    <w:p>
      <w:pPr>
        <w:spacing w:after="0" w:line="140" w:lineRule="exact"/>
        <w:rPr>
          <w:sz w:val="20"/>
          <w:szCs w:val="20"/>
          <w:color w:val="auto"/>
        </w:rPr>
      </w:pPr>
    </w:p>
    <w:p>
      <w:pPr>
        <w:ind w:right="80" w:firstLine="456"/>
        <w:spacing w:after="0" w:line="254" w:lineRule="auto"/>
        <w:rPr>
          <w:sz w:val="20"/>
          <w:szCs w:val="20"/>
          <w:color w:val="auto"/>
        </w:rPr>
      </w:pPr>
      <w:r>
        <w:rPr>
          <w:rFonts w:ascii="Arial" w:cs="Arial" w:eastAsia="Arial" w:hAnsi="Arial"/>
          <w:sz w:val="18"/>
          <w:szCs w:val="18"/>
          <w:color w:val="auto"/>
        </w:rPr>
        <w:t>Significant working capital changes offsetting positive cash flows for the three months ended April 30, 2011 included an increase in inventory of $53.7 million as we prepared for future shipment increases, a decrease in accrued employee compensation of $14.9 million due primarily to timing differences in the payment of incentive compensation and payroll taxes and a decrease in accounts payable of $10.3 million due to lower levels of purchasing. Working capital changes contributing to positive cash flows included a decrease in accounts receivable of $33.9 million due to lower sales and an increase in deferred income by $4.7 million as the inventory levels at our distributors were higher at the end of the first quarter of fiscal 2012 in anticipation of higher sales in the second quarter of fiscal 2012.</w:t>
      </w:r>
    </w:p>
    <w:p>
      <w:pPr>
        <w:spacing w:after="0" w:line="144"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Net cash provided by operating activities was $255.6 million for the three months ended May 1, 2010. The cash inflows from operations in the three months ended May 1, 2010 were primarily due to $279.2 million of net income adjusted for non-cash items, which was offset by $23.6 million of negative changes in working capital. Working capital during the three months ended May 1, 2010 included a decrease in inventories of $34.9 million as demand for our products was strong and capacity in the supply chain was tight, making it difficult to increase our inventory levels to more optimal levels based on our then current and anticipated business levels. Deferred income increased by $23.9 million due to our distributors increasing inventory levels in anticipation of increased sales to their end customers. Prepaid expenses and other assets decreased by $7.9 million primarily due to amortization of payments for computer-aided-design licenses and receipt of foundry rebates. Significant working capital changes offsetting positive cash flows for the three months ended May 1, 2010 related to an increase in accounts receivable of $91.9 million due to the shipment patterns in the three months ended May 1, 2010 as compared to the previous quarter. Accrued employee compensation also decreased by $11.0 million primarily due to the payout of the fiscal 2010 bonuses during the first quarter of fiscal 2011.</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Used in Investing Activities</w:t>
      </w:r>
    </w:p>
    <w:p>
      <w:pPr>
        <w:spacing w:after="0" w:line="90"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Net cash used in investing activities was $443.0 million for the three months ended April 30, 2011 compared to $57.1 million for the three months ended May 1, 2010. The net cash used in investing activities in the three months ended April 30, 2011 was due to net purchases of marketable securities investments of $404.6 million. In addition, we purchased $17.0 million for property and equipment, paid $16.3 million for an acquisition and $3.3 million for technology licenses.</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420"/>
          </w:cols>
          <w:pgMar w:left="240" w:top="459" w:right="23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net cash used for the three months ended May 1, 2010 was due primarily to the net purchase of investments of $37.4 million, purchases of property and equipment of $16.4 million and purchases of technology licenses for $2.3 million.</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Provided by (Used in) Financing Activities</w:t>
      </w:r>
    </w:p>
    <w:p>
      <w:pPr>
        <w:spacing w:after="0" w:line="90" w:lineRule="exact"/>
        <w:rPr>
          <w:sz w:val="20"/>
          <w:szCs w:val="20"/>
          <w:color w:val="auto"/>
        </w:rPr>
      </w:pPr>
    </w:p>
    <w:p>
      <w:pPr>
        <w:ind w:right="80" w:firstLine="456"/>
        <w:spacing w:after="0" w:line="254" w:lineRule="auto"/>
        <w:rPr>
          <w:sz w:val="20"/>
          <w:szCs w:val="20"/>
          <w:color w:val="auto"/>
        </w:rPr>
      </w:pPr>
      <w:r>
        <w:rPr>
          <w:rFonts w:ascii="Arial" w:cs="Arial" w:eastAsia="Arial" w:hAnsi="Arial"/>
          <w:sz w:val="18"/>
          <w:szCs w:val="18"/>
          <w:color w:val="auto"/>
        </w:rPr>
        <w:t>Net cash used in financing activities was $798.8 million for the three months ended April 30, 2011 compared to net cash provided by financing activity of $48.4 million for the three months ended May 1, 2010. For the three months ended April 30, 2011, net cash used in financing activities was primarily attributable to repurchases under our stock repurchase program. We repurchased 50.3 million shares for a total of $803.5 million during the three months ended April 30, 2011. The cash outflow was partially offset by proceeds from the issuance of common shares under our stock option plan of $5.2 million. For the three months ended May 1, 2010, net cash provided by financing activities was primarily attributable to proceeds from the issuance of common shares under our stock option plans.</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Off-Balance Sheet Arrangements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As of April 30, 2011, we did not have any material off-balance sheet arrangements, as defined in Item 303(a)(4)(ii) of SEC Regulation S-K.</w:t>
      </w:r>
    </w:p>
    <w:p>
      <w:pPr>
        <w:spacing w:after="0" w:line="2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Accounting Pronouncements and Accounting Changes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See “Note 2 – Recent Accounting Pronouncements and Accounting Changes” in Part 1, Item 1 of this Form 10-Q.</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Quantitative and Qualitative Disclosures About Market Risk</w:t>
      </w:r>
    </w:p>
    <w:p>
      <w:pPr>
        <w:spacing w:after="0" w:line="96" w:lineRule="exact"/>
        <w:rPr>
          <w:sz w:val="20"/>
          <w:szCs w:val="20"/>
          <w:color w:val="auto"/>
        </w:rPr>
      </w:pPr>
    </w:p>
    <w:p>
      <w:pPr>
        <w:ind w:right="40"/>
        <w:spacing w:after="0" w:line="289" w:lineRule="auto"/>
        <w:rPr>
          <w:sz w:val="20"/>
          <w:szCs w:val="20"/>
          <w:color w:val="auto"/>
        </w:rPr>
      </w:pPr>
      <w:r>
        <w:rPr>
          <w:rFonts w:ascii="Arial" w:cs="Arial" w:eastAsia="Arial" w:hAnsi="Arial"/>
          <w:sz w:val="16"/>
          <w:szCs w:val="16"/>
          <w:i w:val="1"/>
          <w:iCs w:val="1"/>
          <w:color w:val="auto"/>
        </w:rPr>
        <w:t>Interest Rate Risk</w:t>
      </w:r>
      <w:r>
        <w:rPr>
          <w:rFonts w:ascii="Arial" w:cs="Arial" w:eastAsia="Arial" w:hAnsi="Arial"/>
          <w:sz w:val="16"/>
          <w:szCs w:val="16"/>
          <w:color w:val="auto"/>
        </w:rPr>
        <w:t>. Our interest rate risk relates primarily to our fixed income short-term investment portfolio as we did not have any outstanding debt as of</w:t>
      </w:r>
      <w:r>
        <w:rPr>
          <w:rFonts w:ascii="Arial" w:cs="Arial" w:eastAsia="Arial" w:hAnsi="Arial"/>
          <w:sz w:val="16"/>
          <w:szCs w:val="16"/>
          <w:i w:val="1"/>
          <w:iCs w:val="1"/>
          <w:color w:val="auto"/>
        </w:rPr>
        <w:t xml:space="preserve"> </w:t>
      </w:r>
      <w:r>
        <w:rPr>
          <w:rFonts w:ascii="Arial" w:cs="Arial" w:eastAsia="Arial" w:hAnsi="Arial"/>
          <w:sz w:val="16"/>
          <w:szCs w:val="16"/>
          <w:color w:val="auto"/>
        </w:rPr>
        <w:t>April 30, 2011. We maintain an investment policy that requires minimum credit ratings, diversification of credit risk and limits the long-term interest rate risk by requiring maturities of less than five years. We invest our excess cash primarily in highly liquid debt instruments of the U.S. government and its agencies, time deposits, money market mutual funds, and corporate debt securities. These investments are generally classified as available-for-sale and, consequently, are recorded on our balance sheets at fair market value with their related unrealized gain or loss reflected as a component of accumulated other comprehensive income in shareholders’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w:t>
      </w:r>
    </w:p>
    <w:p>
      <w:pPr>
        <w:spacing w:after="0" w:line="118"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To provide an assessment of the interest rate risk associated with our investment portfolio, we performed a sensitivity analysis to determine the impact that an adverse change in interest rates would have on the value of the investment portfolio. Based on investment positions as of April 30, 2011, a hypothetical 100 basis point increase in interest rates across all maturities would result in a $14.7 million incremental decline in the fair market value of the portfolio. Due to our positive cash flow from operations, the relatively short-term nature of our investment portfolio and our ability to hold investments to maturity, such change in fair market value would likely not result in any cash flow impact.</w:t>
      </w:r>
    </w:p>
    <w:p>
      <w:pPr>
        <w:spacing w:after="0" w:line="116"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As of April 30, 2011, our investment portfolio included $27.8 million in par value of auction rate securities. Beginning in February 2008, liquidity issues in the global credit markets resulted in a failure of auction rate securities, as the amount of securities submitted for sale in those auctions exceeded the amount of bids. To estimate the fair value of the auction rate securities since that time, we have used a discounted cash flow model based on estimated timing and amount of future interest and principal payments, credit quality of the underlying securities and liquidity considerations, the collateralization of underlying security investments, the credit worthiness of the issuer of the securities, the probability of full repayment and other considerations. As of April 30, 2011, the fair value of auction rate securities was $1.7 million less than par value and recorded in long-term investments.</w:t>
      </w:r>
    </w:p>
    <w:p>
      <w:pPr>
        <w:spacing w:after="0" w:line="120" w:lineRule="exact"/>
        <w:rPr>
          <w:sz w:val="20"/>
          <w:szCs w:val="20"/>
          <w:color w:val="auto"/>
        </w:rPr>
      </w:pPr>
    </w:p>
    <w:p>
      <w:pPr>
        <w:ind w:right="120" w:firstLine="456"/>
        <w:spacing w:after="0" w:line="255" w:lineRule="auto"/>
        <w:rPr>
          <w:sz w:val="20"/>
          <w:szCs w:val="20"/>
          <w:color w:val="auto"/>
        </w:rPr>
      </w:pPr>
      <w:r>
        <w:rPr>
          <w:rFonts w:ascii="Arial" w:cs="Arial" w:eastAsia="Arial" w:hAnsi="Arial"/>
          <w:sz w:val="18"/>
          <w:szCs w:val="18"/>
          <w:color w:val="auto"/>
        </w:rPr>
        <w:t>Based on our balance of approximately $2.3 billion in cash, cash equivalents and short-term investments and the fact that we continue to generate positive cash flow on a quarterly basis, we do not anticipate having to sell these securities below par value in order to operate our business. We do not have the intent to sell these auction rate securities until recovery and it is more likely than not that we will not be required to sell the auction rate securities prior to recovery. Thus we consider the impairment to be temporary and recorded the unrealized loss to accumulated other comprehensive income (loss), a component of shareholders’ equity.</w:t>
      </w:r>
    </w:p>
    <w:p>
      <w:pPr>
        <w:spacing w:after="0" w:line="143" w:lineRule="exact"/>
        <w:rPr>
          <w:sz w:val="20"/>
          <w:szCs w:val="20"/>
          <w:color w:val="auto"/>
        </w:rPr>
      </w:pPr>
    </w:p>
    <w:p>
      <w:pPr>
        <w:ind w:right="80"/>
        <w:spacing w:after="0" w:line="255" w:lineRule="auto"/>
        <w:rPr>
          <w:sz w:val="20"/>
          <w:szCs w:val="20"/>
          <w:color w:val="auto"/>
        </w:rPr>
      </w:pPr>
      <w:r>
        <w:rPr>
          <w:rFonts w:ascii="Arial" w:cs="Arial" w:eastAsia="Arial" w:hAnsi="Arial"/>
          <w:sz w:val="18"/>
          <w:szCs w:val="18"/>
          <w:i w:val="1"/>
          <w:iCs w:val="1"/>
          <w:color w:val="auto"/>
        </w:rPr>
        <w:t xml:space="preserve">Investment Risk. </w:t>
      </w:r>
      <w:r>
        <w:rPr>
          <w:rFonts w:ascii="Arial" w:cs="Arial" w:eastAsia="Arial" w:hAnsi="Arial"/>
          <w:sz w:val="18"/>
          <w:szCs w:val="18"/>
          <w:color w:val="auto"/>
        </w:rPr>
        <w:t>We invest in equity instruments of privately held companies for strategic purposes. We account these investments under the cost method when</w:t>
      </w:r>
      <w:r>
        <w:rPr>
          <w:rFonts w:ascii="Arial" w:cs="Arial" w:eastAsia="Arial" w:hAnsi="Arial"/>
          <w:sz w:val="18"/>
          <w:szCs w:val="18"/>
          <w:i w:val="1"/>
          <w:iCs w:val="1"/>
          <w:color w:val="auto"/>
        </w:rPr>
        <w:t xml:space="preserve"> </w:t>
      </w:r>
      <w:r>
        <w:rPr>
          <w:rFonts w:ascii="Arial" w:cs="Arial" w:eastAsia="Arial" w:hAnsi="Arial"/>
          <w:sz w:val="18"/>
          <w:szCs w:val="18"/>
          <w:color w:val="auto"/>
        </w:rPr>
        <w:t>we do not have the ability to exercise significant influence or the control over the operations of these companies and under the equity method when we have the ability to exercise significant influence, but do not have the control. Carrying value of these equity investments was $5.7 million at April 30, 2011, and were included in other non-current assets in our balance sheets. We monitor these investments for impairment and make appropriate reductions in carrying value when an impairment is deemed to be other-than-temporary.</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420"/>
          </w:cols>
          <w:pgMar w:left="240" w:top="459" w:right="23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0"/>
        <w:spacing w:after="0" w:line="289" w:lineRule="auto"/>
        <w:rPr>
          <w:sz w:val="20"/>
          <w:szCs w:val="20"/>
          <w:color w:val="auto"/>
        </w:rPr>
      </w:pPr>
      <w:r>
        <w:rPr>
          <w:rFonts w:ascii="Arial" w:cs="Arial" w:eastAsia="Arial" w:hAnsi="Arial"/>
          <w:sz w:val="16"/>
          <w:szCs w:val="16"/>
          <w:i w:val="1"/>
          <w:iCs w:val="1"/>
          <w:color w:val="auto"/>
        </w:rPr>
        <w:t>Foreign Currency Exchange Risk</w:t>
      </w:r>
      <w:r>
        <w:rPr>
          <w:rFonts w:ascii="Arial" w:cs="Arial" w:eastAsia="Arial" w:hAnsi="Arial"/>
          <w:sz w:val="16"/>
          <w:szCs w:val="16"/>
          <w:color w:val="auto"/>
        </w:rPr>
        <w:t>. Substantially all of our sales and the majority of our expenses are denominated in U.S. dollars. Since we operate in many</w:t>
      </w:r>
      <w:r>
        <w:rPr>
          <w:rFonts w:ascii="Arial" w:cs="Arial" w:eastAsia="Arial" w:hAnsi="Arial"/>
          <w:sz w:val="16"/>
          <w:szCs w:val="16"/>
          <w:i w:val="1"/>
          <w:iCs w:val="1"/>
          <w:color w:val="auto"/>
        </w:rPr>
        <w:t xml:space="preserve"> </w:t>
      </w:r>
      <w:r>
        <w:rPr>
          <w:rFonts w:ascii="Arial" w:cs="Arial" w:eastAsia="Arial" w:hAnsi="Arial"/>
          <w:sz w:val="16"/>
          <w:szCs w:val="16"/>
          <w:color w:val="auto"/>
        </w:rPr>
        <w:t>countries, we pay certain payroll and other operating expenses in local currencies and these expenses may be higher or lower in U.S. dollar terms. Furthermore, our operation in Israel represents a large portion of our total foreign currency exposure. We may also hold certain assets and liabilities, including potential tax liabilities in local currency on our balance sheet. These tax liabilities would be settled in local currency. Therefore, foreign exchange gains and losses from remeasuring the tax liabilities are recorded to other income and expense. The related effects of foreign exchange fluctuations on local currency expenses are recorded to operating expenses. Significant fluctuations in exchange rates in countries where we incur expenses or record assets or liabilities in local currency could affect our business and operating results in the future. There is also a risk that our customers may be negatively impacted in their ability to purchase our products priced in U.S. dollars when there has been significant volatility in foreign currency exchange rates.</w:t>
      </w:r>
    </w:p>
    <w:p>
      <w:pPr>
        <w:spacing w:after="0" w:line="118"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We engage in hedging transactions to help mitigate some of the volatility to forecasted cash flows due to changes in foreign exchange rates, and in particular hedge a portion of the forecasted Israeli Shekel expenses. We enter into short-term forward exchange contracts, typically less than 12 months in duration, to hedge exposures for expenses and purchases denominated in foreign currencies when the currency exposure is significant and there is a high certainty of the underlying cash flow. We do not enter into derivative financial instruments for trading or speculative purposes. We may choose not to hedge certain foreign exchange exposures due to immateriality, offsetting exposures, prohibitive economic cost of hedging a particular currency, and limited availability of appropriate hedging instruments. To the extent our foreign currency hedges are effective, the results of the hedge activities offset the underlying expense within the operating expense. De-designated hedges or hedges deemed ineffective are recorded in other income and expense. We do not hedge our tax liabilities denominated in local currency on our balance sheet as the timing of these tax liabilities becoming cash flows is not deemed to be certain.</w:t>
      </w:r>
    </w:p>
    <w:p>
      <w:pPr>
        <w:spacing w:after="0" w:line="118"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3.1%. We expect our hedges of foreign currency exposures to be highly effective and offset a significant portion of the short-term impact of changes in exchange rates.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96"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color w:val="auto"/>
        </w:rPr>
        <w:t>Our management, with the participation of our Chief Executive Officer and our Chief Financial Officer, has evaluated the effectiveness of our disclosure controls and procedures (as defined in Rule 13a-15(e) of the Securities Exchange Act of 1934, as amended (the “Exchange Act”)). Our disclosure controls and procedures are designed to ensure that information required to be disclosed is recorded, processed, summarized and reported within the time periods specified in the rules and forms of the Securities and Exchange Commission (“SEC”) and that such information is accumulated and communicated to management, including the Chief Executive Officer and Chief Financial Officer, as appropriate, to allow timely decisions regarding required disclosure. Based on this evaluation, our Chief Executive Officer and Chief Financial Officer concluded that, as of April 30, 2011, our disclosure controls and procedures were effective.</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96"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There were no changes in our internal control over financial reporting during the three months ended April 30, 2011 that have materially affected, or are reasonably likely to materially affect, our internal control over financial reporting.</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Limitation on Effectiveness of Controls</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It should be noted that any system of controls, however well designed and operated, can provide only reasonable, and not absolute, assurance that the objectives of the system are met. The design of any control system is based, in part, upon the benefits of the control system relative to its costs. Control systems can be circumvented by the individual acts of some persons, by collusion of two or more people, or by management override of the control. In addition, over time, controls may become inadequate because of changes in conditions, or the degree of compliance with the policies and procedures may deteriorate. In addition, the design of any control system is based in part upon certain assumptions about the likelihood of future events.</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20"/>
          </w:cols>
          <w:pgMar w:left="240" w:top="459" w:right="23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PART II. OTHER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96" w:lineRule="exact"/>
        <w:rPr>
          <w:sz w:val="20"/>
          <w:szCs w:val="20"/>
          <w:color w:val="auto"/>
        </w:rPr>
      </w:pPr>
    </w:p>
    <w:p>
      <w:pPr>
        <w:ind w:right="220" w:firstLine="456"/>
        <w:spacing w:after="0" w:line="259" w:lineRule="auto"/>
        <w:rPr>
          <w:sz w:val="20"/>
          <w:szCs w:val="20"/>
          <w:color w:val="auto"/>
        </w:rPr>
      </w:pPr>
      <w:r>
        <w:rPr>
          <w:rFonts w:ascii="Arial" w:cs="Arial" w:eastAsia="Arial" w:hAnsi="Arial"/>
          <w:sz w:val="18"/>
          <w:szCs w:val="18"/>
          <w:color w:val="auto"/>
        </w:rPr>
        <w:t>The information set forth under “Note 9 – Commitments and Contingencies” of our notes to unaudited condensed consolidated financial statements, included in Part I, Item 1, is incorporated herein by reference. For additional discussion of certain risks associated with legal proceedings, see Part II, Item 1A, “Risk Factors,” immediately below.</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1A. </w:t>
      </w:r>
      <w:r>
        <w:rPr>
          <w:rFonts w:ascii="Arial" w:cs="Arial" w:eastAsia="Arial" w:hAnsi="Arial"/>
          <w:sz w:val="18"/>
          <w:szCs w:val="18"/>
          <w:b w:val="1"/>
          <w:bCs w:val="1"/>
          <w:i w:val="1"/>
          <w:iCs w:val="1"/>
          <w:color w:val="auto"/>
        </w:rPr>
        <w:t>Risk Factors</w:t>
      </w:r>
    </w:p>
    <w:p>
      <w:pPr>
        <w:spacing w:after="0" w:line="96" w:lineRule="exact"/>
        <w:rPr>
          <w:sz w:val="20"/>
          <w:szCs w:val="20"/>
          <w:color w:val="auto"/>
        </w:rPr>
      </w:pPr>
    </w:p>
    <w:p>
      <w:pPr>
        <w:ind w:right="160" w:firstLine="456"/>
        <w:spacing w:after="0" w:line="298" w:lineRule="auto"/>
        <w:rPr>
          <w:sz w:val="20"/>
          <w:szCs w:val="20"/>
          <w:color w:val="auto"/>
        </w:rPr>
      </w:pPr>
      <w:r>
        <w:rPr>
          <w:rFonts w:ascii="Arial" w:cs="Arial" w:eastAsia="Arial" w:hAnsi="Arial"/>
          <w:sz w:val="16"/>
          <w:szCs w:val="16"/>
          <w:i w:val="1"/>
          <w:iCs w:val="1"/>
          <w:color w:val="auto"/>
        </w:rPr>
        <w:t>Before deciding to purchase, hold or sell our common shares, you should carefully consider the risks described below in addition to the other cautionary statements and risks described elsewhere and the other information contained in this Quarterly Report on Form 10-Q and in our other filings with the SEC, including our Annual Report on Form 10-K for the year ended January 29, 2011 and subsequent reports on Forms 10-Q and 8-K. Many of these risks and uncertainties are beyond our control, including business cycles and seasonal trends of the computing, semiconductor and related industries.</w:t>
      </w:r>
    </w:p>
    <w:p>
      <w:pPr>
        <w:spacing w:after="0" w:line="113"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Our financial condition and results of operations may vary from quarter to quarter, which may cause the price of our common shares to decline.</w:t>
      </w:r>
    </w:p>
    <w:p>
      <w:pPr>
        <w:spacing w:after="0" w:line="194"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w:t>
      </w:r>
    </w:p>
    <w:p>
      <w:pPr>
        <w:spacing w:after="0" w:line="132"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Fluctuations in our results of operations may be due to a number of factors, including, but not limited to, those listed below and those identified throughout this “Risk Factors” section:</w:t>
      </w:r>
    </w:p>
    <w:p>
      <w:pPr>
        <w:spacing w:after="0" w:line="51" w:lineRule="exact"/>
        <w:rPr>
          <w:sz w:val="20"/>
          <w:szCs w:val="20"/>
          <w:color w:val="auto"/>
        </w:rPr>
      </w:pPr>
    </w:p>
    <w:p>
      <w:pPr>
        <w:ind w:left="900" w:right="260" w:hanging="325"/>
        <w:spacing w:after="0" w:line="268"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general economic and political conditions and specific conditions in the markets we address, including the continuing volatility in the technology sector and semiconductor industry, and current general economic volatility;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dependence on a few customers for a significant portion of our revenue;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develop and introduce new and enhanced products in a timely and effective manner;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cancellations, rescheduling or deferrals of significant customer orders or shipments;</w:t>
      </w:r>
    </w:p>
    <w:p>
      <w:pPr>
        <w:spacing w:after="0" w:line="90" w:lineRule="exact"/>
        <w:rPr>
          <w:rFonts w:ascii="Arial" w:cs="Arial" w:eastAsia="Arial" w:hAnsi="Arial"/>
          <w:sz w:val="18"/>
          <w:szCs w:val="18"/>
          <w:color w:val="auto"/>
        </w:rPr>
      </w:pPr>
    </w:p>
    <w:p>
      <w:pPr>
        <w:ind w:left="900" w:right="680" w:hanging="325"/>
        <w:spacing w:after="0" w:line="268"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scale our operations in response to changes in demand for our existing products or demand for new products requested by our customers;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gain or loss of a key customer or design win;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seasonality in sales of consumer devices in which are products are incorporated;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exercise stringent quality control measures to obtain high yields;</w:t>
      </w:r>
    </w:p>
    <w:p>
      <w:pPr>
        <w:spacing w:after="0" w:line="90" w:lineRule="exact"/>
        <w:rPr>
          <w:rFonts w:ascii="Arial" w:cs="Arial" w:eastAsia="Arial" w:hAnsi="Arial"/>
          <w:sz w:val="18"/>
          <w:szCs w:val="18"/>
          <w:color w:val="auto"/>
        </w:rPr>
      </w:pPr>
    </w:p>
    <w:p>
      <w:pPr>
        <w:ind w:left="900" w:right="280" w:hanging="325"/>
        <w:spacing w:after="0" w:line="268"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control the manufacturing costs of our products, including costs associated with capacity and raw materials, including commodities such as gold;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color w:val="auto"/>
        </w:rPr>
        <w:t>our ability to anticipate and adapt to changes in technology and evolving industry standards and our customers’ changing demands;</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successfully transition to smaller geometry process technologies or achieve higher levels of design integration;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effective and timely update of equipment and facilities as required for leading edge production capabilities;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attract and retain highly skilled managerial, engineering, sales and marketing personnel;</w:t>
      </w:r>
    </w:p>
    <w:p>
      <w:pPr>
        <w:spacing w:after="0" w:line="15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360"/>
          </w:cols>
          <w:pgMar w:left="240" w:top="459" w:right="29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failure to protect our intellectual property;</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impact of a significant natural disaster, including earthquakes, floods and tsunamis; and</w:t>
      </w:r>
    </w:p>
    <w:p>
      <w:pPr>
        <w:spacing w:after="0" w:line="90" w:lineRule="exact"/>
        <w:rPr>
          <w:rFonts w:ascii="Arial" w:cs="Arial" w:eastAsia="Arial" w:hAnsi="Arial"/>
          <w:sz w:val="18"/>
          <w:szCs w:val="18"/>
          <w:color w:val="auto"/>
        </w:rPr>
      </w:pPr>
    </w:p>
    <w:p>
      <w:pPr>
        <w:ind w:left="900" w:right="400" w:hanging="325"/>
        <w:spacing w:after="0" w:line="268" w:lineRule="auto"/>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any current and future litigation that could result in substantial costs and a diversion of management’s attention and resources that are needed to successfully maintain and grow our business.</w:t>
      </w:r>
    </w:p>
    <w:p>
      <w:pPr>
        <w:spacing w:after="0" w:line="132"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Due to fluctuations in our quarterly results of operations and other factors, the price at which our common shares will trade is likely to continue to be highly volatile. In future periods, if our revenues or operating results are below our estimates or the estimates or expectations of public market analysts and investors, amongst other factors, could result in our stock price declining. On average, technology companies have been subject to a greater number of securities class action claims than companies in many other industries as a result of stock price volatility. If our stock price is volatile, we may become involved in this type of litigation. Any litigation could result in substantial costs and a diversion of management’s attention and resources that are needed to successfully maintain and grow our business</w:t>
      </w:r>
    </w:p>
    <w:p>
      <w:pPr>
        <w:spacing w:after="0" w:line="144" w:lineRule="exact"/>
        <w:rPr>
          <w:sz w:val="20"/>
          <w:szCs w:val="20"/>
          <w:color w:val="auto"/>
        </w:rPr>
      </w:pPr>
    </w:p>
    <w:p>
      <w:pPr>
        <w:ind w:right="460"/>
        <w:spacing w:after="0" w:line="268" w:lineRule="auto"/>
        <w:rPr>
          <w:sz w:val="20"/>
          <w:szCs w:val="20"/>
          <w:color w:val="auto"/>
        </w:rPr>
      </w:pPr>
      <w:r>
        <w:rPr>
          <w:rFonts w:ascii="Arial" w:cs="Arial" w:eastAsia="Arial" w:hAnsi="Arial"/>
          <w:sz w:val="18"/>
          <w:szCs w:val="18"/>
          <w:b w:val="1"/>
          <w:bCs w:val="1"/>
          <w:i w:val="1"/>
          <w:iCs w:val="1"/>
          <w:color w:val="auto"/>
        </w:rPr>
        <w:t>Our business, financial condition and results of operations may be adversely impacted by global economic conditions, which may cause a decline in the market price of our common shares.</w:t>
      </w:r>
    </w:p>
    <w:p>
      <w:pPr>
        <w:spacing w:after="0" w:line="132"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We operate in the semiconductor industry, which is cyclical and subject to rapid change and evolving industry standards. From time to time, this industry has experienced significant demand downturns. These downturns are characterized by decreases in product demand, excess customer inventories and sometimes accelerated erosion of prices. These factors could cause substantial fluctuations in our net revenue, gross margin, cash flows and results of operations. In addition, during these downturns some competitors may become more aggressive in their pricing practices, which would adversely impact our gross margin. Any downturns in the current environment may be severe and prolonged, and any failure of the markets in which we operate to fully recover from downturns could seriously impact our revenue and harm our business, financial condition and results of operations. The semiconductor industry is also subject to periodic increases in demand and supply constraints, which may affect our ability to ship products. Accordingly, our results of operations may vary significantly as a result of the general conditions in the semiconductor industry, which could cause fluctuations in our stock price.</w:t>
      </w:r>
    </w:p>
    <w:p>
      <w:pPr>
        <w:spacing w:after="0" w:line="118" w:lineRule="exact"/>
        <w:rPr>
          <w:sz w:val="20"/>
          <w:szCs w:val="20"/>
          <w:color w:val="auto"/>
        </w:rPr>
      </w:pPr>
    </w:p>
    <w:p>
      <w:pPr>
        <w:ind w:right="180" w:firstLine="456"/>
        <w:spacing w:after="0" w:line="291" w:lineRule="auto"/>
        <w:rPr>
          <w:sz w:val="20"/>
          <w:szCs w:val="20"/>
          <w:color w:val="auto"/>
        </w:rPr>
      </w:pPr>
      <w:r>
        <w:rPr>
          <w:rFonts w:ascii="Arial" w:cs="Arial" w:eastAsia="Arial" w:hAnsi="Arial"/>
          <w:sz w:val="16"/>
          <w:szCs w:val="16"/>
          <w:color w:val="auto"/>
        </w:rPr>
        <w:t>The global credit and financial markets have experienced and in some cases continue to experience extreme volatility and disruptions, including severely diminished liquidity and credit availability, increased concerns about inflation and deflation, decreased consumer confidence, lower economic growth, volatile energy costs, increased unemployment rates, and uncertainty about economic stability. We cannot predict the timing, strength or duration of any economic slowdown or subsequent global economic recovery in the hard disk drive or in the semiconductor industry. If the economy or markets in which we operate deteriorate from current levels, our business, financial condition and results of operations will likely be materially and adversely affected. Additionally, the combination of our lengthy sales cycle coupled with challenging macroeconomic conditions could adversely impact our results of operations.</w:t>
      </w:r>
    </w:p>
    <w:p>
      <w:pPr>
        <w:spacing w:after="0" w:line="120" w:lineRule="exact"/>
        <w:rPr>
          <w:sz w:val="20"/>
          <w:szCs w:val="20"/>
          <w:color w:val="auto"/>
        </w:rPr>
      </w:pPr>
    </w:p>
    <w:p>
      <w:pPr>
        <w:ind w:right="60"/>
        <w:spacing w:after="0" w:line="268" w:lineRule="auto"/>
        <w:rPr>
          <w:sz w:val="20"/>
          <w:szCs w:val="20"/>
          <w:color w:val="auto"/>
        </w:rPr>
      </w:pPr>
      <w:r>
        <w:rPr>
          <w:rFonts w:ascii="Arial" w:cs="Arial" w:eastAsia="Arial" w:hAnsi="Arial"/>
          <w:sz w:val="18"/>
          <w:szCs w:val="18"/>
          <w:b w:val="1"/>
          <w:bCs w:val="1"/>
          <w:i w:val="1"/>
          <w:iCs w:val="1"/>
          <w:color w:val="auto"/>
        </w:rPr>
        <w:t>A significant portion of our business is dependent on the hard disk drive industry, which is highly cyclical, experiences rapid technological change, is subject to industry consolidation and is facing increased competition from alternative technologies.</w:t>
      </w:r>
    </w:p>
    <w:p>
      <w:pPr>
        <w:spacing w:after="0" w:line="132"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The hard disk drive industry is intensely competitive, and the technology changes rapidly. This industry has historically been cyclical, with periods of increased demand and rapid growth followed by periods of oversupply and subsequent contraction. These cycles may affect us because some of our customers are participants in this industry.</w:t>
      </w:r>
    </w:p>
    <w:p>
      <w:pPr>
        <w:spacing w:after="0" w:line="140"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Hard disk drive manufacturers tend to order more components than they may need during growth periods, and sharply reduce orders for components during periods of contraction. Rapid technological changes in the hard disk drive industry often result in shifts in market share among the industry’s participants. If the hard disk drive manufacturers using our products do not retain or increase their market share, our sales may decrease.</w:t>
      </w:r>
    </w:p>
    <w:p>
      <w:pPr>
        <w:spacing w:after="0" w:line="107"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In addition, the hard disk drive industry has experienced consolidation over the past several years. For example, during fiscal 2010, Toshiba acquired the hard disk drive operations of Fujitsu. In March 2011, Western Digital announced that it plans to acquire Hitachi’s hard disk drive unit; and in April 2011, Seagate announced that it plans to acquire Samsung’s hard disk drive unit. Consolidation among our customers could lead to changing demand for our products, replacement of our products by the merged entity with those of our competitors and cancellation of orders, each of which could harm our results of operations. On the other hand, this could lead to increased opportunities for our products within the combined company if we can leverage our technology and customer relationships.</w:t>
      </w:r>
    </w:p>
    <w:p>
      <w:pPr>
        <w:spacing w:after="0" w:line="144" w:lineRule="exact"/>
        <w:rPr>
          <w:sz w:val="20"/>
          <w:szCs w:val="20"/>
          <w:color w:val="auto"/>
        </w:rPr>
      </w:pPr>
    </w:p>
    <w:p>
      <w:pPr>
        <w:ind w:right="160" w:firstLine="456"/>
        <w:spacing w:after="0" w:line="255" w:lineRule="auto"/>
        <w:rPr>
          <w:sz w:val="20"/>
          <w:szCs w:val="20"/>
          <w:color w:val="auto"/>
        </w:rPr>
      </w:pPr>
      <w:r>
        <w:rPr>
          <w:rFonts w:ascii="Arial" w:cs="Arial" w:eastAsia="Arial" w:hAnsi="Arial"/>
          <w:sz w:val="18"/>
          <w:szCs w:val="18"/>
          <w:color w:val="auto"/>
        </w:rPr>
        <w:t>Furthermore, future changes in the nature of information storage products could reduce demand for traditional hard disk drives. For example, products using alternative technologies, such as solid-state flash drives and other storage technologies could become a significant source of competition to manufacturers of hard disk drives. We offer solid state drive controllers, leveraging our technology in hard drives, and believe we will maintain significant market share in this market segment. However, there is no guarantee that the technologies we offer will be the technologies incorporated into mainstream consumer electronics devices in the future.</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400"/>
          </w:cols>
          <w:pgMar w:left="240" w:top="459" w:right="25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520"/>
        <w:spacing w:after="0" w:line="268" w:lineRule="auto"/>
        <w:rPr>
          <w:sz w:val="20"/>
          <w:szCs w:val="20"/>
          <w:color w:val="auto"/>
        </w:rPr>
      </w:pPr>
      <w:r>
        <w:rPr>
          <w:rFonts w:ascii="Arial" w:cs="Arial" w:eastAsia="Arial" w:hAnsi="Arial"/>
          <w:sz w:val="18"/>
          <w:szCs w:val="18"/>
          <w:b w:val="1"/>
          <w:bCs w:val="1"/>
          <w:i w:val="1"/>
          <w:iCs w:val="1"/>
          <w:color w:val="auto"/>
        </w:rPr>
        <w:t>We operate in the intensely competitive mobile and wireless communications markets, and our failure to compete effectively would harm our results of operations.</w:t>
      </w:r>
    </w:p>
    <w:p>
      <w:pPr>
        <w:spacing w:after="0" w:line="132"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The semiconductor industry and specifically the mobile and wireless communications markets are extremely competitive, and we expect competition to intensify as current competitors expand their product offerings and new competitors enter the market. We currently compete with a number of large domestic and international companies in the business of designing integrated circuits and related applications, some of which have greater financial, technical and management resources than us. We expect competition to continue to increase as industry standards continue to evolve and become better known, and others realize the market potential of wired and wireless products and services. As competition in the markets in which we operate continues to increase, our revenues and gross margins may be harmed. For example, competitors with greater financial resources may be able to offer lower prices than us, or they may offer additional products, services or other incentives that we may not be able to match. In addition, many of our competitors operate and maintain their own fabrication facilities and have longer operating histories, greater name recognition, larger customer bases, and greater sales, marketing and distribution resources than we do. Furthermore, our current and potential competitors in the mobile and wireless markets have established or may establish financial and strategic relationships among themselves or with existing or potential customers or other third parties to increase the ability of their products to address the needs of customers. Accordingly, new competitors or alliances among these competitors may acquire significant market share, which would harm our business. While we continue to pursue similar strategic relationships, and currently have significant financial and technical resources, we cannot assure you that we will be able to continue to compete successfully against existing or new competitors, which would harm our results of operations.</w:t>
      </w:r>
    </w:p>
    <w:p>
      <w:pPr>
        <w:spacing w:after="0" w:line="121" w:lineRule="exact"/>
        <w:rPr>
          <w:sz w:val="20"/>
          <w:szCs w:val="20"/>
          <w:color w:val="auto"/>
        </w:rPr>
      </w:pPr>
    </w:p>
    <w:p>
      <w:pPr>
        <w:ind w:right="200"/>
        <w:spacing w:after="0" w:line="332" w:lineRule="auto"/>
        <w:rPr>
          <w:sz w:val="20"/>
          <w:szCs w:val="20"/>
          <w:color w:val="auto"/>
        </w:rPr>
      </w:pPr>
      <w:r>
        <w:rPr>
          <w:rFonts w:ascii="Arial" w:cs="Arial" w:eastAsia="Arial" w:hAnsi="Arial"/>
          <w:sz w:val="16"/>
          <w:szCs w:val="16"/>
          <w:b w:val="1"/>
          <w:bCs w:val="1"/>
          <w:i w:val="1"/>
          <w:iCs w:val="1"/>
          <w:color w:val="auto"/>
        </w:rPr>
        <w:t>Our sales are concentrated in a few customers, and if we lose or experience a significant reduction in sales to any of these key customers, or if any of these key customers experience a significant decline in market share, our revenues may decrease substantially.</w:t>
      </w:r>
    </w:p>
    <w:p>
      <w:pPr>
        <w:spacing w:after="0" w:line="85"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color w:val="auto"/>
        </w:rPr>
        <w:t>We receive a significant amount of our revenues from a limited number of customers. For the three months ended April 30, 2011, one customer accounted for a total of approximately 21% of our net revenue.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 customers or a significant reduction in sales we make to them would likely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37" w:lineRule="exact"/>
        <w:rPr>
          <w:sz w:val="20"/>
          <w:szCs w:val="20"/>
          <w:color w:val="auto"/>
        </w:rPr>
      </w:pPr>
    </w:p>
    <w:p>
      <w:pPr>
        <w:ind w:left="900" w:right="780" w:hanging="325"/>
        <w:spacing w:after="0" w:line="268"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 and without penalty;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customers may purchase integrated circuits from our competitors;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customers may discontinue sales or lose market share in the markets for which they purchase our products; or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customers may develop their own solutions.</w:t>
      </w:r>
    </w:p>
    <w:p>
      <w:pPr>
        <w:spacing w:after="0" w:line="171" w:lineRule="exact"/>
        <w:rPr>
          <w:sz w:val="20"/>
          <w:szCs w:val="20"/>
          <w:color w:val="auto"/>
        </w:rPr>
      </w:pPr>
    </w:p>
    <w:p>
      <w:pPr>
        <w:ind w:right="220"/>
        <w:spacing w:after="0" w:line="268"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results of operations and competitive position will be harmed.</w:t>
      </w:r>
    </w:p>
    <w:p>
      <w:pPr>
        <w:spacing w:after="0" w:line="132" w:lineRule="exact"/>
        <w:rPr>
          <w:sz w:val="20"/>
          <w:szCs w:val="20"/>
          <w:color w:val="auto"/>
        </w:rPr>
      </w:pPr>
    </w:p>
    <w:p>
      <w:pPr>
        <w:ind w:right="120" w:firstLine="456"/>
        <w:spacing w:after="0" w:line="294" w:lineRule="auto"/>
        <w:rPr>
          <w:sz w:val="20"/>
          <w:szCs w:val="20"/>
          <w:color w:val="auto"/>
        </w:rPr>
      </w:pPr>
      <w:r>
        <w:rPr>
          <w:rFonts w:ascii="Arial" w:cs="Arial" w:eastAsia="Arial" w:hAnsi="Arial"/>
          <w:sz w:val="16"/>
          <w:szCs w:val="16"/>
          <w:color w:val="auto"/>
        </w:rPr>
        <w:t>Our future success will depend on our ability, in a timely and cost-effective manner, to develop and introduce new products and enhancements to our existing products. We must also achieve market acceptance for these products and enhancements. If we do not successfully develop and achieve market acceptance for new and enhanced products, our ability to maintain or increase revenues will suffer. The development of new silicon devices is highly complex, and due to supply chain cross-dependencies and other issues, we may experience delays in completing the development, production and introduction of our new products. Even if new and enhanced products are introduced to the market, we may not be able to achieve market acceptance of them in a timely manner.</w:t>
      </w:r>
    </w:p>
    <w:p>
      <w:pPr>
        <w:spacing w:after="0" w:line="116"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favorable prices on our products. If these prices are lower than the prices paid by our existing customers, we would have to offer the same lower prices to certain of our customers who have contractual “most favored nation” pricing arrangements. In that event, our average selling prices and gross margins could decline.</w:t>
      </w:r>
    </w:p>
    <w:p>
      <w:pPr>
        <w:spacing w:after="0" w:line="9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380"/>
          </w:cols>
          <w:pgMar w:left="240" w:top="459" w:right="27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 party vendors to deliver products or otherwise perform as requested could damage our relationships with our customers, decrease our sales and limit our growth.</w:t>
      </w:r>
    </w:p>
    <w:p>
      <w:pPr>
        <w:spacing w:after="0" w:line="140" w:lineRule="exact"/>
        <w:rPr>
          <w:sz w:val="20"/>
          <w:szCs w:val="20"/>
          <w:color w:val="auto"/>
        </w:rPr>
      </w:pPr>
    </w:p>
    <w:p>
      <w:pPr>
        <w:jc w:val="both"/>
        <w:ind w:right="20" w:firstLine="456"/>
        <w:spacing w:after="0" w:line="259" w:lineRule="auto"/>
        <w:rPr>
          <w:sz w:val="20"/>
          <w:szCs w:val="20"/>
          <w:color w:val="auto"/>
        </w:rPr>
      </w:pPr>
      <w:r>
        <w:rPr>
          <w:rFonts w:ascii="Arial" w:cs="Arial" w:eastAsia="Arial" w:hAnsi="Arial"/>
          <w:sz w:val="18"/>
          <w:szCs w:val="18"/>
          <w:color w:val="auto"/>
        </w:rPr>
        <w:t>We do not have our own manufacturing or assembly facilities and have very limited in-house testing facilities. Therefore, we currently rely on several third party foundries to produce our integrated circuit products. We also currently rely on several third party assembly and test subcontractors to assemble, package and test our products. This exposes us to a variety of risks, including the following:</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Regional Concentration:</w:t>
      </w:r>
    </w:p>
    <w:p>
      <w:pPr>
        <w:spacing w:after="0" w:line="90" w:lineRule="exact"/>
        <w:rPr>
          <w:sz w:val="20"/>
          <w:szCs w:val="20"/>
          <w:color w:val="auto"/>
        </w:rPr>
      </w:pPr>
    </w:p>
    <w:p>
      <w:pPr>
        <w:ind w:right="60" w:firstLine="456"/>
        <w:spacing w:after="0" w:line="286" w:lineRule="auto"/>
        <w:rPr>
          <w:sz w:val="20"/>
          <w:szCs w:val="20"/>
          <w:color w:val="auto"/>
        </w:rPr>
      </w:pPr>
      <w:r>
        <w:rPr>
          <w:rFonts w:ascii="Arial" w:cs="Arial" w:eastAsia="Arial" w:hAnsi="Arial"/>
          <w:sz w:val="16"/>
          <w:szCs w:val="16"/>
          <w:color w:val="auto"/>
        </w:rPr>
        <w:t>Substantially all of our products are manufactured by third party foundries located in Taiwan. Currently, our alternative manufacturing sources are located in China and Singapore. In addition, substantially all of our assembly and testing facilities are located in Singapore, Taiwan, Malaysia and the Philippines. Because of the geographic concentration of these third party foundries, as well as our assembly and test subcontractors, we are exposed to the risk that their operations may be disrupted by regional disasters or by political changes. For example, the risk of an earthquake in Taiwan and elsewhere in the Pacific Rim region is significant due to the proximity of major earthquake fault lines to the facilities of our foundries and assembly and test subcontractors. Taiwan has experienced significant earthquakes in the past, including, for example, in March 2010, and may be subject to additional earthquakes that could disrupt manufacturing operations. In addition, the resurgence of severe acute respiratory syndrome, the outbreak of avian flu and any similar future outbreaks in Asia, where these foundries are located, could affect the production capabilities of our manufacturers by resulting in quarantines or closures. In the event of such a quarantine or closure, if we were unable to quickly identify alternate manufacturing facilities, our revenues, cost of goods sold and results of operations would be negatively impacted. If these vendors do not provide us with high-quality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harm our business, financial condition or results of operations.</w:t>
      </w:r>
    </w:p>
    <w:p>
      <w:pPr>
        <w:spacing w:after="0" w:line="205"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No Guarantee of Capacity or Supply:</w:t>
      </w:r>
    </w:p>
    <w:p>
      <w:pPr>
        <w:spacing w:after="0" w:line="90" w:lineRule="exact"/>
        <w:rPr>
          <w:sz w:val="20"/>
          <w:szCs w:val="20"/>
          <w:color w:val="auto"/>
        </w:rPr>
      </w:pPr>
    </w:p>
    <w:p>
      <w:pPr>
        <w:ind w:firstLine="456"/>
        <w:spacing w:after="0" w:line="285" w:lineRule="auto"/>
        <w:rPr>
          <w:sz w:val="20"/>
          <w:szCs w:val="20"/>
          <w:color w:val="auto"/>
        </w:rPr>
      </w:pPr>
      <w:r>
        <w:rPr>
          <w:rFonts w:ascii="Arial" w:cs="Arial" w:eastAsia="Arial" w:hAnsi="Arial"/>
          <w:sz w:val="16"/>
          <w:szCs w:val="16"/>
          <w:color w:val="auto"/>
        </w:rPr>
        <w:t>The ability of each foundry to provide us with semiconductor devices is limited by its available capacity and existing obligations. In addition, when demand is strong, availability of foundry capacity may be constrained, and with limited exceptions, our vendors are not obligated to perform services or supply products to us for any specific period, in any specific quantities, or at any specific price, except as may be provided in a particular purchase order. For example, in recent years, we experienced some supply shortages due to the difficulties encountered by the foundries in rapidly increasing their production capacities from low utilization levels to the high utilization levels required due to a rapid increase in demand. Although we have entered into contractual commitments to supply specified levels of products to some of our customers, we may not have sufficient levels of production capacity with all of our foundries, despite signing an agreement with a foundry to reserve and secure foundry fabrication capacity for a fixed number of wafers. Despite this agreement, foundry capacity may not be available when we need it or at reasonable prices.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Moreover, if any of our third party foundry suppliers are unable to secure necessary raw materials from their suppliers, lose benefits under material agreements, experience power outages,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128"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Although we use several independent foundries to manufacture our semiconductor products, most of our components are not manufactured at more than one foundry at any given time, and our products typically are designed to be manufactured in a specific process at only one of these foundries. Accordingly, if one of our foundries is unable to provide us with components as needed, it may be difficult for us to transition the manufacture of our products to other foundries, and we could experience significant delays in securing sufficient supplies of those components. This could result in a material decline in revenues, net income and cash flow.</w:t>
      </w:r>
    </w:p>
    <w:p>
      <w:pPr>
        <w:spacing w:after="0" w:line="143" w:lineRule="exact"/>
        <w:rPr>
          <w:sz w:val="20"/>
          <w:szCs w:val="20"/>
          <w:color w:val="auto"/>
        </w:rPr>
      </w:pPr>
    </w:p>
    <w:p>
      <w:pPr>
        <w:ind w:right="140" w:firstLine="456"/>
        <w:spacing w:after="0" w:line="254" w:lineRule="auto"/>
        <w:rPr>
          <w:sz w:val="20"/>
          <w:szCs w:val="20"/>
          <w:color w:val="auto"/>
        </w:rPr>
      </w:pPr>
      <w:r>
        <w:rPr>
          <w:rFonts w:ascii="Arial" w:cs="Arial" w:eastAsia="Arial" w:hAnsi="Arial"/>
          <w:sz w:val="18"/>
          <w:szCs w:val="18"/>
          <w:color w:val="auto"/>
        </w:rPr>
        <w:t>In order to secure sufficient foundry capacity when demand is high and mitigate the risks described in the foregoing paragraph, we may enter into various arrangements with suppliers that could be costly and harm our results of operations, such as non-refundable deposits with or loans to foundries in exchange for capacity commitments, and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13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400"/>
          </w:cols>
          <w:pgMar w:left="240" w:top="459" w:right="25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Uncertain Yields and Quality:</w:t>
      </w:r>
    </w:p>
    <w:p>
      <w:pPr>
        <w:spacing w:after="0" w:line="9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18"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To the extent that we rely on outside suppliers to manufacture or assemble and test our products, we may have a reduced ability to control directly product delivery schedules and quality assurance. This lack of control may result in product shortages or quality assurance problems that could delay shipments of products or increase manufacturing, assembly, testing or other costs.</w:t>
      </w:r>
    </w:p>
    <w:p>
      <w:pPr>
        <w:spacing w:after="0" w:line="140" w:lineRule="exact"/>
        <w:rPr>
          <w:sz w:val="20"/>
          <w:szCs w:val="20"/>
          <w:color w:val="auto"/>
        </w:rPr>
      </w:pPr>
    </w:p>
    <w:p>
      <w:pPr>
        <w:spacing w:after="0" w:line="259" w:lineRule="auto"/>
        <w:rPr>
          <w:sz w:val="20"/>
          <w:szCs w:val="20"/>
          <w:color w:val="auto"/>
        </w:rPr>
      </w:pPr>
      <w:r>
        <w:rPr>
          <w:rFonts w:ascii="Arial" w:cs="Arial" w:eastAsia="Arial" w:hAnsi="Arial"/>
          <w:sz w:val="18"/>
          <w:szCs w:val="18"/>
          <w:b w:val="1"/>
          <w:bCs w:val="1"/>
          <w:i w:val="1"/>
          <w:iCs w:val="1"/>
          <w:color w:val="auto"/>
        </w:rPr>
        <w:t>We are subject to order and shipment uncertainties, and if we are unable to accurately predict customer demand, we may hold excess or obsolete inventory, which would reduce our gross margin; conversely, we may have insufficient inventory, which would result in lost revenue opportunities and potentially in loss of market share and damaged customer relationships.</w:t>
      </w:r>
    </w:p>
    <w:p>
      <w:pPr>
        <w:spacing w:after="0" w:line="140" w:lineRule="exact"/>
        <w:rPr>
          <w:sz w:val="20"/>
          <w:szCs w:val="20"/>
          <w:color w:val="auto"/>
        </w:rPr>
      </w:pPr>
    </w:p>
    <w:p>
      <w:pPr>
        <w:ind w:right="40" w:firstLine="456"/>
        <w:spacing w:after="0" w:line="285"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In the recent past, some of our customers have developed excess inventories of their own products and have, as a consequence, deferred purchases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 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lengthy sales cycle. The sales cycle for many of our products is long and requires us to invest significant resources with each potential customer without any assurance of sales to that customer. Our sales cycle typically begins with an extended evaluation and test period, also known as qualification, during which our products undergo rigorous reliability testing by our customers. Qualification is typically followed by an extended development period by our customers and an additional three to nine month period before a customer commences volume production of equipment incorporating our products. This lengthy sales cycle creates the risk that our customers will decide to cancel or change product plans for products incorporating our integrated circuits prior to completion, which makes it even more difficult to forecast customer demand.</w:t>
      </w:r>
    </w:p>
    <w:p>
      <w:pPr>
        <w:spacing w:after="0" w:line="128"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If we overestimate customer demand, we may allocate resources to manufacturing products that we may not be able to sell when we expect to, if at all. As a result, we would hold excess or obsolete inventory, which would reduce our gross margin and adversely affect our financial results.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116"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fail to appropriately scale our operations in response to changes in demand for our existing products or to the demand for new products requested by our customers, our business and profitability could be materially and adversely affected.</w:t>
      </w:r>
    </w:p>
    <w:p>
      <w:pPr>
        <w:spacing w:after="0" w:line="132"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To achieve our business objectives, it may be necessary from time to time for us to expand or contract our operations. In the future, we may not be able to scale our workforce and operations in a sufficiently timely manner to respond effectively to changes in demand for our existing products or to the demand for new products requested by our customers. In that event, we may be unable to meet competitive challenges or exploit potential market opportunities, and our current or future business could be materially and adversely affected. Conversely, if we expand our operations and workforce too rapidly in anticipation of increased demand for our products, and such demand does not materialize at the pace at which we expected, the rate of increase in our costs and operating expenses may exceed the rate of increase in our revenue, which would adversely affect our results of operations. In addition, if such demand does not materialize at the pace which we expect, we may be required to scale down our business through expense and headcount reductions as well as facility consolidations or closures that could result in restructuring charges that would materially and adversely affect our results of operations. For example, in order to reduce</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420"/>
          </w:cols>
          <w:pgMar w:left="240" w:top="459" w:right="23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spacing w:after="0" w:line="298" w:lineRule="auto"/>
        <w:rPr>
          <w:sz w:val="20"/>
          <w:szCs w:val="20"/>
          <w:color w:val="auto"/>
        </w:rPr>
      </w:pPr>
      <w:r>
        <w:rPr>
          <w:rFonts w:ascii="Arial" w:cs="Arial" w:eastAsia="Arial" w:hAnsi="Arial"/>
          <w:sz w:val="16"/>
          <w:szCs w:val="16"/>
          <w:color w:val="auto"/>
        </w:rPr>
        <w:t>expenses in the challenging economic environment that began during the second half of fiscal 2009, in late fiscal 2009 and early in fiscal 2010, we implemented certain cost reduction measures to reduce operating expenses. Because many of our expenses are fixed in the short-term or are incurred in advance of anticipated sales, we may not be able to decrease our expenses in a timely manner to offset any decrease in customer demand. If customer demand does not increase as anticipated, our profitability could be adversely affected due to our higher expense levels.</w:t>
      </w:r>
    </w:p>
    <w:p>
      <w:pPr>
        <w:spacing w:after="0" w:line="113" w:lineRule="exact"/>
        <w:rPr>
          <w:sz w:val="20"/>
          <w:szCs w:val="20"/>
          <w:color w:val="auto"/>
        </w:rPr>
      </w:pPr>
    </w:p>
    <w:p>
      <w:pPr>
        <w:ind w:right="80" w:firstLine="456"/>
        <w:spacing w:after="0" w:line="288" w:lineRule="auto"/>
        <w:rPr>
          <w:sz w:val="20"/>
          <w:szCs w:val="20"/>
          <w:color w:val="auto"/>
        </w:rPr>
      </w:pPr>
      <w:r>
        <w:rPr>
          <w:rFonts w:ascii="Arial" w:cs="Arial" w:eastAsia="Arial" w:hAnsi="Arial"/>
          <w:sz w:val="16"/>
          <w:szCs w:val="16"/>
          <w:color w:val="auto"/>
        </w:rPr>
        <w:t>Our past growth has placed, and any future long-term growth is expected to continue to place, a significant strain on our management personnel, systems and resources. To implement our current business and product plans, we will need to continue to expand, train, manage and motivate our workforce. All of these endeavors will require substantial management effort. Although we have an enterprise resource planning system to help us improve our planning and management processes, we anticipate that we will also need to continue to implement and improve a variety of new and upgraded operational and financial systems, as well as additional procedures and other internal management systems. These systems can be time consuming and expensive to implement, increase management responsibilities and divert management attention. If we are unable to effectively manage our expanding operations, we may be unable to scale our business quickly enough to meet competitive challenges or exploit potential market opportunities, or conversely, we may scale our business too quickly and the rate of increase in our costs and expenses may exceed the rate of increase in our revenue, either of which would materially and adversely affect our results of operations.</w:t>
      </w:r>
    </w:p>
    <w:p>
      <w:pPr>
        <w:spacing w:after="0" w:line="12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Costs related to defective products could have a material adverse effect on us.</w:t>
      </w:r>
    </w:p>
    <w:p>
      <w:pPr>
        <w:spacing w:after="0" w:line="171" w:lineRule="exact"/>
        <w:rPr>
          <w:sz w:val="20"/>
          <w:szCs w:val="20"/>
          <w:color w:val="auto"/>
        </w:rPr>
      </w:pPr>
    </w:p>
    <w:p>
      <w:pPr>
        <w:ind w:right="120" w:firstLine="456"/>
        <w:spacing w:after="0" w:line="312" w:lineRule="auto"/>
        <w:rPr>
          <w:sz w:val="20"/>
          <w:szCs w:val="20"/>
          <w:color w:val="auto"/>
        </w:rPr>
      </w:pPr>
      <w:r>
        <w:rPr>
          <w:rFonts w:ascii="Arial" w:cs="Arial" w:eastAsia="Arial" w:hAnsi="Arial"/>
          <w:sz w:val="15"/>
          <w:szCs w:val="15"/>
          <w:color w:val="auto"/>
        </w:rPr>
        <w:t>We have experienced, from time to time, hardware and software defects and bugs associated with the introduction of our highly complex products. We cannot assure you that, despite our testing procedures, errors will not be found in new products or releases after commencement of commercial shipments in the future, which could result in loss of or delay in market acceptance of our products, material recall and replacement costs, delay in revenue recognition or loss of revenues, writing down the inventory of defective products, the diversion of the attention of our engineering personnel from product development efforts, our having to defend against litigation related to defective products or related property damage or personal injury, and damage to our reputation in the industry that could adversely affect our relationships with our customers. In addition, we may have difficulty identifying the end customers of the defective products in the field. As a result, we could incur substantial costs to implement modifications to correct defects. Any of these problems could materially adversely affect us.</w:t>
      </w:r>
    </w:p>
    <w:p>
      <w:pPr>
        <w:spacing w:after="0" w:line="105"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We must keep pace with rapid technological change and evolving industry standards in the semiconductor industry to remain competitive.</w:t>
      </w:r>
    </w:p>
    <w:p>
      <w:pPr>
        <w:spacing w:after="0" w:line="194"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Our future success will depend on our ability to anticipate and adapt to changes in technology and evolving industry standards. We sell products in markets that are characterized by rapid technological change, evolving industry standards, frequent new product introductions, short product life cycles and increasing demand for higher levels of integration and smaller process geometries. Our past sales and profitability have resulted, to a large extent, from our ability to anticipate changes in technology and industry standards and to develop and introduce new and enhanced products incorporating the new standards and technologies. Our ability to adapt to these changes and to anticipate future standards, and the rate of adoption and acceptance of those standards, will be a significant factor in maintaining or improving our competitive position and prospects for growth. If new industry standards emerge that we do not properly anticipate, our products or our customers’ products could become unmarketable or obsolete, and we could lose market share. We may also have to incur substantial unanticipated costs to comply with these new standards. In addition, our target markets continue to undergo rapid growth and consolidation. A significant slowdown in any of these markets could materially and adversely affect our business, financial condition and results of operations. Our success will also depend on the ability of our customers to develop new products and enhance existing products for the markets they serve and to introduce and promote those products successfully.</w:t>
      </w:r>
    </w:p>
    <w:p>
      <w:pPr>
        <w:spacing w:after="0" w:line="127" w:lineRule="exact"/>
        <w:rPr>
          <w:sz w:val="20"/>
          <w:szCs w:val="20"/>
          <w:color w:val="auto"/>
        </w:rPr>
      </w:pPr>
    </w:p>
    <w:p>
      <w:pPr>
        <w:ind w:right="140"/>
        <w:spacing w:after="0" w:line="268"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will likely do so in the future, which could harm our revenues and gross margin.</w:t>
      </w:r>
    </w:p>
    <w:p>
      <w:pPr>
        <w:spacing w:after="0" w:line="132" w:lineRule="exact"/>
        <w:rPr>
          <w:sz w:val="20"/>
          <w:szCs w:val="20"/>
          <w:color w:val="auto"/>
        </w:rPr>
      </w:pPr>
    </w:p>
    <w:p>
      <w:pPr>
        <w:ind w:right="180" w:firstLine="456"/>
        <w:spacing w:after="0" w:line="256" w:lineRule="auto"/>
        <w:rPr>
          <w:sz w:val="20"/>
          <w:szCs w:val="20"/>
          <w:color w:val="auto"/>
        </w:rPr>
      </w:pPr>
      <w:r>
        <w:rPr>
          <w:rFonts w:ascii="Arial" w:cs="Arial" w:eastAsia="Arial" w:hAnsi="Arial"/>
          <w:sz w:val="18"/>
          <w:szCs w:val="18"/>
          <w:color w:val="auto"/>
        </w:rPr>
        <w:t>The products we develop and sell are primarily used for high volume applications. As a result, the prices of those products have historically decreased rapidly. We may not be able to maintain or improve the gross margins and our gross profits and financial results will suffer if we are unable to offset any reductions in our average selling prices by increasing our efficiency through reducing our costs or developing new or enhanced products on a timely basis with higher selling prices or gross margin.</w:t>
      </w:r>
    </w:p>
    <w:p>
      <w:pPr>
        <w:spacing w:after="0" w:line="143"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13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360"/>
          </w:cols>
          <w:pgMar w:left="240" w:top="459" w:right="29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132"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foundry subcontractors to transition to smaller geometry processes successfully. We cannot assure you that the foundries that we use will be able to effectively manage the transition or that we will be able to maintain our existing foundry relationships or develop new ones. If we or any of our foundry subcontractors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121" w:lineRule="exact"/>
        <w:rPr>
          <w:sz w:val="20"/>
          <w:szCs w:val="20"/>
          <w:color w:val="auto"/>
        </w:rPr>
      </w:pPr>
    </w:p>
    <w:p>
      <w:pPr>
        <w:ind w:right="600"/>
        <w:spacing w:after="0" w:line="332" w:lineRule="auto"/>
        <w:rPr>
          <w:sz w:val="20"/>
          <w:szCs w:val="20"/>
          <w:color w:val="auto"/>
        </w:rPr>
      </w:pPr>
      <w:r>
        <w:rPr>
          <w:rFonts w:ascii="Arial" w:cs="Arial" w:eastAsia="Arial" w:hAnsi="Arial"/>
          <w:sz w:val="16"/>
          <w:szCs w:val="16"/>
          <w:b w:val="1"/>
          <w:bCs w:val="1"/>
          <w:i w:val="1"/>
          <w:iCs w:val="1"/>
          <w:color w:val="auto"/>
        </w:rPr>
        <w:t>As a result of our global operations, we face foreign business, political, economic and exchange rate risks, which may harm our results of operations, because a majority of our products and our customers’ products are manufactured and sold outside of the United States.</w:t>
      </w:r>
    </w:p>
    <w:p>
      <w:pPr>
        <w:spacing w:after="0" w:line="85" w:lineRule="exact"/>
        <w:rPr>
          <w:sz w:val="20"/>
          <w:szCs w:val="20"/>
          <w:color w:val="auto"/>
        </w:rPr>
      </w:pPr>
    </w:p>
    <w:p>
      <w:pPr>
        <w:ind w:right="120" w:firstLine="456"/>
        <w:spacing w:after="0" w:line="294"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85% of our net revenue in the three months ended April 30, 2011, 81% of our net revenue in fiscal 2011 and 89% of our net revenue in fiscal 2010.</w:t>
      </w:r>
    </w:p>
    <w:p>
      <w:pPr>
        <w:spacing w:after="0" w:line="116"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As of April 30, 2011, we had substantial operations outside of the U.S. These operations are directly influenced by the political and economic conditions, as well as possible military hostilities that could affect our operations in Israel. 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62" w:lineRule="exact"/>
        <w:rPr>
          <w:sz w:val="20"/>
          <w:szCs w:val="20"/>
          <w:color w:val="auto"/>
        </w:rPr>
      </w:pPr>
    </w:p>
    <w:p>
      <w:pPr>
        <w:ind w:left="900" w:right="380" w:hanging="325"/>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political, social and economic instability, including wars, terrorism, other hostilities and political unrest, boycotts, curtailment of trade and other business restrictions;</w:t>
      </w:r>
    </w:p>
    <w:p>
      <w:pPr>
        <w:spacing w:after="0" w:line="50" w:lineRule="exact"/>
        <w:rPr>
          <w:rFonts w:ascii="Arial" w:cs="Arial" w:eastAsia="Arial" w:hAnsi="Arial"/>
          <w:sz w:val="18"/>
          <w:szCs w:val="18"/>
          <w:color w:val="auto"/>
        </w:rPr>
      </w:pPr>
    </w:p>
    <w:p>
      <w:pPr>
        <w:ind w:left="900" w:right="140" w:hanging="325"/>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and difficulties in obtaining and complying with domestic and foreign export, import and other governmental approvals, permits and licenses;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compliance with foreign laws, and laws and practices that favor local companies;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difficulties of managing distributors;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inadequate local infrastructure;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exposure to local banking, currency control and other financial-related risks.</w:t>
      </w:r>
    </w:p>
    <w:p>
      <w:pPr>
        <w:spacing w:after="0" w:line="171" w:lineRule="exact"/>
        <w:rPr>
          <w:sz w:val="20"/>
          <w:szCs w:val="20"/>
          <w:color w:val="auto"/>
        </w:rPr>
      </w:pPr>
    </w:p>
    <w:p>
      <w:pPr>
        <w:ind w:right="100" w:firstLine="456"/>
        <w:spacing w:after="0" w:line="254" w:lineRule="auto"/>
        <w:rPr>
          <w:sz w:val="20"/>
          <w:szCs w:val="20"/>
          <w:color w:val="auto"/>
        </w:rPr>
      </w:pPr>
      <w:r>
        <w:rPr>
          <w:rFonts w:ascii="Arial" w:cs="Arial" w:eastAsia="Arial" w:hAnsi="Arial"/>
          <w:sz w:val="18"/>
          <w:szCs w:val="18"/>
          <w:color w:val="auto"/>
        </w:rPr>
        <w:t>In addition, the recent earthquakes and tsunami in the Pacific Rim has had a significant impact in Japan, and led to a crisis with respect to nuclear power plants in the affected regions. Based on a review of the global supply chain for our products and discussion with our foundry partners, and based on our knowledge as of the date of this filing, we do not expect a significant impact on our ability to manufacture goods. Additionally, only a small proportion of our sales are to customers located in Japan (3% in fiscal 2011). We have seen a slight near term disruption to the global supply chain for products manufactured in Japan that are included in the end user products by our customers. The combined effects of these natural disasters have created uncertainty, and it is possible that the following impacts could result:</w:t>
      </w:r>
    </w:p>
    <w:p>
      <w:pPr>
        <w:spacing w:after="0" w:line="63" w:lineRule="exact"/>
        <w:rPr>
          <w:sz w:val="20"/>
          <w:szCs w:val="20"/>
          <w:color w:val="auto"/>
        </w:rPr>
      </w:pPr>
    </w:p>
    <w:p>
      <w:pPr>
        <w:ind w:left="5620" w:right="2960" w:hanging="4586"/>
        <w:spacing w:after="0" w:line="440" w:lineRule="auto"/>
        <w:tabs>
          <w:tab w:leader="none" w:pos="1474" w:val="left"/>
        </w:tabs>
        <w:numPr>
          <w:ilvl w:val="0"/>
          <w:numId w:val="8"/>
        </w:numPr>
        <w:rPr>
          <w:rFonts w:ascii="Arial" w:cs="Arial" w:eastAsia="Arial" w:hAnsi="Arial"/>
          <w:sz w:val="18"/>
          <w:szCs w:val="18"/>
          <w:color w:val="auto"/>
        </w:rPr>
      </w:pPr>
      <w:r>
        <w:rPr>
          <w:rFonts w:ascii="Arial" w:cs="Arial" w:eastAsia="Arial" w:hAnsi="Arial"/>
          <w:sz w:val="18"/>
          <w:szCs w:val="18"/>
          <w:color w:val="auto"/>
        </w:rPr>
        <w:t>reduced end user demand due to the economic impact to Japan and potentially the global economy; 34</w:t>
      </w:r>
    </w:p>
    <w:p>
      <w:pPr>
        <w:sectPr>
          <w:pgSz w:w="11900" w:h="16838" w:orient="portrait"/>
          <w:cols w:equalWidth="0" w:num="1">
            <w:col w:w="11400"/>
          </w:cols>
          <w:pgMar w:left="240" w:top="459" w:right="25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1480" w:hanging="446"/>
        <w:spacing w:after="0"/>
        <w:tabs>
          <w:tab w:leader="none" w:pos="1480" w:val="left"/>
        </w:tabs>
        <w:numPr>
          <w:ilvl w:val="0"/>
          <w:numId w:val="9"/>
        </w:numPr>
        <w:rPr>
          <w:rFonts w:ascii="Arial" w:cs="Arial" w:eastAsia="Arial" w:hAnsi="Arial"/>
          <w:sz w:val="18"/>
          <w:szCs w:val="18"/>
          <w:color w:val="auto"/>
        </w:rPr>
      </w:pPr>
      <w:r>
        <w:rPr>
          <w:rFonts w:ascii="Arial" w:cs="Arial" w:eastAsia="Arial" w:hAnsi="Arial"/>
          <w:sz w:val="18"/>
          <w:szCs w:val="18"/>
          <w:color w:val="auto"/>
        </w:rPr>
        <w:t>a slowdown of business or inability to manufacture products by our customers who are located in Japan;</w:t>
      </w:r>
    </w:p>
    <w:p>
      <w:pPr>
        <w:spacing w:after="0" w:line="90" w:lineRule="exact"/>
        <w:rPr>
          <w:rFonts w:ascii="Arial" w:cs="Arial" w:eastAsia="Arial" w:hAnsi="Arial"/>
          <w:sz w:val="18"/>
          <w:szCs w:val="18"/>
          <w:color w:val="auto"/>
        </w:rPr>
      </w:pPr>
    </w:p>
    <w:p>
      <w:pPr>
        <w:ind w:left="1480" w:hanging="446"/>
        <w:spacing w:after="0"/>
        <w:tabs>
          <w:tab w:leader="none" w:pos="1480" w:val="left"/>
        </w:tabs>
        <w:numPr>
          <w:ilvl w:val="0"/>
          <w:numId w:val="9"/>
        </w:numPr>
        <w:rPr>
          <w:rFonts w:ascii="Arial" w:cs="Arial" w:eastAsia="Arial" w:hAnsi="Arial"/>
          <w:sz w:val="18"/>
          <w:szCs w:val="18"/>
          <w:color w:val="auto"/>
        </w:rPr>
      </w:pPr>
      <w:r>
        <w:rPr>
          <w:rFonts w:ascii="Arial" w:cs="Arial" w:eastAsia="Arial" w:hAnsi="Arial"/>
          <w:sz w:val="18"/>
          <w:szCs w:val="18"/>
          <w:color w:val="auto"/>
        </w:rPr>
        <w:t>an increase in the cost of products that we purchase due to reduced supply;</w:t>
      </w:r>
    </w:p>
    <w:p>
      <w:pPr>
        <w:spacing w:after="0" w:line="90" w:lineRule="exact"/>
        <w:rPr>
          <w:rFonts w:ascii="Arial" w:cs="Arial" w:eastAsia="Arial" w:hAnsi="Arial"/>
          <w:sz w:val="18"/>
          <w:szCs w:val="18"/>
          <w:color w:val="auto"/>
        </w:rPr>
      </w:pPr>
    </w:p>
    <w:p>
      <w:pPr>
        <w:ind w:left="1480" w:right="200" w:hanging="446"/>
        <w:spacing w:after="0" w:line="268" w:lineRule="auto"/>
        <w:tabs>
          <w:tab w:leader="none" w:pos="1480" w:val="left"/>
        </w:tabs>
        <w:numPr>
          <w:ilvl w:val="0"/>
          <w:numId w:val="9"/>
        </w:numPr>
        <w:rPr>
          <w:rFonts w:ascii="Arial" w:cs="Arial" w:eastAsia="Arial" w:hAnsi="Arial"/>
          <w:sz w:val="18"/>
          <w:szCs w:val="18"/>
          <w:color w:val="auto"/>
        </w:rPr>
      </w:pPr>
      <w:r>
        <w:rPr>
          <w:rFonts w:ascii="Arial" w:cs="Arial" w:eastAsia="Arial" w:hAnsi="Arial"/>
          <w:sz w:val="18"/>
          <w:szCs w:val="18"/>
          <w:color w:val="auto"/>
        </w:rPr>
        <w:t>continued or worsening disruption to the global supply chain for products manufactured in Japan that are included in the end user products either by us or our customers; and</w:t>
      </w:r>
    </w:p>
    <w:p>
      <w:pPr>
        <w:spacing w:after="0" w:line="50" w:lineRule="exact"/>
        <w:rPr>
          <w:rFonts w:ascii="Arial" w:cs="Arial" w:eastAsia="Arial" w:hAnsi="Arial"/>
          <w:sz w:val="18"/>
          <w:szCs w:val="18"/>
          <w:color w:val="auto"/>
        </w:rPr>
      </w:pPr>
    </w:p>
    <w:p>
      <w:pPr>
        <w:ind w:left="1480" w:hanging="446"/>
        <w:spacing w:after="0"/>
        <w:tabs>
          <w:tab w:leader="none" w:pos="1480" w:val="left"/>
        </w:tabs>
        <w:numPr>
          <w:ilvl w:val="0"/>
          <w:numId w:val="9"/>
        </w:numPr>
        <w:rPr>
          <w:rFonts w:ascii="Arial" w:cs="Arial" w:eastAsia="Arial" w:hAnsi="Arial"/>
          <w:sz w:val="18"/>
          <w:szCs w:val="18"/>
          <w:color w:val="auto"/>
        </w:rPr>
      </w:pPr>
      <w:r>
        <w:rPr>
          <w:rFonts w:ascii="Arial" w:cs="Arial" w:eastAsia="Arial" w:hAnsi="Arial"/>
          <w:sz w:val="18"/>
          <w:szCs w:val="18"/>
          <w:color w:val="auto"/>
        </w:rPr>
        <w:t>other unforeseen impacts as a result of the uncertainty in Japan.</w:t>
      </w:r>
    </w:p>
    <w:p>
      <w:pPr>
        <w:spacing w:after="0" w:line="171"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Moreover, the international nature of our business subjects us to risk associated with the fluctuation of the U.S. dollar versus foreign currencies. Decreases in the value of the U.S. dollar versus currencies in jurisdictions where we have large fixed costs or our third party manufacturers have significant cost will increase the cost of such operations, which could harm our results of operations. For example, we have large fixed costs in Israel, which will become greater if the U.S. dollar declines in value versus the Israeli Shekel. On the other hand, substantially all of our sales have been denominated in U.S. dollars.</w:t>
      </w:r>
    </w:p>
    <w:p>
      <w:pPr>
        <w:spacing w:after="0" w:line="113" w:lineRule="exact"/>
        <w:rPr>
          <w:sz w:val="20"/>
          <w:szCs w:val="20"/>
          <w:color w:val="auto"/>
        </w:rPr>
      </w:pPr>
    </w:p>
    <w:p>
      <w:pPr>
        <w:ind w:right="700"/>
        <w:spacing w:after="0" w:line="332" w:lineRule="auto"/>
        <w:rPr>
          <w:sz w:val="20"/>
          <w:szCs w:val="20"/>
          <w:color w:val="auto"/>
        </w:rPr>
      </w:pPr>
      <w:r>
        <w:rPr>
          <w:rFonts w:ascii="Arial" w:cs="Arial" w:eastAsia="Arial" w:hAnsi="Arial"/>
          <w:sz w:val="16"/>
          <w:szCs w:val="16"/>
          <w:b w:val="1"/>
          <w:bCs w:val="1"/>
          <w:i w:val="1"/>
          <w:iCs w:val="1"/>
          <w:color w:val="auto"/>
        </w:rPr>
        <w:t>We have made and may continue to make acquisitions and investments, which could divert management’s attention, cause ownership dilution to our shareholders, be difficult to integrate and adversely affect our results of operations and share price.</w:t>
      </w:r>
    </w:p>
    <w:p>
      <w:pPr>
        <w:spacing w:after="0" w:line="85"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and technologies, augment our market segment coverage, or enhance our technological capabilities. We may also enter into strategic alliances or joint ventures to achieve these goals. We cannot assure you that we will be able to identify suitable acquisition, investment, alliance or joint venture opportunities in the future, or that we will be able to consummate any such transactions or relationships on terms and conditions acceptable to us, or that such transactions or relationships will be successful.</w:t>
      </w:r>
    </w:p>
    <w:p>
      <w:pPr>
        <w:spacing w:after="0" w:line="113" w:lineRule="exact"/>
        <w:rPr>
          <w:sz w:val="20"/>
          <w:szCs w:val="20"/>
          <w:color w:val="auto"/>
        </w:rPr>
      </w:pPr>
    </w:p>
    <w:p>
      <w:pPr>
        <w:ind w:right="80" w:firstLine="456"/>
        <w:spacing w:after="0" w:line="254" w:lineRule="auto"/>
        <w:rPr>
          <w:sz w:val="20"/>
          <w:szCs w:val="20"/>
          <w:color w:val="auto"/>
        </w:rPr>
      </w:pPr>
      <w:r>
        <w:rPr>
          <w:rFonts w:ascii="Arial" w:cs="Arial" w:eastAsia="Arial" w:hAnsi="Arial"/>
          <w:sz w:val="18"/>
          <w:szCs w:val="18"/>
          <w:color w:val="auto"/>
        </w:rPr>
        <w:t>Integrating newly acquired businesses or technologies typically entails many risks that could put a strain on our resources, could be costly and time consuming, and might not be successful. In addition, any acquisitions could materially harm our results of operations or liquidity as a result of either the issuance of dilutive equity securities, new debt or contingent liabilities, or payment of cash. Moreover, such acquisitions could divert our management’s attention from other business concerns and also result in customer dissatisfaction. In addition, we might lose key employees of the newly acquired organizations during the acquisition process. The acquisition of another company or its products and technologies may also require us to enter into a geographic or business market in which we have little or no prior experience.</w:t>
      </w:r>
    </w:p>
    <w:p>
      <w:pPr>
        <w:spacing w:after="0" w:line="14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exposed to potential impairment charges on certain assets.</w:t>
      </w:r>
    </w:p>
    <w:p>
      <w:pPr>
        <w:spacing w:after="0" w:line="171"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We had approximately $2.0 billion of goodwill and $123.9 million of intangible assets on our balance sheet as of April 30, 2011. Under GAAP, we are required to review our intangible assets for impairment whenever events or changes in circumstances indicate that the carrying value of these assets may not be recoverable. We perform an annual assessment of goodwill at the beginning of our fiscal fourth quarter and we also assess the impairment of goodwill on an interim basis whenever events or changes in circumstances indicate that the carrying value of such assets may not be recoverable. If the businesses acquired fail to meet our expectations set out at the time of the acquisition or if our market capitalization adjusted for control premiums and other factors declines to below our carrying value, we could incur significant goodwill or intangible impairment charges, which could negatively impact our financial results. In addition, from time to time, we have made investments in other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Impairment charges could have a material impact on our results of operations in any period.</w:t>
      </w:r>
    </w:p>
    <w:p>
      <w:pPr>
        <w:spacing w:after="0" w:line="120" w:lineRule="exact"/>
        <w:rPr>
          <w:sz w:val="20"/>
          <w:szCs w:val="20"/>
          <w:color w:val="auto"/>
        </w:rPr>
      </w:pPr>
    </w:p>
    <w:p>
      <w:pPr>
        <w:ind w:right="120"/>
        <w:spacing w:after="0" w:line="268" w:lineRule="auto"/>
        <w:rPr>
          <w:sz w:val="20"/>
          <w:szCs w:val="20"/>
          <w:color w:val="auto"/>
        </w:rPr>
      </w:pPr>
      <w:r>
        <w:rPr>
          <w:rFonts w:ascii="Arial" w:cs="Arial" w:eastAsia="Arial" w:hAnsi="Arial"/>
          <w:sz w:val="18"/>
          <w:szCs w:val="18"/>
          <w:b w:val="1"/>
          <w:bCs w:val="1"/>
          <w:i w:val="1"/>
          <w:iCs w:val="1"/>
          <w:color w:val="auto"/>
        </w:rPr>
        <w:t>We rely on third party distributors and manufacturers’ representatives and the failure of these distributors and manufacturers’ representatives to perform as expected could reduce our future sales.</w:t>
      </w:r>
    </w:p>
    <w:p>
      <w:pPr>
        <w:spacing w:after="0" w:line="132"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13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420"/>
          </w:cols>
          <w:pgMar w:left="240" w:top="459" w:right="23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Changes in financial accounting standards or practices or existing taxation rules or practices may adversely affect our financial results.</w:t>
      </w:r>
    </w:p>
    <w:p>
      <w:pPr>
        <w:spacing w:after="0" w:line="194" w:lineRule="exact"/>
        <w:rPr>
          <w:sz w:val="20"/>
          <w:szCs w:val="20"/>
          <w:color w:val="auto"/>
        </w:rPr>
      </w:pPr>
    </w:p>
    <w:p>
      <w:pPr>
        <w:ind w:right="240" w:firstLine="456"/>
        <w:spacing w:after="0" w:line="294" w:lineRule="auto"/>
        <w:rPr>
          <w:sz w:val="20"/>
          <w:szCs w:val="20"/>
          <w:color w:val="auto"/>
        </w:rPr>
      </w:pPr>
      <w:r>
        <w:rPr>
          <w:rFonts w:ascii="Arial" w:cs="Arial" w:eastAsia="Arial" w:hAnsi="Arial"/>
          <w:sz w:val="16"/>
          <w:szCs w:val="16"/>
          <w:color w:val="auto"/>
        </w:rPr>
        <w:t>Changes in financial accounting standards or practices or changes in existing taxation rules or practices may have a significant effect on our reported results. New accounting pronouncements and taxation rules and varying interpretations of accounting pronouncements and taxation practice have occurred and may occur in the future. For example, the U.S. Congress may consider legislation affecting the taxation of foreign corporations and such legislation if enacted might adversely affect our future tax liabilities and have a material impact on our results of operations. Changes to existing rules or the questioning of current practices by regulators may adversely affect our reported financial results or the way we conduct our business or cause our stock price to decline.</w:t>
      </w:r>
    </w:p>
    <w:p>
      <w:pPr>
        <w:spacing w:after="0" w:line="11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that we receive may be terminated or reduced in the future, which would harm our results of operations and profitability.</w:t>
      </w:r>
    </w:p>
    <w:p>
      <w:pPr>
        <w:spacing w:after="0" w:line="171"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In prior years, we have entered into agreements with the local governments in certain foreign jurisdictions where we have significant operations to provide us with favorable tax rates in those jurisdictions if certain criteria are met.</w:t>
      </w:r>
    </w:p>
    <w:p>
      <w:pPr>
        <w:spacing w:after="0" w:line="132" w:lineRule="exact"/>
        <w:rPr>
          <w:sz w:val="20"/>
          <w:szCs w:val="20"/>
          <w:color w:val="auto"/>
        </w:rPr>
      </w:pPr>
    </w:p>
    <w:p>
      <w:pPr>
        <w:ind w:right="240" w:firstLine="456"/>
        <w:spacing w:after="0" w:line="332" w:lineRule="auto"/>
        <w:rPr>
          <w:sz w:val="20"/>
          <w:szCs w:val="20"/>
          <w:color w:val="auto"/>
        </w:rPr>
      </w:pPr>
      <w:r>
        <w:rPr>
          <w:rFonts w:ascii="Arial" w:cs="Arial" w:eastAsia="Arial" w:hAnsi="Arial"/>
          <w:sz w:val="16"/>
          <w:szCs w:val="16"/>
          <w:color w:val="auto"/>
        </w:rPr>
        <w:t>We obtained from the Minister of Finance of Bermuda under the Exempt Undertakings Tax Protection Act 1966, as amended, an undertaking that, in the event that Bermuda enacts legislation imposing tax computed on income and capital gains, those taxes should not apply to us until March 28, 2016.</w:t>
      </w:r>
    </w:p>
    <w:p>
      <w:pPr>
        <w:spacing w:after="0" w:line="85"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The Economic Development Board of Singapore (the “EDB”) granted Pioneer Status to our wholly-owned subsidiary in Singapore in July 1999. This tax exemption was to expire after ten years, but the EDB in June 2006 agreed to extend the term to 15 years. As a result, we anticipate that a significant portion of the income we earn in Singapore during this period will be exempt from the Singapore income tax. We are required to meet several requirements as to investment, headcount and activities in Singapore to retain this status.</w:t>
      </w:r>
    </w:p>
    <w:p>
      <w:pPr>
        <w:spacing w:after="0" w:line="143" w:lineRule="exact"/>
        <w:rPr>
          <w:sz w:val="20"/>
          <w:szCs w:val="20"/>
          <w:color w:val="auto"/>
        </w:rPr>
      </w:pPr>
    </w:p>
    <w:p>
      <w:pPr>
        <w:ind w:right="100" w:firstLine="456"/>
        <w:spacing w:after="0" w:line="291" w:lineRule="auto"/>
        <w:rPr>
          <w:sz w:val="20"/>
          <w:szCs w:val="20"/>
          <w:color w:val="auto"/>
        </w:rPr>
      </w:pPr>
      <w:r>
        <w:rPr>
          <w:rFonts w:ascii="Arial" w:cs="Arial" w:eastAsia="Arial" w:hAnsi="Arial"/>
          <w:sz w:val="16"/>
          <w:szCs w:val="16"/>
          <w:color w:val="auto"/>
        </w:rPr>
        <w:t>Under the Israeli Encouragement law of “approved or benefited enterprise,” two branches of Marvell Israel (“MISL”), the GTL branch and the cellular branch (formerly Marvell DSPC), are entitled to a beneficial tax program that includes reduced tax rates and exemption of certain income. The first program was approved for MISL in 1995 and the most recent was approved in 2003. Marvell DSPC has five approved programs, with the first approved in 1990 and the most recent approved in 2010. The benefit period is generally 10 to 15 years and begins in the first year in which our Israeli divisions earn taxable income from the approved or benefited enterprises, provided the maximum period has not elapsed. Income from the approved or benefited enterprises is subject to reduced tax rates ranging between 0% and 10% or tax exemptions for fiscal years 2008 through 2020.</w:t>
      </w:r>
    </w:p>
    <w:p>
      <w:pPr>
        <w:spacing w:after="0" w:line="120"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During fiscal 2007, our Switzerland subsidiary received a ten-year Federal and Cantonal tax holiday on revenues from research and design and wafer supply trading activities that will expire in 2017. In fiscal 2011, we met the requirements of the initial five year period and we will receive the ongoing tax holiday benefits provided that we continue to meet the ongoing requirements.</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If any of our tax agreements in any of these foreign jurisdictions were terminated, our results of our operations and profitability would be harmed.</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171" w:lineRule="exact"/>
        <w:rPr>
          <w:sz w:val="20"/>
          <w:szCs w:val="20"/>
          <w:color w:val="auto"/>
        </w:rPr>
      </w:pPr>
    </w:p>
    <w:p>
      <w:pPr>
        <w:ind w:right="60" w:firstLine="456"/>
        <w:spacing w:after="0" w:line="286"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and acquired since our inception. If we fail to protect these intellectual property rights, competitors could sell products based on technology that we have developed that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U.S. and foreign patents and have a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 If our patents do not adequately protect our technology, our competitors may be able to offer products similar to ours, which would adversely impact our business and results of operations.</w:t>
      </w:r>
    </w:p>
    <w:p>
      <w:pPr>
        <w:spacing w:after="0" w:line="124" w:lineRule="exact"/>
        <w:rPr>
          <w:sz w:val="20"/>
          <w:szCs w:val="20"/>
          <w:color w:val="auto"/>
        </w:rPr>
      </w:pPr>
    </w:p>
    <w:p>
      <w:pPr>
        <w:ind w:right="20" w:firstLine="395"/>
        <w:spacing w:after="0" w:line="288" w:lineRule="auto"/>
        <w:rPr>
          <w:sz w:val="20"/>
          <w:szCs w:val="20"/>
          <w:color w:val="auto"/>
        </w:rPr>
      </w:pPr>
      <w:r>
        <w:rPr>
          <w:rFonts w:ascii="Arial" w:cs="Arial" w:eastAsia="Arial" w:hAnsi="Arial"/>
          <w:sz w:val="16"/>
          <w:szCs w:val="16"/>
          <w:color w:val="auto"/>
        </w:rPr>
        <w:t>Certain of our software (as well as that of our customers) may be derived from so-called “open source” software that is generally made available to the public by its authors and/or other third parties. Such open source software is often made available under licenses, such as the GNU General Public License which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customarily used to protect our intellectual property. In addition, there is little or no legal precedent for interpreting the terms of certain of these open source licenses, including the determination of which works are subject to the terms of such licenses.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w:t>
      </w:r>
    </w:p>
    <w:p>
      <w:pPr>
        <w:spacing w:after="0" w:line="10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420"/>
          </w:cols>
          <w:pgMar w:left="240" w:top="459" w:right="23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332" w:lineRule="auto"/>
        <w:rPr>
          <w:sz w:val="20"/>
          <w:szCs w:val="20"/>
          <w:color w:val="auto"/>
        </w:rPr>
      </w:pPr>
      <w:r>
        <w:rPr>
          <w:rFonts w:ascii="Arial" w:cs="Arial" w:eastAsia="Arial" w:hAnsi="Arial"/>
          <w:sz w:val="16"/>
          <w:szCs w:val="16"/>
          <w:b w:val="1"/>
          <w:bCs w:val="1"/>
          <w:i w:val="1"/>
          <w:iCs w:val="1"/>
          <w:color w:val="auto"/>
        </w:rPr>
        <w:t>We may become involved with costly and lengthy litigation involving our patents and other intellectual property, which could subject us to liability, require us to indemnify our customers, require us to obtain or renew licenses, stop selling our products or force us to redesign our products.</w:t>
      </w:r>
    </w:p>
    <w:p>
      <w:pPr>
        <w:spacing w:after="0" w:line="85"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From time to time our subsidiaries and customers receive, and may continue to receive in the future, notices that allege claims of infringement, misappropriation or misuse of the intellectual property rights of third parties. For example, in recent years, multiple claims have been made against our subsidiaries and our customers related to standards-based technologies such as wireless LAN. In addition, we have had certain patent licenses with third parties that have not been renewed, and if we cannot successfully renew these licenses, our subsidiaries and customers could face claims of infringement.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37" w:lineRule="exact"/>
        <w:rPr>
          <w:sz w:val="20"/>
          <w:szCs w:val="20"/>
          <w:color w:val="auto"/>
        </w:rPr>
      </w:pPr>
    </w:p>
    <w:p>
      <w:pPr>
        <w:ind w:left="900" w:right="400" w:hanging="325"/>
        <w:spacing w:after="0" w:line="268"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90" w:lineRule="exact"/>
        <w:rPr>
          <w:rFonts w:ascii="Arial" w:cs="Arial" w:eastAsia="Arial" w:hAnsi="Arial"/>
          <w:sz w:val="18"/>
          <w:szCs w:val="18"/>
          <w:color w:val="auto"/>
        </w:rPr>
      </w:pPr>
    </w:p>
    <w:p>
      <w:pPr>
        <w:ind w:left="900" w:right="40" w:hanging="325"/>
        <w:spacing w:after="0" w:line="268"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that could adversely impact our liquidity or operating results;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171" w:lineRule="exact"/>
        <w:rPr>
          <w:sz w:val="20"/>
          <w:szCs w:val="20"/>
          <w:color w:val="auto"/>
        </w:rPr>
      </w:pPr>
    </w:p>
    <w:p>
      <w:pPr>
        <w:ind w:right="60" w:firstLine="456"/>
        <w:spacing w:after="0" w:line="306" w:lineRule="auto"/>
        <w:rPr>
          <w:sz w:val="20"/>
          <w:szCs w:val="20"/>
          <w:color w:val="auto"/>
        </w:rPr>
      </w:pPr>
      <w:r>
        <w:rPr>
          <w:rFonts w:ascii="Arial" w:cs="Arial" w:eastAsia="Arial" w:hAnsi="Arial"/>
          <w:sz w:val="16"/>
          <w:szCs w:val="16"/>
          <w:color w:val="auto"/>
        </w:rPr>
        <w:t>We may also be required to indemnify some customers under our contracts if a third party alleges, or a court finds, that our products have infringed upon the proprietary rights of other parties. From time to time, we have agreed to indemnify select customers for claims made against our products, where such claims allege infringement of third party intellectual property rights, including, but not limited to, patents, registered trademarks and/or copyrights.</w:t>
      </w:r>
    </w:p>
    <w:p>
      <w:pPr>
        <w:spacing w:after="0" w:line="107" w:lineRule="exact"/>
        <w:rPr>
          <w:sz w:val="20"/>
          <w:szCs w:val="20"/>
          <w:color w:val="auto"/>
        </w:rPr>
      </w:pPr>
    </w:p>
    <w:p>
      <w:pPr>
        <w:jc w:val="both"/>
        <w:ind w:right="260"/>
        <w:spacing w:after="0" w:line="370" w:lineRule="auto"/>
        <w:rPr>
          <w:sz w:val="20"/>
          <w:szCs w:val="20"/>
          <w:color w:val="auto"/>
        </w:rPr>
      </w:pPr>
      <w:r>
        <w:rPr>
          <w:rFonts w:ascii="Arial" w:cs="Arial" w:eastAsia="Arial" w:hAnsi="Arial"/>
          <w:sz w:val="15"/>
          <w:szCs w:val="15"/>
          <w:b w:val="1"/>
          <w:bCs w:val="1"/>
          <w:i w:val="1"/>
          <w:iCs w:val="1"/>
          <w:color w:val="auto"/>
        </w:rPr>
        <w:t>We have been named as a party to several lawsuits and we may be named in additional litigation in the future, all of which could result in an unfavorable outcome and have a material adverse effect on our business, financial condition, results of operations, cash flows, and the trading price for our securities.</w:t>
      </w:r>
    </w:p>
    <w:p>
      <w:pPr>
        <w:spacing w:after="0" w:line="62"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color w:val="auto"/>
        </w:rPr>
        <w:t>We have been named as a party to several lawsuits and we may be named in additional litigation in the future. Please see “Note 9 – Commitments and Contingencies” of our notes to the Consolidated Financial Statements set forth in Part I, Item 1 of this Quarterly Report on Form 10-Q for a more detailed description of a number of the litigation matters we are currently engaged in. Under certain circumstances, we have contractual and other legal obligations to indemnify and to incur legal expenses on behalf of current and former directors and officers for these lawsuits. In addition, due to the high volatility of our stock price, we may be vulnerable to securities class action litigation. The ultimate outcome of these actions could have a material adverse effect on our business and the trading price for our securities. Litigation may be time-consuming, expensive, and disruptive to normal business operations, and the outcome of litigation is difficult to predict. The defense of these lawsuits may result in significant expenditures and the continued diversion of our management’s time and attention from the operation of our business, which could impede our business. In the event we were to receive an unfavorable outcome in any lawsuit, our business, financial condition, results of operations, cash flows and the trading price of our securities may be materially and adversely affected.</w:t>
      </w:r>
    </w:p>
    <w:p>
      <w:pPr>
        <w:spacing w:after="0" w:line="120" w:lineRule="exact"/>
        <w:rPr>
          <w:sz w:val="20"/>
          <w:szCs w:val="20"/>
          <w:color w:val="auto"/>
        </w:rPr>
      </w:pPr>
    </w:p>
    <w:p>
      <w:pPr>
        <w:ind w:right="660"/>
        <w:spacing w:after="0" w:line="268" w:lineRule="auto"/>
        <w:rPr>
          <w:sz w:val="20"/>
          <w:szCs w:val="20"/>
          <w:color w:val="auto"/>
        </w:rPr>
      </w:pPr>
      <w:r>
        <w:rPr>
          <w:rFonts w:ascii="Arial" w:cs="Arial" w:eastAsia="Arial" w:hAnsi="Arial"/>
          <w:sz w:val="18"/>
          <w:szCs w:val="18"/>
          <w:b w:val="1"/>
          <w:bCs w:val="1"/>
          <w:i w:val="1"/>
          <w:iCs w:val="1"/>
          <w:color w:val="auto"/>
        </w:rPr>
        <w:t>As a result of the settlement with the SEC, we cannot invoke the “safe harbor” for the forward-looking statements provision of the Private Securities Litigation Reform Act of 1995 for three years following the entry of judgment.</w:t>
      </w:r>
    </w:p>
    <w:p>
      <w:pPr>
        <w:spacing w:after="0" w:line="132" w:lineRule="exact"/>
        <w:rPr>
          <w:sz w:val="20"/>
          <w:szCs w:val="20"/>
          <w:color w:val="auto"/>
        </w:rPr>
      </w:pPr>
    </w:p>
    <w:p>
      <w:pPr>
        <w:ind w:right="180" w:firstLine="456"/>
        <w:spacing w:after="0" w:line="291" w:lineRule="auto"/>
        <w:rPr>
          <w:sz w:val="20"/>
          <w:szCs w:val="20"/>
          <w:color w:val="auto"/>
        </w:rPr>
      </w:pPr>
      <w:r>
        <w:rPr>
          <w:rFonts w:ascii="Arial" w:cs="Arial" w:eastAsia="Arial" w:hAnsi="Arial"/>
          <w:sz w:val="16"/>
          <w:szCs w:val="16"/>
          <w:color w:val="auto"/>
        </w:rPr>
        <w:t>On May 8, 2008, we announced that we had reached an agreement with the SEC that concluded the SEC’s formal investigation of us with respect to our historic stock option granting practices. As a result of our SEC settlement, we have forfeited for three years following the entry of judgment, or until June 20, 2011, the ability to invoke the “safe harbor” for the forward-looking statements provision of the Private Securities Litigation Reform Act of 1995. This safe harbor provided us enhanced protection from liability related to forward-looking statements if the forward-looking statements were either accompanied by meaningful cautionary statements or were made without actual knowledge that they were false or misleading. Without the statutory safe harbor, it may be more difficult for us to defend against any claims based on forward-looking statements.</w:t>
      </w:r>
    </w:p>
    <w:p>
      <w:pPr>
        <w:spacing w:after="0" w:line="10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380"/>
          </w:cols>
          <w:pgMar w:left="240" w:top="459" w:right="27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520"/>
        <w:spacing w:after="0" w:line="268" w:lineRule="auto"/>
        <w:rPr>
          <w:sz w:val="20"/>
          <w:szCs w:val="20"/>
          <w:color w:val="auto"/>
        </w:rPr>
      </w:pPr>
      <w:r>
        <w:rPr>
          <w:rFonts w:ascii="Arial" w:cs="Arial" w:eastAsia="Arial" w:hAnsi="Arial"/>
          <w:sz w:val="18"/>
          <w:szCs w:val="18"/>
          <w:b w:val="1"/>
          <w:bCs w:val="1"/>
          <w:i w:val="1"/>
          <w:iCs w:val="1"/>
          <w:color w:val="auto"/>
        </w:rPr>
        <w:t>We depend on key personnel to manage our business, and if we are unable to retain our current personnel and hire additional personnel, our ability to develop and successfully market our products could be harmed.</w:t>
      </w:r>
    </w:p>
    <w:p>
      <w:pPr>
        <w:spacing w:after="0" w:line="132"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We believe our future success will depend in large part upon our ability to attract and retain highly skilled managerial, engineering, sales and marketing personnel. The loss of key employees or the inability to attract qualified personnel, including hardware and software engineers and sales and marketing personnel could delay the development and introduction of and harm our ability to sell our products. We typically do not enter into employment agreements with any of our key technical personnel, and their knowledge of our business and industry would be extremely difficult to replace.</w:t>
      </w:r>
    </w:p>
    <w:p>
      <w:pPr>
        <w:spacing w:after="0" w:line="113"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The competition for qualified technical personnel with significant experience in the design, development, manufacturing, marketing and sales of integrated circuits is intense. It is important that we are able to identify, hire and retain engineers who are familiar with the intricacies of the design and manufacture of products based on analog technology. Our key technical personnel represent a significant asset and serve as the source of our technological and product innovations. We may not be successful in attracting and retaining sufficient numbers of technical personnel to develop new products or enhance existing products in a timely manner.</w:t>
      </w:r>
    </w:p>
    <w:p>
      <w:pPr>
        <w:spacing w:after="0" w:line="143" w:lineRule="exact"/>
        <w:rPr>
          <w:sz w:val="20"/>
          <w:szCs w:val="20"/>
          <w:color w:val="auto"/>
        </w:rPr>
      </w:pPr>
    </w:p>
    <w:p>
      <w:pPr>
        <w:jc w:val="both"/>
        <w:ind w:right="180"/>
        <w:spacing w:after="0" w:line="259" w:lineRule="auto"/>
        <w:rPr>
          <w:sz w:val="20"/>
          <w:szCs w:val="20"/>
          <w:color w:val="auto"/>
        </w:rPr>
      </w:pPr>
      <w:r>
        <w:rPr>
          <w:rFonts w:ascii="Arial" w:cs="Arial" w:eastAsia="Arial" w:hAnsi="Arial"/>
          <w:sz w:val="18"/>
          <w:szCs w:val="18"/>
          <w:b w:val="1"/>
          <w:bCs w:val="1"/>
          <w:i w:val="1"/>
          <w:iCs w:val="1"/>
          <w:color w:val="auto"/>
        </w:rPr>
        <w:t>If our internal control over financial reporting or disclosure controls and procedures are not effective, there may be errors in our financial statements that could require a restatement or our filings may not be filed on a timely basis and investors may lose confidence in our reported financial information, which could lead to a decline in our stock price.</w:t>
      </w:r>
    </w:p>
    <w:p>
      <w:pPr>
        <w:spacing w:after="0" w:line="140"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We believe that effective internal controls are necessary for us to provide reliable financial reports and effectively prevent fraud. Any inability to provide reliable financial reports or prevent fraud could harm our business. The Sarbanes-Oxley Act of 2002 requires management and our auditors to evaluate and assess the effectiveness of our internal control over financial reporting, as of the end of each year, and to include a management report assessing the effectiveness of our internal control over financial reporting in each Annual Report on Form 10-K.</w:t>
      </w:r>
    </w:p>
    <w:p>
      <w:pPr>
        <w:spacing w:after="0" w:line="143"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Our management, including our Chief Executive Officer and Chief Financial Officer, does not expect that our internal control over financial reporting will prevent all error and all fraud. These inherent limitations include the realities that judgments in decision making can be faulty, breakdowns can occur because of simple errors, and errors discovered by personnel within control systems may not be properly disclosed and addressed. Controls can also be circumvented by the individual acts of some persons, by collusion of two or more people, or by management override of the controls. A control system, no matter how well designed and operated, can provide only reasonable, not absolute, assurance that the control system’s objectives will be met. Further, the design of a control system must reflect the fact that there are resource constraints, and the benefits of controls must be considered relative to their costs. In addition, we are consistently evaluating the design and operating effectiveness of our internal controls, a process which sometimes leads to modifications in such controls. These modifications could affect the overall effectiveness or evaluation of the control system in the future by us or our independent registered public accounting firm. The design of any system of controls is based in part on certain assumptions about the likelihood of future events, and we cannot assure you that any design will succeed in achieving its stated goals under all potential future conditions. Over time, controls may become inadequate because of changes in conditions or deterioration in the degree of compliance with policies or procedures. Because of the inherent limitations in a cost-effective control system, misstatements due to error or fraud may occur and not be detected.</w:t>
      </w:r>
    </w:p>
    <w:p>
      <w:pPr>
        <w:spacing w:after="0" w:line="124" w:lineRule="exact"/>
        <w:rPr>
          <w:sz w:val="20"/>
          <w:szCs w:val="20"/>
          <w:color w:val="auto"/>
        </w:rPr>
      </w:pPr>
    </w:p>
    <w:p>
      <w:pPr>
        <w:ind w:right="160"/>
        <w:spacing w:after="0" w:line="259" w:lineRule="auto"/>
        <w:rPr>
          <w:sz w:val="20"/>
          <w:szCs w:val="20"/>
          <w:color w:val="auto"/>
        </w:rPr>
      </w:pPr>
      <w:r>
        <w:rPr>
          <w:rFonts w:ascii="Arial" w:cs="Arial" w:eastAsia="Arial" w:hAnsi="Arial"/>
          <w:sz w:val="18"/>
          <w:szCs w:val="18"/>
          <w:b w:val="1"/>
          <w:bCs w:val="1"/>
          <w:i w:val="1"/>
          <w:iCs w:val="1"/>
          <w:color w:val="auto"/>
        </w:rPr>
        <w:t>Two of our officers and directors own a large percentage of our voting stock, and, together with another employee who is also a significant shareholder, are related by blood or marriage. These factors may allow the officers and directors as a group or the three related employees to influence the election of directors and the approval or disapproval of significant corporate actions.</w:t>
      </w:r>
    </w:p>
    <w:p>
      <w:pPr>
        <w:spacing w:after="0" w:line="140"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Dr. Sehat Sutardja, our President and Chief Executive Officer, and Weili Dai, who serves as the Vice President of Sales for Communications and Consumer Business of MSI and Vice President and General Manager of Communications and Computing Business Unit of MSI, are husband and wife, and Dr. Sehat Sutardja and Dr. Pantas Sutardja, our Vice President, Chief Technology Officer and Chief Research and Development Officer, are brothers. Together, these three individuals held approximately 17% of our outstanding common shares as of April 30, 2011. As a result, if these individuals act together, they may influence the election of our directors and the approval or disapproval of any significant corporate actions that require shareholder approval. This influence over our affairs might be adverse to the interests of other shareholders. For instance, the voting power of these individuals could have the effect of delaying or preventing an acquisition of us on terms that other shareholders may desire.</w:t>
      </w:r>
    </w:p>
    <w:p>
      <w:pPr>
        <w:spacing w:after="0" w:line="118"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w:t>
      </w:r>
    </w:p>
    <w:p>
      <w:pPr>
        <w:spacing w:after="0" w:line="1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400"/>
          </w:cols>
          <w:pgMar w:left="240" w:top="459" w:right="25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6"/>
          <w:szCs w:val="16"/>
          <w:color w:val="auto"/>
        </w:rPr>
        <w:t>a direct claim against the majority shareholders in the event the majority shareholders take actions that damage the interests of minority shareholders.</w:t>
      </w:r>
    </w:p>
    <w:p>
      <w:pPr>
        <w:spacing w:after="0" w:line="38" w:lineRule="exact"/>
        <w:rPr>
          <w:sz w:val="20"/>
          <w:szCs w:val="20"/>
          <w:color w:val="auto"/>
        </w:rPr>
      </w:pPr>
    </w:p>
    <w:p>
      <w:pPr>
        <w:spacing w:after="0" w:line="292" w:lineRule="auto"/>
        <w:rPr>
          <w:sz w:val="20"/>
          <w:szCs w:val="20"/>
          <w:color w:val="auto"/>
        </w:rPr>
      </w:pPr>
      <w:r>
        <w:rPr>
          <w:rFonts w:ascii="Arial" w:cs="Arial" w:eastAsia="Arial" w:hAnsi="Arial"/>
          <w:sz w:val="16"/>
          <w:szCs w:val="16"/>
          <w:color w:val="auto"/>
        </w:rPr>
        <w:t>Class actions and derivative actions are generally not available to shareholders under the laws of Bermuda, except that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Third Amended and Restated Bye-Laws (“Bye-Laws”). Furthermore, consideration would be given by a Bermuda court to acts that are alleged to constitute a fraud against the minority shareholders or, for instance, where an act requiring the approval of a greater percentage of the company’s shareholders than those who actually approved it.</w:t>
      </w:r>
    </w:p>
    <w:p>
      <w:pPr>
        <w:spacing w:after="0" w:line="117"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The Companies Act 1981 of Bermuda, as amended, provides that when one or more shareholders believes the affairs of a company are being conducted in a manner which is prejudicial to the interest of some of the shareholders, a Bermuda court, upon petition, may make such order as it sees fit, including an order regulating the conduct of the company’s affairs in the future or ordering the purchase of the shares of any shareholders by other shareholders or by the company, and in the case of a purchase of the shares by the company, for the reduction accordingly of the company’s capital or otherwise.</w:t>
      </w:r>
    </w:p>
    <w:p>
      <w:pPr>
        <w:spacing w:after="0" w:line="113" w:lineRule="exact"/>
        <w:rPr>
          <w:sz w:val="20"/>
          <w:szCs w:val="20"/>
          <w:color w:val="auto"/>
        </w:rPr>
      </w:pPr>
    </w:p>
    <w:p>
      <w:pPr>
        <w:ind w:right="180"/>
        <w:spacing w:after="0" w:line="268" w:lineRule="auto"/>
        <w:rPr>
          <w:sz w:val="20"/>
          <w:szCs w:val="20"/>
          <w:color w:val="auto"/>
        </w:rPr>
      </w:pPr>
      <w:r>
        <w:rPr>
          <w:rFonts w:ascii="Arial" w:cs="Arial" w:eastAsia="Arial" w:hAnsi="Arial"/>
          <w:sz w:val="18"/>
          <w:szCs w:val="18"/>
          <w:b w:val="1"/>
          <w:bCs w:val="1"/>
          <w:i w:val="1"/>
          <w:iCs w:val="1"/>
          <w:color w:val="auto"/>
        </w:rPr>
        <w:t>We rely upon certain critical information systems for the operation of our business, and the failure of any critical information system, may result in serious harm to our business.</w:t>
      </w:r>
    </w:p>
    <w:p>
      <w:pPr>
        <w:spacing w:after="0" w:line="132"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We maintain and rely upon certain critical information systems for the effective operation of our business. These information systems include telecommunications, the Internet, our corporate intranet, various computer hardware and software applications, network communications and e-mail. These information systems are subject to attacks, failures and access denials from a number of potential sources including viruses, destructive or inadequate code, power failures, and physical damage to computers, communication lines and networking equipment. To the extent that these information systems are under our control, we have implemented security procedures, such as virus protection software and emergency recovery processes, to address the outlined risks. While we believe that our information systems are appropriately controlled and that we have processes in place to adequately manage these risks, security procedures for information systems cannot be guaranteed to be failsafe and our inability to use or access these information systems at critical points in time could unfavorably impact the timely and efficient operation of our business.</w:t>
      </w:r>
    </w:p>
    <w:p>
      <w:pPr>
        <w:spacing w:after="0" w:line="118"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171"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Our U.S. headquarters located in Santa Clara, California, and our buildings in Singapore, Etoy, Switzerland and Shanghai, China subject us to the risks of owning real property, which include:</w:t>
      </w:r>
    </w:p>
    <w:p>
      <w:pPr>
        <w:spacing w:after="0" w:line="51" w:lineRule="exact"/>
        <w:rPr>
          <w:sz w:val="20"/>
          <w:szCs w:val="20"/>
          <w:color w:val="auto"/>
        </w:rPr>
      </w:pPr>
    </w:p>
    <w:p>
      <w:pPr>
        <w:ind w:left="900" w:hanging="446"/>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90" w:lineRule="exact"/>
        <w:rPr>
          <w:rFonts w:ascii="Arial" w:cs="Arial" w:eastAsia="Arial" w:hAnsi="Arial"/>
          <w:sz w:val="18"/>
          <w:szCs w:val="18"/>
          <w:color w:val="auto"/>
        </w:rPr>
      </w:pPr>
    </w:p>
    <w:p>
      <w:pPr>
        <w:ind w:left="900" w:right="140" w:hanging="446"/>
        <w:spacing w:after="0" w:line="268" w:lineRule="auto"/>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11"/>
        </w:numPr>
        <w:rPr>
          <w:rFonts w:ascii="Arial" w:cs="Arial" w:eastAsia="Arial" w:hAnsi="Arial"/>
          <w:sz w:val="16"/>
          <w:szCs w:val="16"/>
          <w:color w:val="auto"/>
        </w:rPr>
      </w:pPr>
      <w:r>
        <w:rPr>
          <w:rFonts w:ascii="Arial" w:cs="Arial" w:eastAsia="Arial" w:hAnsi="Arial"/>
          <w:sz w:val="16"/>
          <w:szCs w:val="16"/>
          <w:color w:val="auto"/>
        </w:rPr>
        <w:t>the potential disruption of our business and operations arising from or connected with a relocation due to moving to or renovating the facility;</w:t>
      </w:r>
    </w:p>
    <w:p>
      <w:pPr>
        <w:spacing w:after="0" w:line="113" w:lineRule="exact"/>
        <w:rPr>
          <w:rFonts w:ascii="Arial" w:cs="Arial" w:eastAsia="Arial" w:hAnsi="Arial"/>
          <w:sz w:val="16"/>
          <w:szCs w:val="16"/>
          <w:color w:val="auto"/>
        </w:rPr>
      </w:pPr>
    </w:p>
    <w:p>
      <w:pPr>
        <w:ind w:left="900" w:hanging="446"/>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90" w:lineRule="exact"/>
        <w:rPr>
          <w:rFonts w:ascii="Arial" w:cs="Arial" w:eastAsia="Arial" w:hAnsi="Arial"/>
          <w:sz w:val="18"/>
          <w:szCs w:val="18"/>
          <w:color w:val="auto"/>
        </w:rPr>
      </w:pPr>
    </w:p>
    <w:p>
      <w:pPr>
        <w:ind w:left="900" w:right="40" w:hanging="446"/>
        <w:spacing w:after="0" w:line="268" w:lineRule="auto"/>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 or other natural disasters.</w:t>
      </w:r>
    </w:p>
    <w:p>
      <w:pPr>
        <w:spacing w:after="0" w:line="132" w:lineRule="exact"/>
        <w:rPr>
          <w:sz w:val="20"/>
          <w:szCs w:val="20"/>
          <w:color w:val="auto"/>
        </w:rPr>
      </w:pPr>
    </w:p>
    <w:p>
      <w:pPr>
        <w:ind w:right="20"/>
        <w:spacing w:after="0" w:line="268" w:lineRule="auto"/>
        <w:rPr>
          <w:sz w:val="20"/>
          <w:szCs w:val="20"/>
          <w:color w:val="auto"/>
        </w:rPr>
      </w:pPr>
      <w:r>
        <w:rPr>
          <w:rFonts w:ascii="Arial" w:cs="Arial" w:eastAsia="Arial" w:hAnsi="Arial"/>
          <w:sz w:val="18"/>
          <w:szCs w:val="18"/>
          <w:b w:val="1"/>
          <w:bCs w:val="1"/>
          <w:i w:val="1"/>
          <w:iCs w:val="1"/>
          <w:color w:val="auto"/>
        </w:rPr>
        <w:t>As we carry only limited insurance coverage, any incurred liability resulting from uncovered claims could adversely affect our financial condition and results of operations.</w:t>
      </w:r>
    </w:p>
    <w:p>
      <w:pPr>
        <w:spacing w:after="0" w:line="132" w:lineRule="exact"/>
        <w:rPr>
          <w:sz w:val="20"/>
          <w:szCs w:val="20"/>
          <w:color w:val="auto"/>
        </w:rPr>
      </w:pPr>
    </w:p>
    <w:p>
      <w:pPr>
        <w:ind w:right="160" w:firstLine="456"/>
        <w:spacing w:after="0" w:line="291" w:lineRule="auto"/>
        <w:rPr>
          <w:sz w:val="20"/>
          <w:szCs w:val="20"/>
          <w:color w:val="auto"/>
        </w:rPr>
      </w:pPr>
      <w:r>
        <w:rPr>
          <w:rFonts w:ascii="Arial" w:cs="Arial" w:eastAsia="Arial" w:hAnsi="Arial"/>
          <w:sz w:val="16"/>
          <w:szCs w:val="16"/>
          <w:color w:val="auto"/>
        </w:rPr>
        <w:t>Our insurance policies may not be adequate to fully offset losses from covered incidents, and we do not have coverage for certain losses. For example, there is very limited coverage available with respect to the services provided by our third party foundries and assembly and test subcontractors. In the event of a natural disaster (such as an earthquake or Tsunami), political or military turmoil, widespread health issues or other significant disruptions to their operations, insurance may not adequately protect us from this exposure. We believe our existing insurance coverage is consistent with common practice and economic and availability considerations. However, if our insurance coverage is inadequate to protect us against unforeseen catastrophic losses, any uncovered losses could adversely affect our financial condition and results of operations.</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00"/>
          </w:cols>
          <w:pgMar w:left="240" w:top="459" w:right="25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spacing w:after="0" w:line="306" w:lineRule="auto"/>
        <w:rPr>
          <w:sz w:val="20"/>
          <w:szCs w:val="20"/>
          <w:color w:val="auto"/>
        </w:rPr>
      </w:pPr>
      <w:r>
        <w:rPr>
          <w:rFonts w:ascii="Arial" w:cs="Arial" w:eastAsia="Arial" w:hAnsi="Arial"/>
          <w:sz w:val="16"/>
          <w:szCs w:val="16"/>
          <w:b w:val="1"/>
          <w:bCs w:val="1"/>
          <w:i w:val="1"/>
          <w:iCs w:val="1"/>
          <w:color w:val="auto"/>
        </w:rPr>
        <w:t>We are incorporated in Bermuda, and, as a result, it may not be possible for our shareholders to enforce civil liability provisions of the securities laws of the United States. In addition, our Bye-Laws contain a waiver of claims or rights of action by our shareholders against our officers and directors, which will severely limit our shareholders’ right to assert a claim against our officers and directors under Bermuda law.</w:t>
      </w:r>
    </w:p>
    <w:p>
      <w:pPr>
        <w:spacing w:after="0" w:line="107" w:lineRule="exact"/>
        <w:rPr>
          <w:sz w:val="20"/>
          <w:szCs w:val="20"/>
          <w:color w:val="auto"/>
        </w:rPr>
      </w:pPr>
    </w:p>
    <w:p>
      <w:pPr>
        <w:ind w:right="140" w:firstLine="456"/>
        <w:spacing w:after="0" w:line="290"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18"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120" w:lineRule="exact"/>
        <w:rPr>
          <w:sz w:val="20"/>
          <w:szCs w:val="20"/>
          <w:color w:val="auto"/>
        </w:rPr>
      </w:pPr>
    </w:p>
    <w:p>
      <w:pPr>
        <w:ind w:right="54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90" w:lineRule="exact"/>
        <w:rPr>
          <w:sz w:val="20"/>
          <w:szCs w:val="20"/>
          <w:color w:val="auto"/>
        </w:rPr>
      </w:pPr>
    </w:p>
    <w:p>
      <w:pPr>
        <w:ind w:left="900" w:hanging="446"/>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providing for a classified board of directors; and</w:t>
      </w:r>
    </w:p>
    <w:p>
      <w:pPr>
        <w:spacing w:after="0" w:line="90" w:lineRule="exact"/>
        <w:rPr>
          <w:rFonts w:ascii="Arial" w:cs="Arial" w:eastAsia="Arial" w:hAnsi="Arial"/>
          <w:sz w:val="18"/>
          <w:szCs w:val="18"/>
          <w:color w:val="auto"/>
        </w:rPr>
      </w:pPr>
    </w:p>
    <w:p>
      <w:pPr>
        <w:ind w:left="900" w:right="60" w:hanging="446"/>
        <w:spacing w:after="0" w:line="232" w:lineRule="auto"/>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 xml:space="preserve">requiring a vote of two-thirds of the outstanding shares to approve any change of corporate control in the event the action is not approved by at least 66 </w:t>
      </w:r>
      <w:r>
        <w:rPr>
          <w:rFonts w:ascii="Arial" w:cs="Arial" w:eastAsia="Arial" w:hAnsi="Arial"/>
          <w:sz w:val="11"/>
          <w:szCs w:val="11"/>
          <w:color w:val="auto"/>
        </w:rPr>
        <w:t>2</w:t>
      </w:r>
      <w:r>
        <w:rPr>
          <w:rFonts w:ascii="Arial" w:cs="Arial" w:eastAsia="Arial" w:hAnsi="Arial"/>
          <w:sz w:val="18"/>
          <w:szCs w:val="18"/>
          <w:color w:val="auto"/>
        </w:rPr>
        <w:t>/</w:t>
      </w:r>
      <w:r>
        <w:rPr>
          <w:rFonts w:ascii="Arial" w:cs="Arial" w:eastAsia="Arial" w:hAnsi="Arial"/>
          <w:sz w:val="22"/>
          <w:szCs w:val="22"/>
          <w:color w:val="auto"/>
          <w:vertAlign w:val="subscript"/>
        </w:rPr>
        <w:t>3</w:t>
      </w:r>
      <w:r>
        <w:rPr>
          <w:rFonts w:ascii="Arial" w:cs="Arial" w:eastAsia="Arial" w:hAnsi="Arial"/>
          <w:sz w:val="18"/>
          <w:szCs w:val="18"/>
          <w:color w:val="auto"/>
        </w:rPr>
        <w:t>% of the directors holding office at the date of the Board meeting to approve the action.</w:t>
      </w:r>
    </w:p>
    <w:p>
      <w:pPr>
        <w:spacing w:after="0" w:line="150" w:lineRule="exact"/>
        <w:rPr>
          <w:sz w:val="20"/>
          <w:szCs w:val="20"/>
          <w:color w:val="auto"/>
        </w:rPr>
      </w:pPr>
    </w:p>
    <w:p>
      <w:pPr>
        <w:ind w:right="440" w:firstLine="456"/>
        <w:spacing w:after="0" w:line="259" w:lineRule="auto"/>
        <w:rPr>
          <w:sz w:val="20"/>
          <w:szCs w:val="20"/>
          <w:color w:val="auto"/>
        </w:rPr>
      </w:pPr>
      <w:r>
        <w:rPr>
          <w:rFonts w:ascii="Arial" w:cs="Arial" w:eastAsia="Arial" w:hAnsi="Arial"/>
          <w:sz w:val="18"/>
          <w:szCs w:val="18"/>
          <w:color w:val="auto"/>
        </w:rPr>
        <w:t>These change in corporate control provisions could make it more difficult for a third party to acquire us, even if doing so would be a benefit to our shareholders. However, beginning in calendar year 2011, our classified board of directors will be phased out and by calendar year 2013 all directors will be subject to annual election.</w:t>
      </w:r>
    </w:p>
    <w:p>
      <w:pPr>
        <w:spacing w:after="0" w:line="12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360"/>
          </w:cols>
          <w:pgMar w:left="240" w:top="459" w:right="29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There were no sales of unregistered securities during the three months ended April 30, 2011.</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Issuer Purchases of Equity Securities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presents details of our repurchases during the three months ended April 30, 2011 (in thousands, except per share data):</w:t>
      </w:r>
    </w:p>
    <w:p>
      <w:pPr>
        <w:spacing w:after="0" w:line="21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58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700" w:type="dxa"/>
            <w:vAlign w:val="bottom"/>
          </w:tcPr>
          <w:p>
            <w:pPr>
              <w:jc w:val="center"/>
              <w:spacing w:after="0"/>
              <w:rPr>
                <w:sz w:val="20"/>
                <w:szCs w:val="20"/>
                <w:color w:val="auto"/>
              </w:rPr>
            </w:pPr>
            <w:r>
              <w:rPr>
                <w:rFonts w:ascii="Arial" w:cs="Arial" w:eastAsia="Arial" w:hAnsi="Arial"/>
                <w:sz w:val="14"/>
                <w:szCs w:val="14"/>
                <w:b w:val="1"/>
                <w:bCs w:val="1"/>
                <w:color w:val="auto"/>
                <w:w w:val="86"/>
              </w:rPr>
              <w:t>Total Number of Shares</w:t>
            </w:r>
          </w:p>
        </w:tc>
        <w:tc>
          <w:tcPr>
            <w:tcW w:w="760" w:type="dxa"/>
            <w:vAlign w:val="bottom"/>
          </w:tcPr>
          <w:p>
            <w:pPr>
              <w:spacing w:after="0"/>
              <w:rPr>
                <w:sz w:val="14"/>
                <w:szCs w:val="14"/>
                <w:color w:val="auto"/>
              </w:rPr>
            </w:pPr>
          </w:p>
        </w:tc>
        <w:tc>
          <w:tcPr>
            <w:tcW w:w="1840" w:type="dxa"/>
            <w:vAlign w:val="bottom"/>
            <w:gridSpan w:val="3"/>
          </w:tcPr>
          <w:p>
            <w:pPr>
              <w:jc w:val="right"/>
              <w:ind w:right="100"/>
              <w:spacing w:after="0"/>
              <w:rPr>
                <w:sz w:val="20"/>
                <w:szCs w:val="20"/>
                <w:color w:val="auto"/>
              </w:rPr>
            </w:pPr>
            <w:r>
              <w:rPr>
                <w:rFonts w:ascii="Arial" w:cs="Arial" w:eastAsia="Arial" w:hAnsi="Arial"/>
                <w:sz w:val="14"/>
                <w:szCs w:val="14"/>
                <w:b w:val="1"/>
                <w:bCs w:val="1"/>
                <w:color w:val="auto"/>
                <w:w w:val="87"/>
              </w:rPr>
              <w:t>Approximated Dollar Value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580" w:type="dxa"/>
            <w:vAlign w:val="bottom"/>
          </w:tcPr>
          <w:p>
            <w:pPr>
              <w:spacing w:after="0"/>
              <w:rPr>
                <w:sz w:val="12"/>
                <w:szCs w:val="12"/>
                <w:color w:val="auto"/>
              </w:rPr>
            </w:pPr>
          </w:p>
        </w:tc>
        <w:tc>
          <w:tcPr>
            <w:tcW w:w="9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7"/>
              </w:rPr>
              <w:t>Total Number of</w:t>
            </w:r>
          </w:p>
        </w:tc>
        <w:tc>
          <w:tcPr>
            <w:tcW w:w="7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17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Purchased as Part of Publicly</w:t>
            </w:r>
          </w:p>
        </w:tc>
        <w:tc>
          <w:tcPr>
            <w:tcW w:w="7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700" w:type="dxa"/>
            <w:vAlign w:val="bottom"/>
            <w:gridSpan w:val="2"/>
          </w:tcPr>
          <w:p>
            <w:pPr>
              <w:jc w:val="right"/>
              <w:ind w:right="280"/>
              <w:spacing w:after="0" w:line="149" w:lineRule="exact"/>
              <w:rPr>
                <w:sz w:val="20"/>
                <w:szCs w:val="20"/>
                <w:color w:val="auto"/>
              </w:rPr>
            </w:pPr>
            <w:r>
              <w:rPr>
                <w:rFonts w:ascii="Arial" w:cs="Arial" w:eastAsia="Arial" w:hAnsi="Arial"/>
                <w:sz w:val="14"/>
                <w:szCs w:val="14"/>
                <w:b w:val="1"/>
                <w:bCs w:val="1"/>
                <w:color w:val="auto"/>
                <w:w w:val="90"/>
              </w:rPr>
              <w:t>Shares that May Yet Be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580" w:type="dxa"/>
            <w:vAlign w:val="bottom"/>
          </w:tcPr>
          <w:p>
            <w:pPr>
              <w:spacing w:after="0"/>
              <w:rPr>
                <w:sz w:val="12"/>
                <w:szCs w:val="12"/>
                <w:color w:val="auto"/>
              </w:rPr>
            </w:pPr>
          </w:p>
        </w:tc>
        <w:tc>
          <w:tcPr>
            <w:tcW w:w="9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1"/>
              </w:rPr>
              <w:t>Shares</w:t>
            </w:r>
          </w:p>
        </w:tc>
        <w:tc>
          <w:tcPr>
            <w:tcW w:w="780" w:type="dxa"/>
            <w:vAlign w:val="bottom"/>
          </w:tcPr>
          <w:p>
            <w:pPr>
              <w:spacing w:after="0"/>
              <w:rPr>
                <w:sz w:val="12"/>
                <w:szCs w:val="12"/>
                <w:color w:val="auto"/>
              </w:rPr>
            </w:pPr>
          </w:p>
        </w:tc>
        <w:tc>
          <w:tcPr>
            <w:tcW w:w="1640" w:type="dxa"/>
            <w:vAlign w:val="bottom"/>
            <w:gridSpan w:val="3"/>
          </w:tcPr>
          <w:p>
            <w:pPr>
              <w:jc w:val="right"/>
              <w:ind w:right="800"/>
              <w:spacing w:after="0" w:line="149" w:lineRule="exact"/>
              <w:rPr>
                <w:sz w:val="20"/>
                <w:szCs w:val="20"/>
                <w:color w:val="auto"/>
              </w:rPr>
            </w:pPr>
            <w:r>
              <w:rPr>
                <w:rFonts w:ascii="Arial" w:cs="Arial" w:eastAsia="Arial" w:hAnsi="Arial"/>
                <w:sz w:val="14"/>
                <w:szCs w:val="14"/>
                <w:b w:val="1"/>
                <w:bCs w:val="1"/>
                <w:color w:val="auto"/>
                <w:w w:val="87"/>
              </w:rPr>
              <w:t>Average Price</w:t>
            </w:r>
          </w:p>
        </w:tc>
        <w:tc>
          <w:tcPr>
            <w:tcW w:w="17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Announced Plans or</w:t>
            </w:r>
          </w:p>
        </w:tc>
        <w:tc>
          <w:tcPr>
            <w:tcW w:w="760" w:type="dxa"/>
            <w:vAlign w:val="bottom"/>
          </w:tcPr>
          <w:p>
            <w:pPr>
              <w:spacing w:after="0"/>
              <w:rPr>
                <w:sz w:val="12"/>
                <w:szCs w:val="12"/>
                <w:color w:val="auto"/>
              </w:rPr>
            </w:pPr>
          </w:p>
        </w:tc>
        <w:tc>
          <w:tcPr>
            <w:tcW w:w="1840" w:type="dxa"/>
            <w:vAlign w:val="bottom"/>
            <w:gridSpan w:val="3"/>
          </w:tcPr>
          <w:p>
            <w:pPr>
              <w:jc w:val="right"/>
              <w:ind w:right="100"/>
              <w:spacing w:after="0" w:line="149" w:lineRule="exact"/>
              <w:rPr>
                <w:sz w:val="20"/>
                <w:szCs w:val="20"/>
                <w:color w:val="auto"/>
              </w:rPr>
            </w:pPr>
            <w:r>
              <w:rPr>
                <w:rFonts w:ascii="Arial" w:cs="Arial" w:eastAsia="Arial" w:hAnsi="Arial"/>
                <w:sz w:val="14"/>
                <w:szCs w:val="14"/>
                <w:b w:val="1"/>
                <w:bCs w:val="1"/>
                <w:color w:val="auto"/>
                <w:w w:val="85"/>
              </w:rPr>
              <w:t>Purchased Under the Plans or</w:t>
            </w:r>
          </w:p>
        </w:tc>
        <w:tc>
          <w:tcPr>
            <w:tcW w:w="0" w:type="dxa"/>
            <w:vAlign w:val="bottom"/>
          </w:tcPr>
          <w:p>
            <w:pPr>
              <w:spacing w:after="0"/>
              <w:rPr>
                <w:sz w:val="1"/>
                <w:szCs w:val="1"/>
                <w:color w:val="auto"/>
              </w:rPr>
            </w:pPr>
          </w:p>
        </w:tc>
      </w:tr>
      <w:tr>
        <w:trPr>
          <w:trHeight w:val="161"/>
        </w:trPr>
        <w:tc>
          <w:tcPr>
            <w:tcW w:w="3740" w:type="dxa"/>
            <w:vAlign w:val="bottom"/>
            <w:gridSpan w:val="4"/>
          </w:tcPr>
          <w:p>
            <w:pPr>
              <w:spacing w:after="0"/>
              <w:rPr>
                <w:sz w:val="20"/>
                <w:szCs w:val="20"/>
                <w:color w:val="auto"/>
              </w:rPr>
            </w:pPr>
            <w:r>
              <w:rPr>
                <w:rFonts w:ascii="Arial" w:cs="Arial" w:eastAsia="Arial" w:hAnsi="Arial"/>
                <w:sz w:val="14"/>
                <w:szCs w:val="14"/>
                <w:b w:val="1"/>
                <w:bCs w:val="1"/>
                <w:color w:val="auto"/>
              </w:rPr>
              <w:t>Period</w:t>
            </w:r>
          </w:p>
        </w:tc>
        <w:tc>
          <w:tcPr>
            <w:tcW w:w="960" w:type="dxa"/>
            <w:vAlign w:val="bottom"/>
          </w:tcPr>
          <w:p>
            <w:pPr>
              <w:jc w:val="center"/>
              <w:spacing w:after="0"/>
              <w:rPr>
                <w:sz w:val="20"/>
                <w:szCs w:val="20"/>
                <w:color w:val="auto"/>
              </w:rPr>
            </w:pPr>
            <w:r>
              <w:rPr>
                <w:rFonts w:ascii="Arial" w:cs="Arial" w:eastAsia="Arial" w:hAnsi="Arial"/>
                <w:sz w:val="14"/>
                <w:szCs w:val="14"/>
                <w:b w:val="1"/>
                <w:bCs w:val="1"/>
                <w:color w:val="auto"/>
                <w:w w:val="86"/>
              </w:rPr>
              <w:t>Purchased</w:t>
            </w:r>
          </w:p>
        </w:tc>
        <w:tc>
          <w:tcPr>
            <w:tcW w:w="780" w:type="dxa"/>
            <w:vAlign w:val="bottom"/>
          </w:tcPr>
          <w:p>
            <w:pPr>
              <w:spacing w:after="0"/>
              <w:rPr>
                <w:sz w:val="14"/>
                <w:szCs w:val="14"/>
                <w:color w:val="auto"/>
              </w:rPr>
            </w:pPr>
          </w:p>
        </w:tc>
        <w:tc>
          <w:tcPr>
            <w:tcW w:w="1640" w:type="dxa"/>
            <w:vAlign w:val="bottom"/>
            <w:gridSpan w:val="3"/>
          </w:tcPr>
          <w:p>
            <w:pPr>
              <w:jc w:val="right"/>
              <w:ind w:right="780"/>
              <w:spacing w:after="0"/>
              <w:rPr>
                <w:sz w:val="20"/>
                <w:szCs w:val="20"/>
                <w:color w:val="auto"/>
              </w:rPr>
            </w:pPr>
            <w:r>
              <w:rPr>
                <w:rFonts w:ascii="Arial" w:cs="Arial" w:eastAsia="Arial" w:hAnsi="Arial"/>
                <w:sz w:val="14"/>
                <w:szCs w:val="14"/>
                <w:b w:val="1"/>
                <w:bCs w:val="1"/>
                <w:color w:val="auto"/>
                <w:w w:val="85"/>
              </w:rPr>
              <w:t>Paid per Share</w:t>
            </w:r>
          </w:p>
        </w:tc>
        <w:tc>
          <w:tcPr>
            <w:tcW w:w="1700" w:type="dxa"/>
            <w:vAlign w:val="bottom"/>
          </w:tcPr>
          <w:p>
            <w:pPr>
              <w:jc w:val="center"/>
              <w:spacing w:after="0"/>
              <w:rPr>
                <w:sz w:val="20"/>
                <w:szCs w:val="20"/>
                <w:color w:val="auto"/>
              </w:rPr>
            </w:pPr>
            <w:r>
              <w:rPr>
                <w:rFonts w:ascii="Arial" w:cs="Arial" w:eastAsia="Arial" w:hAnsi="Arial"/>
                <w:sz w:val="14"/>
                <w:szCs w:val="14"/>
                <w:b w:val="1"/>
                <w:bCs w:val="1"/>
                <w:color w:val="auto"/>
                <w:w w:val="85"/>
              </w:rPr>
              <w:t>Programs</w:t>
            </w:r>
          </w:p>
        </w:tc>
        <w:tc>
          <w:tcPr>
            <w:tcW w:w="7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700" w:type="dxa"/>
            <w:vAlign w:val="bottom"/>
            <w:gridSpan w:val="2"/>
          </w:tcPr>
          <w:p>
            <w:pPr>
              <w:jc w:val="right"/>
              <w:ind w:right="580"/>
              <w:spacing w:after="0"/>
              <w:rPr>
                <w:sz w:val="20"/>
                <w:szCs w:val="20"/>
                <w:color w:val="auto"/>
              </w:rPr>
            </w:pPr>
            <w:r>
              <w:rPr>
                <w:rFonts w:ascii="Arial" w:cs="Arial" w:eastAsia="Arial" w:hAnsi="Arial"/>
                <w:sz w:val="14"/>
                <w:szCs w:val="14"/>
                <w:b w:val="1"/>
                <w:bCs w:val="1"/>
                <w:color w:val="auto"/>
              </w:rPr>
              <w:t>Programs (1)</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580" w:type="dxa"/>
            <w:vAlign w:val="bottom"/>
          </w:tcPr>
          <w:p>
            <w:pPr>
              <w:spacing w:after="0" w:line="20" w:lineRule="exact"/>
              <w:rPr>
                <w:sz w:val="1"/>
                <w:szCs w:val="1"/>
                <w:color w:val="auto"/>
              </w:rPr>
            </w:pPr>
          </w:p>
        </w:tc>
        <w:tc>
          <w:tcPr>
            <w:tcW w:w="960" w:type="dxa"/>
            <w:vAlign w:val="bottom"/>
            <w:shd w:val="clear" w:color="auto" w:fill="000000"/>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1700" w:type="dxa"/>
            <w:vAlign w:val="bottom"/>
            <w:shd w:val="clear" w:color="auto" w:fill="000000"/>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6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372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January 30 – February 26, 2011</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3,357</w:t>
            </w:r>
          </w:p>
        </w:tc>
        <w:tc>
          <w:tcPr>
            <w:tcW w:w="1060" w:type="dxa"/>
            <w:vAlign w:val="bottom"/>
            <w:gridSpan w:val="2"/>
            <w:shd w:val="clear" w:color="auto" w:fill="CCEEFF"/>
          </w:tcPr>
          <w:p>
            <w:pPr>
              <w:jc w:val="right"/>
              <w:ind w:right="132"/>
              <w:spacing w:after="0"/>
              <w:rPr>
                <w:sz w:val="20"/>
                <w:szCs w:val="20"/>
                <w:color w:val="auto"/>
              </w:rPr>
            </w:pPr>
            <w:r>
              <w:rPr>
                <w:rFonts w:ascii="Arial" w:cs="Arial" w:eastAsia="Arial" w:hAnsi="Arial"/>
                <w:sz w:val="18"/>
                <w:szCs w:val="18"/>
                <w:color w:val="auto"/>
              </w:rPr>
              <w:t>$</w:t>
            </w:r>
          </w:p>
        </w:tc>
        <w:tc>
          <w:tcPr>
            <w:tcW w:w="1360" w:type="dxa"/>
            <w:vAlign w:val="bottom"/>
            <w:gridSpan w:val="2"/>
            <w:shd w:val="clear" w:color="auto" w:fill="CCEEFF"/>
          </w:tcPr>
          <w:p>
            <w:pPr>
              <w:jc w:val="right"/>
              <w:ind w:right="780"/>
              <w:spacing w:after="0"/>
              <w:rPr>
                <w:sz w:val="20"/>
                <w:szCs w:val="20"/>
                <w:color w:val="auto"/>
              </w:rPr>
            </w:pPr>
            <w:r>
              <w:rPr>
                <w:rFonts w:ascii="Arial" w:cs="Arial" w:eastAsia="Arial" w:hAnsi="Arial"/>
                <w:sz w:val="18"/>
                <w:szCs w:val="18"/>
                <w:color w:val="auto"/>
              </w:rPr>
              <w:t>18.97</w:t>
            </w:r>
          </w:p>
        </w:tc>
        <w:tc>
          <w:tcPr>
            <w:tcW w:w="1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3,357</w:t>
            </w: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348,813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20" w:type="dxa"/>
            <w:vAlign w:val="bottom"/>
            <w:gridSpan w:val="3"/>
          </w:tcPr>
          <w:p>
            <w:pPr>
              <w:spacing w:after="0"/>
              <w:rPr>
                <w:sz w:val="20"/>
                <w:szCs w:val="20"/>
                <w:color w:val="auto"/>
              </w:rPr>
            </w:pPr>
            <w:r>
              <w:rPr>
                <w:rFonts w:ascii="Arial" w:cs="Arial" w:eastAsia="Arial" w:hAnsi="Arial"/>
                <w:sz w:val="18"/>
                <w:szCs w:val="18"/>
                <w:color w:val="auto"/>
              </w:rPr>
              <w:t>February 27 – March 26, 2011</w:t>
            </w:r>
          </w:p>
        </w:tc>
        <w:tc>
          <w:tcPr>
            <w:tcW w:w="960" w:type="dxa"/>
            <w:vAlign w:val="bottom"/>
          </w:tcPr>
          <w:p>
            <w:pPr>
              <w:jc w:val="right"/>
              <w:spacing w:after="0"/>
              <w:rPr>
                <w:sz w:val="20"/>
                <w:szCs w:val="20"/>
                <w:color w:val="auto"/>
              </w:rPr>
            </w:pPr>
            <w:r>
              <w:rPr>
                <w:rFonts w:ascii="Arial" w:cs="Arial" w:eastAsia="Arial" w:hAnsi="Arial"/>
                <w:sz w:val="18"/>
                <w:szCs w:val="18"/>
                <w:color w:val="auto"/>
              </w:rPr>
              <w:t>27,644</w:t>
            </w:r>
          </w:p>
        </w:tc>
        <w:tc>
          <w:tcPr>
            <w:tcW w:w="7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60" w:type="dxa"/>
            <w:vAlign w:val="bottom"/>
            <w:gridSpan w:val="2"/>
          </w:tcPr>
          <w:p>
            <w:pPr>
              <w:jc w:val="right"/>
              <w:ind w:right="780"/>
              <w:spacing w:after="0"/>
              <w:rPr>
                <w:sz w:val="20"/>
                <w:szCs w:val="20"/>
                <w:color w:val="auto"/>
              </w:rPr>
            </w:pPr>
            <w:r>
              <w:rPr>
                <w:rFonts w:ascii="Arial" w:cs="Arial" w:eastAsia="Arial" w:hAnsi="Arial"/>
                <w:sz w:val="18"/>
                <w:szCs w:val="18"/>
                <w:color w:val="auto"/>
              </w:rPr>
              <w:t>15.69</w:t>
            </w:r>
          </w:p>
        </w:tc>
        <w:tc>
          <w:tcPr>
            <w:tcW w:w="1700" w:type="dxa"/>
            <w:vAlign w:val="bottom"/>
          </w:tcPr>
          <w:p>
            <w:pPr>
              <w:jc w:val="right"/>
              <w:spacing w:after="0"/>
              <w:rPr>
                <w:sz w:val="20"/>
                <w:szCs w:val="20"/>
                <w:color w:val="auto"/>
              </w:rPr>
            </w:pPr>
            <w:r>
              <w:rPr>
                <w:rFonts w:ascii="Arial" w:cs="Arial" w:eastAsia="Arial" w:hAnsi="Arial"/>
                <w:sz w:val="18"/>
                <w:szCs w:val="18"/>
                <w:color w:val="auto"/>
              </w:rPr>
              <w:t>27,644</w:t>
            </w:r>
          </w:p>
        </w:tc>
        <w:tc>
          <w:tcPr>
            <w:tcW w:w="7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0" w:type="dxa"/>
            <w:vAlign w:val="bottom"/>
          </w:tcPr>
          <w:p>
            <w:pPr>
              <w:jc w:val="right"/>
              <w:spacing w:after="0"/>
              <w:rPr>
                <w:sz w:val="20"/>
                <w:szCs w:val="20"/>
                <w:color w:val="auto"/>
              </w:rPr>
            </w:pPr>
            <w:r>
              <w:rPr>
                <w:rFonts w:ascii="Arial" w:cs="Arial" w:eastAsia="Arial" w:hAnsi="Arial"/>
                <w:sz w:val="18"/>
                <w:szCs w:val="18"/>
                <w:color w:val="auto"/>
              </w:rPr>
              <w:t>415,172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2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March 27 – April 30, 2011</w:t>
            </w:r>
          </w:p>
        </w:tc>
        <w:tc>
          <w:tcPr>
            <w:tcW w:w="9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19,306</w:t>
            </w:r>
          </w:p>
        </w:tc>
        <w:tc>
          <w:tcPr>
            <w:tcW w:w="7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780"/>
              <w:spacing w:after="0"/>
              <w:rPr>
                <w:sz w:val="20"/>
                <w:szCs w:val="20"/>
                <w:color w:val="auto"/>
              </w:rPr>
            </w:pPr>
            <w:r>
              <w:rPr>
                <w:rFonts w:ascii="Arial" w:cs="Arial" w:eastAsia="Arial" w:hAnsi="Arial"/>
                <w:sz w:val="18"/>
                <w:szCs w:val="18"/>
                <w:color w:val="auto"/>
              </w:rPr>
              <w:t>15.86</w:t>
            </w:r>
          </w:p>
        </w:tc>
        <w:tc>
          <w:tcPr>
            <w:tcW w:w="1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19,306</w:t>
            </w:r>
          </w:p>
        </w:tc>
        <w:tc>
          <w:tcPr>
            <w:tcW w:w="7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109,012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3740" w:type="dxa"/>
            <w:vAlign w:val="bottom"/>
            <w:gridSpan w:val="4"/>
          </w:tcPr>
          <w:p>
            <w:pPr>
              <w:spacing w:after="0"/>
              <w:rPr>
                <w:sz w:val="20"/>
                <w:szCs w:val="20"/>
                <w:color w:val="auto"/>
              </w:rPr>
            </w:pPr>
            <w:r>
              <w:rPr>
                <w:rFonts w:ascii="Arial" w:cs="Arial" w:eastAsia="Arial" w:hAnsi="Arial"/>
                <w:sz w:val="18"/>
                <w:szCs w:val="18"/>
                <w:color w:val="auto"/>
              </w:rPr>
              <w:t>Total</w:t>
            </w:r>
          </w:p>
        </w:tc>
        <w:tc>
          <w:tcPr>
            <w:tcW w:w="9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50,307</w:t>
            </w:r>
          </w:p>
        </w:tc>
        <w:tc>
          <w:tcPr>
            <w:tcW w:w="1060" w:type="dxa"/>
            <w:vAlign w:val="bottom"/>
            <w:gridSpan w:val="2"/>
          </w:tcPr>
          <w:p>
            <w:pPr>
              <w:jc w:val="right"/>
              <w:ind w:right="132"/>
              <w:spacing w:after="0"/>
              <w:rPr>
                <w:sz w:val="20"/>
                <w:szCs w:val="20"/>
                <w:color w:val="auto"/>
              </w:rPr>
            </w:pPr>
            <w:r>
              <w:rPr>
                <w:rFonts w:ascii="Arial" w:cs="Arial" w:eastAsia="Arial" w:hAnsi="Arial"/>
                <w:sz w:val="18"/>
                <w:szCs w:val="18"/>
                <w:color w:val="auto"/>
              </w:rPr>
              <w:t>$</w:t>
            </w:r>
          </w:p>
        </w:tc>
        <w:tc>
          <w:tcPr>
            <w:tcW w:w="1360" w:type="dxa"/>
            <w:vAlign w:val="bottom"/>
            <w:gridSpan w:val="2"/>
          </w:tcPr>
          <w:p>
            <w:pPr>
              <w:jc w:val="right"/>
              <w:ind w:right="780"/>
              <w:spacing w:after="0"/>
              <w:rPr>
                <w:sz w:val="20"/>
                <w:szCs w:val="20"/>
                <w:color w:val="auto"/>
              </w:rPr>
            </w:pPr>
            <w:r>
              <w:rPr>
                <w:rFonts w:ascii="Arial" w:cs="Arial" w:eastAsia="Arial" w:hAnsi="Arial"/>
                <w:sz w:val="18"/>
                <w:szCs w:val="18"/>
                <w:color w:val="auto"/>
              </w:rPr>
              <w:t>15.97</w:t>
            </w:r>
          </w:p>
        </w:tc>
        <w:tc>
          <w:tcPr>
            <w:tcW w:w="1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50,307</w:t>
            </w: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600" w:type="dxa"/>
            <w:vAlign w:val="bottom"/>
          </w:tcPr>
          <w:p>
            <w:pPr>
              <w:jc w:val="right"/>
              <w:spacing w:after="0"/>
              <w:rPr>
                <w:sz w:val="20"/>
                <w:szCs w:val="20"/>
                <w:color w:val="auto"/>
              </w:rPr>
            </w:pPr>
            <w:r>
              <w:rPr>
                <w:rFonts w:ascii="Arial" w:cs="Arial" w:eastAsia="Arial" w:hAnsi="Arial"/>
                <w:sz w:val="18"/>
                <w:szCs w:val="18"/>
                <w:color w:val="auto"/>
              </w:rPr>
              <w:t>109,012</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580" w:type="dxa"/>
            <w:vAlign w:val="bottom"/>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20" w:type="dxa"/>
            <w:vAlign w:val="bottom"/>
          </w:tcPr>
          <w:p>
            <w:pPr>
              <w:spacing w:after="0"/>
              <w:rPr>
                <w:sz w:val="8"/>
                <w:szCs w:val="8"/>
                <w:color w:val="auto"/>
              </w:rPr>
            </w:pPr>
          </w:p>
        </w:tc>
        <w:tc>
          <w:tcPr>
            <w:tcW w:w="380" w:type="dxa"/>
            <w:vAlign w:val="bottom"/>
            <w:tcBorders>
              <w:bottom w:val="single" w:sz="8" w:color="auto"/>
            </w:tcBorders>
          </w:tcPr>
          <w:p>
            <w:pPr>
              <w:spacing w:after="0"/>
              <w:rPr>
                <w:sz w:val="8"/>
                <w:szCs w:val="8"/>
                <w:color w:val="auto"/>
              </w:rPr>
            </w:pPr>
          </w:p>
        </w:tc>
        <w:tc>
          <w:tcPr>
            <w:tcW w:w="760" w:type="dxa"/>
            <w:vAlign w:val="bottom"/>
            <w:tcBorders>
              <w:bottom w:val="single" w:sz="8" w:color="auto"/>
            </w:tcBorders>
          </w:tcPr>
          <w:p>
            <w:pPr>
              <w:spacing w:after="0"/>
              <w:rPr>
                <w:sz w:val="8"/>
                <w:szCs w:val="8"/>
                <w:color w:val="auto"/>
              </w:rPr>
            </w:pPr>
          </w:p>
        </w:tc>
        <w:tc>
          <w:tcPr>
            <w:tcW w:w="2580" w:type="dxa"/>
            <w:vAlign w:val="bottom"/>
          </w:tcPr>
          <w:p>
            <w:pPr>
              <w:spacing w:after="0"/>
              <w:rPr>
                <w:sz w:val="8"/>
                <w:szCs w:val="8"/>
                <w:color w:val="auto"/>
              </w:rPr>
            </w:pPr>
          </w:p>
        </w:tc>
        <w:tc>
          <w:tcPr>
            <w:tcW w:w="960" w:type="dxa"/>
            <w:vAlign w:val="bottom"/>
          </w:tcPr>
          <w:p>
            <w:pPr>
              <w:spacing w:after="0"/>
              <w:rPr>
                <w:sz w:val="8"/>
                <w:szCs w:val="8"/>
                <w:color w:val="auto"/>
              </w:rPr>
            </w:pPr>
          </w:p>
        </w:tc>
        <w:tc>
          <w:tcPr>
            <w:tcW w:w="7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780" w:type="dxa"/>
            <w:vAlign w:val="bottom"/>
          </w:tcPr>
          <w:p>
            <w:pPr>
              <w:spacing w:after="0"/>
              <w:rPr>
                <w:sz w:val="8"/>
                <w:szCs w:val="8"/>
                <w:color w:val="auto"/>
              </w:rPr>
            </w:pPr>
          </w:p>
        </w:tc>
        <w:tc>
          <w:tcPr>
            <w:tcW w:w="1700" w:type="dxa"/>
            <w:vAlign w:val="bottom"/>
          </w:tcPr>
          <w:p>
            <w:pPr>
              <w:spacing w:after="0"/>
              <w:rPr>
                <w:sz w:val="8"/>
                <w:szCs w:val="8"/>
                <w:color w:val="auto"/>
              </w:rPr>
            </w:pPr>
          </w:p>
        </w:tc>
        <w:tc>
          <w:tcPr>
            <w:tcW w:w="760" w:type="dxa"/>
            <w:vAlign w:val="bottom"/>
          </w:tcPr>
          <w:p>
            <w:pPr>
              <w:spacing w:after="0"/>
              <w:rPr>
                <w:sz w:val="8"/>
                <w:szCs w:val="8"/>
                <w:color w:val="auto"/>
              </w:rPr>
            </w:pPr>
          </w:p>
        </w:tc>
        <w:tc>
          <w:tcPr>
            <w:tcW w:w="140" w:type="dxa"/>
            <w:vAlign w:val="bottom"/>
          </w:tcPr>
          <w:p>
            <w:pPr>
              <w:spacing w:after="0"/>
              <w:rPr>
                <w:sz w:val="8"/>
                <w:szCs w:val="8"/>
                <w:color w:val="auto"/>
              </w:rPr>
            </w:pPr>
          </w:p>
        </w:tc>
        <w:tc>
          <w:tcPr>
            <w:tcW w:w="160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9" w:lineRule="exact"/>
        <w:rPr>
          <w:sz w:val="20"/>
          <w:szCs w:val="20"/>
          <w:color w:val="auto"/>
        </w:rPr>
      </w:pPr>
    </w:p>
    <w:p>
      <w:pPr>
        <w:ind w:left="460" w:right="160" w:hanging="452"/>
        <w:spacing w:after="0" w:line="255" w:lineRule="auto"/>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On March 3, 2011, we announced that our Board of Directors had authorized an increase of $500 million to the existing repurchase authorization, which increased the total authorized to $1 billion. We intend to affect the repurchase program in accordance with the conditions of Rule 10b-18 under the Exchange Act. The repurchase program will be subject to market conditions and other factors and does not obligate us to repurchase any dollar amount or number of our common shares. The program may be extended, modified, suspended or discontinued at any time. We may utilize privately negotiated transactions in order to effect our repurchases.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w:t>
      </w:r>
    </w:p>
    <w:p>
      <w:pPr>
        <w:spacing w:after="0" w:line="96" w:lineRule="exact"/>
        <w:rPr>
          <w:sz w:val="20"/>
          <w:szCs w:val="20"/>
          <w:color w:val="auto"/>
        </w:rPr>
      </w:pPr>
    </w:p>
    <w:p>
      <w:pPr>
        <w:spacing w:after="0"/>
        <w:rPr>
          <w:sz w:val="20"/>
          <w:szCs w:val="20"/>
          <w:color w:val="auto"/>
        </w:rPr>
      </w:pPr>
      <w:r>
        <w:rPr>
          <w:rFonts w:ascii="Arial" w:cs="Arial" w:eastAsia="Arial" w:hAnsi="Arial"/>
          <w:sz w:val="18"/>
          <w:szCs w:val="18"/>
          <w:color w:val="auto"/>
        </w:rPr>
        <w:t>(a)The following exhibits are filed as part of this report:</w:t>
      </w:r>
    </w:p>
    <w:p>
      <w:pPr>
        <w:spacing w:after="0" w:line="212" w:lineRule="exact"/>
        <w:rPr>
          <w:sz w:val="20"/>
          <w:szCs w:val="20"/>
          <w:color w:val="auto"/>
        </w:rPr>
      </w:pPr>
    </w:p>
    <w:tbl>
      <w:tblPr>
        <w:tblLayout w:type="fixed"/>
        <w:tblInd w:w="40" w:type="dxa"/>
        <w:tblCellMar>
          <w:top w:w="0" w:type="dxa"/>
          <w:left w:w="0" w:type="dxa"/>
          <w:bottom w:w="0" w:type="dxa"/>
          <w:right w:w="0" w:type="dxa"/>
        </w:tblCellMar>
      </w:tblPr>
      <w:tr>
        <w:trPr>
          <w:trHeight w:val="216"/>
        </w:trPr>
        <w:tc>
          <w:tcPr>
            <w:tcW w:w="880" w:type="dxa"/>
            <w:vAlign w:val="bottom"/>
          </w:tcPr>
          <w:p>
            <w:pPr>
              <w:jc w:val="center"/>
              <w:ind w:right="152"/>
              <w:spacing w:after="0"/>
              <w:rPr>
                <w:sz w:val="20"/>
                <w:szCs w:val="20"/>
                <w:color w:val="auto"/>
              </w:rPr>
            </w:pPr>
            <w:r>
              <w:rPr>
                <w:rFonts w:ascii="Arial" w:cs="Arial" w:eastAsia="Arial" w:hAnsi="Arial"/>
                <w:sz w:val="18"/>
                <w:szCs w:val="18"/>
                <w:color w:val="auto"/>
                <w:w w:val="88"/>
              </w:rPr>
              <w:t>10.1#</w:t>
            </w:r>
          </w:p>
        </w:tc>
        <w:tc>
          <w:tcPr>
            <w:tcW w:w="10320" w:type="dxa"/>
            <w:vAlign w:val="bottom"/>
          </w:tcPr>
          <w:p>
            <w:pPr>
              <w:ind w:left="240"/>
              <w:spacing w:after="0"/>
              <w:rPr>
                <w:sz w:val="20"/>
                <w:szCs w:val="20"/>
                <w:color w:val="auto"/>
              </w:rPr>
            </w:pPr>
            <w:r>
              <w:rPr>
                <w:rFonts w:ascii="Arial" w:cs="Arial" w:eastAsia="Arial" w:hAnsi="Arial"/>
                <w:sz w:val="18"/>
                <w:szCs w:val="18"/>
                <w:color w:val="auto"/>
                <w:w w:val="89"/>
              </w:rPr>
              <w:t>Indemnification Arrangement with Dr. Sehat Sutardja, incorporated by reference to Exhibit 10.1 of the registrant’s Current Report on Form 8-K</w:t>
            </w:r>
          </w:p>
        </w:tc>
      </w:tr>
      <w:tr>
        <w:trPr>
          <w:trHeight w:val="222"/>
        </w:trPr>
        <w:tc>
          <w:tcPr>
            <w:tcW w:w="880" w:type="dxa"/>
            <w:vAlign w:val="bottom"/>
          </w:tcPr>
          <w:p>
            <w:pPr>
              <w:spacing w:after="0"/>
              <w:rPr>
                <w:sz w:val="19"/>
                <w:szCs w:val="19"/>
                <w:color w:val="auto"/>
              </w:rPr>
            </w:pPr>
          </w:p>
        </w:tc>
        <w:tc>
          <w:tcPr>
            <w:tcW w:w="10320" w:type="dxa"/>
            <w:vAlign w:val="bottom"/>
          </w:tcPr>
          <w:p>
            <w:pPr>
              <w:ind w:left="240"/>
              <w:spacing w:after="0"/>
              <w:rPr>
                <w:sz w:val="20"/>
                <w:szCs w:val="20"/>
                <w:color w:val="auto"/>
              </w:rPr>
            </w:pPr>
            <w:r>
              <w:rPr>
                <w:rFonts w:ascii="Arial" w:cs="Arial" w:eastAsia="Arial" w:hAnsi="Arial"/>
                <w:sz w:val="18"/>
                <w:szCs w:val="18"/>
                <w:color w:val="auto"/>
              </w:rPr>
              <w:t>as filed on March 7, 2011</w:t>
            </w:r>
          </w:p>
        </w:tc>
      </w:tr>
      <w:tr>
        <w:trPr>
          <w:trHeight w:val="324"/>
        </w:trPr>
        <w:tc>
          <w:tcPr>
            <w:tcW w:w="880" w:type="dxa"/>
            <w:vAlign w:val="bottom"/>
          </w:tcPr>
          <w:p>
            <w:pPr>
              <w:jc w:val="center"/>
              <w:ind w:right="152"/>
              <w:spacing w:after="0"/>
              <w:rPr>
                <w:sz w:val="20"/>
                <w:szCs w:val="20"/>
                <w:color w:val="auto"/>
              </w:rPr>
            </w:pPr>
            <w:r>
              <w:rPr>
                <w:rFonts w:ascii="Arial" w:cs="Arial" w:eastAsia="Arial" w:hAnsi="Arial"/>
                <w:sz w:val="18"/>
                <w:szCs w:val="18"/>
                <w:color w:val="auto"/>
                <w:w w:val="91"/>
              </w:rPr>
              <w:t>31.1</w:t>
            </w:r>
          </w:p>
        </w:tc>
        <w:tc>
          <w:tcPr>
            <w:tcW w:w="10320" w:type="dxa"/>
            <w:vAlign w:val="bottom"/>
          </w:tcPr>
          <w:p>
            <w:pPr>
              <w:ind w:left="240"/>
              <w:spacing w:after="0"/>
              <w:rPr>
                <w:sz w:val="20"/>
                <w:szCs w:val="20"/>
                <w:color w:val="auto"/>
              </w:rPr>
            </w:pPr>
            <w:r>
              <w:rPr>
                <w:rFonts w:ascii="Arial" w:cs="Arial" w:eastAsia="Arial" w:hAnsi="Arial"/>
                <w:sz w:val="18"/>
                <w:szCs w:val="18"/>
                <w:color w:val="auto"/>
              </w:rPr>
              <w:t>Certification of Chief Executive Officer as required pursuant to Section 302 of the Sarbanes-Oxley Act of 2002</w:t>
            </w:r>
          </w:p>
        </w:tc>
      </w:tr>
      <w:tr>
        <w:trPr>
          <w:trHeight w:val="324"/>
        </w:trPr>
        <w:tc>
          <w:tcPr>
            <w:tcW w:w="880" w:type="dxa"/>
            <w:vAlign w:val="bottom"/>
          </w:tcPr>
          <w:p>
            <w:pPr>
              <w:jc w:val="center"/>
              <w:ind w:right="152"/>
              <w:spacing w:after="0"/>
              <w:rPr>
                <w:sz w:val="20"/>
                <w:szCs w:val="20"/>
                <w:color w:val="auto"/>
              </w:rPr>
            </w:pPr>
            <w:r>
              <w:rPr>
                <w:rFonts w:ascii="Arial" w:cs="Arial" w:eastAsia="Arial" w:hAnsi="Arial"/>
                <w:sz w:val="18"/>
                <w:szCs w:val="18"/>
                <w:color w:val="auto"/>
                <w:w w:val="91"/>
              </w:rPr>
              <w:t>31.2</w:t>
            </w:r>
          </w:p>
        </w:tc>
        <w:tc>
          <w:tcPr>
            <w:tcW w:w="10320" w:type="dxa"/>
            <w:vAlign w:val="bottom"/>
          </w:tcPr>
          <w:p>
            <w:pPr>
              <w:ind w:left="240"/>
              <w:spacing w:after="0"/>
              <w:rPr>
                <w:sz w:val="20"/>
                <w:szCs w:val="20"/>
                <w:color w:val="auto"/>
              </w:rPr>
            </w:pPr>
            <w:r>
              <w:rPr>
                <w:rFonts w:ascii="Arial" w:cs="Arial" w:eastAsia="Arial" w:hAnsi="Arial"/>
                <w:sz w:val="18"/>
                <w:szCs w:val="18"/>
                <w:color w:val="auto"/>
              </w:rPr>
              <w:t>Certification of Chief Financial Officer as required pursuant to Section 302 of the Sarbanes-Oxley Act of 2002</w:t>
            </w:r>
          </w:p>
        </w:tc>
      </w:tr>
      <w:tr>
        <w:trPr>
          <w:trHeight w:val="324"/>
        </w:trPr>
        <w:tc>
          <w:tcPr>
            <w:tcW w:w="880" w:type="dxa"/>
            <w:vAlign w:val="bottom"/>
          </w:tcPr>
          <w:p>
            <w:pPr>
              <w:jc w:val="center"/>
              <w:ind w:right="152"/>
              <w:spacing w:after="0"/>
              <w:rPr>
                <w:sz w:val="20"/>
                <w:szCs w:val="20"/>
                <w:color w:val="auto"/>
              </w:rPr>
            </w:pPr>
            <w:r>
              <w:rPr>
                <w:rFonts w:ascii="Arial" w:cs="Arial" w:eastAsia="Arial" w:hAnsi="Arial"/>
                <w:sz w:val="18"/>
                <w:szCs w:val="18"/>
                <w:color w:val="auto"/>
                <w:w w:val="95"/>
              </w:rPr>
              <w:t>32.1*</w:t>
            </w:r>
          </w:p>
        </w:tc>
        <w:tc>
          <w:tcPr>
            <w:tcW w:w="10320" w:type="dxa"/>
            <w:vAlign w:val="bottom"/>
          </w:tcPr>
          <w:p>
            <w:pPr>
              <w:ind w:left="240"/>
              <w:spacing w:after="0"/>
              <w:rPr>
                <w:sz w:val="20"/>
                <w:szCs w:val="20"/>
                <w:color w:val="auto"/>
              </w:rPr>
            </w:pPr>
            <w:r>
              <w:rPr>
                <w:rFonts w:ascii="Arial" w:cs="Arial" w:eastAsia="Arial" w:hAnsi="Arial"/>
                <w:sz w:val="18"/>
                <w:szCs w:val="18"/>
                <w:color w:val="auto"/>
              </w:rPr>
              <w:t>Certification of Chief Executive Officer as required pursuant to Section 906 of the Sarbanes-Oxley Act of 2002</w:t>
            </w:r>
          </w:p>
        </w:tc>
      </w:tr>
      <w:tr>
        <w:trPr>
          <w:trHeight w:val="324"/>
        </w:trPr>
        <w:tc>
          <w:tcPr>
            <w:tcW w:w="880" w:type="dxa"/>
            <w:vAlign w:val="bottom"/>
          </w:tcPr>
          <w:p>
            <w:pPr>
              <w:jc w:val="center"/>
              <w:ind w:right="152"/>
              <w:spacing w:after="0"/>
              <w:rPr>
                <w:sz w:val="20"/>
                <w:szCs w:val="20"/>
                <w:color w:val="auto"/>
              </w:rPr>
            </w:pPr>
            <w:r>
              <w:rPr>
                <w:rFonts w:ascii="Arial" w:cs="Arial" w:eastAsia="Arial" w:hAnsi="Arial"/>
                <w:sz w:val="18"/>
                <w:szCs w:val="18"/>
                <w:color w:val="auto"/>
                <w:w w:val="95"/>
              </w:rPr>
              <w:t>32.2*</w:t>
            </w:r>
          </w:p>
        </w:tc>
        <w:tc>
          <w:tcPr>
            <w:tcW w:w="10320" w:type="dxa"/>
            <w:vAlign w:val="bottom"/>
          </w:tcPr>
          <w:p>
            <w:pPr>
              <w:ind w:left="240"/>
              <w:spacing w:after="0"/>
              <w:rPr>
                <w:sz w:val="20"/>
                <w:szCs w:val="20"/>
                <w:color w:val="auto"/>
              </w:rPr>
            </w:pPr>
            <w:r>
              <w:rPr>
                <w:rFonts w:ascii="Arial" w:cs="Arial" w:eastAsia="Arial" w:hAnsi="Arial"/>
                <w:sz w:val="18"/>
                <w:szCs w:val="18"/>
                <w:color w:val="auto"/>
              </w:rPr>
              <w:t>Certification of Chief Financial Officer as required pursuant to Section 906 of the Sarbanes-Oxley Act of 2002</w:t>
            </w:r>
          </w:p>
        </w:tc>
      </w:tr>
      <w:tr>
        <w:trPr>
          <w:trHeight w:val="324"/>
        </w:trPr>
        <w:tc>
          <w:tcPr>
            <w:tcW w:w="880" w:type="dxa"/>
            <w:vAlign w:val="bottom"/>
          </w:tcPr>
          <w:p>
            <w:pPr>
              <w:jc w:val="center"/>
              <w:ind w:right="152"/>
              <w:spacing w:after="0"/>
              <w:rPr>
                <w:sz w:val="20"/>
                <w:szCs w:val="20"/>
                <w:color w:val="auto"/>
              </w:rPr>
            </w:pPr>
            <w:r>
              <w:rPr>
                <w:rFonts w:ascii="Arial" w:cs="Arial" w:eastAsia="Arial" w:hAnsi="Arial"/>
                <w:sz w:val="18"/>
                <w:szCs w:val="18"/>
                <w:color w:val="auto"/>
                <w:w w:val="92"/>
              </w:rPr>
              <w:t>101.INS</w:t>
            </w:r>
          </w:p>
        </w:tc>
        <w:tc>
          <w:tcPr>
            <w:tcW w:w="10320" w:type="dxa"/>
            <w:vAlign w:val="bottom"/>
          </w:tcPr>
          <w:p>
            <w:pPr>
              <w:ind w:left="240"/>
              <w:spacing w:after="0"/>
              <w:rPr>
                <w:sz w:val="20"/>
                <w:szCs w:val="20"/>
                <w:color w:val="auto"/>
              </w:rPr>
            </w:pPr>
            <w:r>
              <w:rPr>
                <w:rFonts w:ascii="Arial" w:cs="Arial" w:eastAsia="Arial" w:hAnsi="Arial"/>
                <w:sz w:val="18"/>
                <w:szCs w:val="18"/>
                <w:color w:val="auto"/>
              </w:rPr>
              <w:t>XBRL Instance Document</w:t>
            </w:r>
          </w:p>
        </w:tc>
      </w:tr>
      <w:tr>
        <w:trPr>
          <w:trHeight w:val="324"/>
        </w:trPr>
        <w:tc>
          <w:tcPr>
            <w:tcW w:w="880" w:type="dxa"/>
            <w:vAlign w:val="bottom"/>
          </w:tcPr>
          <w:p>
            <w:pPr>
              <w:jc w:val="center"/>
              <w:ind w:right="152"/>
              <w:spacing w:after="0"/>
              <w:rPr>
                <w:sz w:val="20"/>
                <w:szCs w:val="20"/>
                <w:color w:val="auto"/>
              </w:rPr>
            </w:pPr>
            <w:r>
              <w:rPr>
                <w:rFonts w:ascii="Arial" w:cs="Arial" w:eastAsia="Arial" w:hAnsi="Arial"/>
                <w:sz w:val="18"/>
                <w:szCs w:val="18"/>
                <w:color w:val="auto"/>
                <w:w w:val="87"/>
              </w:rPr>
              <w:t>101.SCH</w:t>
            </w:r>
          </w:p>
        </w:tc>
        <w:tc>
          <w:tcPr>
            <w:tcW w:w="10320" w:type="dxa"/>
            <w:vAlign w:val="bottom"/>
          </w:tcPr>
          <w:p>
            <w:pPr>
              <w:ind w:left="240"/>
              <w:spacing w:after="0"/>
              <w:rPr>
                <w:sz w:val="20"/>
                <w:szCs w:val="20"/>
                <w:color w:val="auto"/>
              </w:rPr>
            </w:pPr>
            <w:r>
              <w:rPr>
                <w:rFonts w:ascii="Arial" w:cs="Arial" w:eastAsia="Arial" w:hAnsi="Arial"/>
                <w:sz w:val="18"/>
                <w:szCs w:val="18"/>
                <w:color w:val="auto"/>
              </w:rPr>
              <w:t>XBRL Taxonomy Extension Schema Document</w:t>
            </w:r>
          </w:p>
        </w:tc>
      </w:tr>
      <w:tr>
        <w:trPr>
          <w:trHeight w:val="324"/>
        </w:trPr>
        <w:tc>
          <w:tcPr>
            <w:tcW w:w="880" w:type="dxa"/>
            <w:vAlign w:val="bottom"/>
          </w:tcPr>
          <w:p>
            <w:pPr>
              <w:jc w:val="center"/>
              <w:ind w:right="152"/>
              <w:spacing w:after="0"/>
              <w:rPr>
                <w:sz w:val="20"/>
                <w:szCs w:val="20"/>
                <w:color w:val="auto"/>
              </w:rPr>
            </w:pPr>
            <w:r>
              <w:rPr>
                <w:rFonts w:ascii="Arial" w:cs="Arial" w:eastAsia="Arial" w:hAnsi="Arial"/>
                <w:sz w:val="18"/>
                <w:szCs w:val="18"/>
                <w:color w:val="auto"/>
                <w:w w:val="91"/>
              </w:rPr>
              <w:t>101.CAL</w:t>
            </w:r>
          </w:p>
        </w:tc>
        <w:tc>
          <w:tcPr>
            <w:tcW w:w="10320" w:type="dxa"/>
            <w:vAlign w:val="bottom"/>
          </w:tcPr>
          <w:p>
            <w:pPr>
              <w:ind w:left="240"/>
              <w:spacing w:after="0"/>
              <w:rPr>
                <w:sz w:val="20"/>
                <w:szCs w:val="20"/>
                <w:color w:val="auto"/>
              </w:rPr>
            </w:pPr>
            <w:r>
              <w:rPr>
                <w:rFonts w:ascii="Arial" w:cs="Arial" w:eastAsia="Arial" w:hAnsi="Arial"/>
                <w:sz w:val="18"/>
                <w:szCs w:val="18"/>
                <w:color w:val="auto"/>
              </w:rPr>
              <w:t>XBRL Taxonomy Extension Calculation Linkbase Document</w:t>
            </w:r>
          </w:p>
        </w:tc>
      </w:tr>
      <w:tr>
        <w:trPr>
          <w:trHeight w:val="324"/>
        </w:trPr>
        <w:tc>
          <w:tcPr>
            <w:tcW w:w="880" w:type="dxa"/>
            <w:vAlign w:val="bottom"/>
          </w:tcPr>
          <w:p>
            <w:pPr>
              <w:jc w:val="center"/>
              <w:ind w:right="152"/>
              <w:spacing w:after="0"/>
              <w:rPr>
                <w:sz w:val="20"/>
                <w:szCs w:val="20"/>
                <w:color w:val="auto"/>
              </w:rPr>
            </w:pPr>
            <w:r>
              <w:rPr>
                <w:rFonts w:ascii="Arial" w:cs="Arial" w:eastAsia="Arial" w:hAnsi="Arial"/>
                <w:sz w:val="18"/>
                <w:szCs w:val="18"/>
                <w:color w:val="auto"/>
                <w:w w:val="90"/>
              </w:rPr>
              <w:t>101.DEF</w:t>
            </w:r>
          </w:p>
        </w:tc>
        <w:tc>
          <w:tcPr>
            <w:tcW w:w="10320" w:type="dxa"/>
            <w:vAlign w:val="bottom"/>
          </w:tcPr>
          <w:p>
            <w:pPr>
              <w:ind w:left="240"/>
              <w:spacing w:after="0"/>
              <w:rPr>
                <w:sz w:val="20"/>
                <w:szCs w:val="20"/>
                <w:color w:val="auto"/>
              </w:rPr>
            </w:pPr>
            <w:r>
              <w:rPr>
                <w:rFonts w:ascii="Arial" w:cs="Arial" w:eastAsia="Arial" w:hAnsi="Arial"/>
                <w:sz w:val="18"/>
                <w:szCs w:val="18"/>
                <w:color w:val="auto"/>
              </w:rPr>
              <w:t>XBRL Taxonomy Extension Definition Document</w:t>
            </w:r>
          </w:p>
        </w:tc>
      </w:tr>
      <w:tr>
        <w:trPr>
          <w:trHeight w:val="324"/>
        </w:trPr>
        <w:tc>
          <w:tcPr>
            <w:tcW w:w="880" w:type="dxa"/>
            <w:vAlign w:val="bottom"/>
          </w:tcPr>
          <w:p>
            <w:pPr>
              <w:jc w:val="center"/>
              <w:ind w:right="152"/>
              <w:spacing w:after="0"/>
              <w:rPr>
                <w:sz w:val="20"/>
                <w:szCs w:val="20"/>
                <w:color w:val="auto"/>
              </w:rPr>
            </w:pPr>
            <w:r>
              <w:rPr>
                <w:rFonts w:ascii="Arial" w:cs="Arial" w:eastAsia="Arial" w:hAnsi="Arial"/>
                <w:sz w:val="18"/>
                <w:szCs w:val="18"/>
                <w:color w:val="auto"/>
                <w:w w:val="92"/>
              </w:rPr>
              <w:t>101.LAB</w:t>
            </w:r>
          </w:p>
        </w:tc>
        <w:tc>
          <w:tcPr>
            <w:tcW w:w="10320" w:type="dxa"/>
            <w:vAlign w:val="bottom"/>
          </w:tcPr>
          <w:p>
            <w:pPr>
              <w:ind w:left="240"/>
              <w:spacing w:after="0"/>
              <w:rPr>
                <w:sz w:val="20"/>
                <w:szCs w:val="20"/>
                <w:color w:val="auto"/>
              </w:rPr>
            </w:pPr>
            <w:r>
              <w:rPr>
                <w:rFonts w:ascii="Arial" w:cs="Arial" w:eastAsia="Arial" w:hAnsi="Arial"/>
                <w:sz w:val="18"/>
                <w:szCs w:val="18"/>
                <w:color w:val="auto"/>
              </w:rPr>
              <w:t>XBRL Taxonomy Extension Label Linkbase Document</w:t>
            </w:r>
          </w:p>
        </w:tc>
      </w:tr>
      <w:tr>
        <w:trPr>
          <w:trHeight w:val="324"/>
        </w:trPr>
        <w:tc>
          <w:tcPr>
            <w:tcW w:w="880" w:type="dxa"/>
            <w:vAlign w:val="bottom"/>
          </w:tcPr>
          <w:p>
            <w:pPr>
              <w:jc w:val="center"/>
              <w:ind w:right="152"/>
              <w:spacing w:after="0"/>
              <w:rPr>
                <w:sz w:val="20"/>
                <w:szCs w:val="20"/>
                <w:color w:val="auto"/>
              </w:rPr>
            </w:pPr>
            <w:r>
              <w:rPr>
                <w:rFonts w:ascii="Arial" w:cs="Arial" w:eastAsia="Arial" w:hAnsi="Arial"/>
                <w:sz w:val="18"/>
                <w:szCs w:val="18"/>
                <w:color w:val="auto"/>
                <w:w w:val="88"/>
              </w:rPr>
              <w:t>101.PRE</w:t>
            </w:r>
          </w:p>
        </w:tc>
        <w:tc>
          <w:tcPr>
            <w:tcW w:w="10320" w:type="dxa"/>
            <w:vAlign w:val="bottom"/>
          </w:tcPr>
          <w:p>
            <w:pPr>
              <w:ind w:left="240"/>
              <w:spacing w:after="0"/>
              <w:rPr>
                <w:sz w:val="20"/>
                <w:szCs w:val="20"/>
                <w:color w:val="auto"/>
              </w:rPr>
            </w:pPr>
            <w:r>
              <w:rPr>
                <w:rFonts w:ascii="Arial" w:cs="Arial" w:eastAsia="Arial" w:hAnsi="Arial"/>
                <w:sz w:val="18"/>
                <w:szCs w:val="18"/>
                <w:color w:val="auto"/>
              </w:rPr>
              <w:t>XBRL Taxonomy Extension Presentation Linkbase Document</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ind w:left="460" w:hanging="452"/>
        <w:spacing w:after="0"/>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Management contracts or compensation plans or arrangements in which directors or executive officers are eligible to participate.</w:t>
      </w:r>
    </w:p>
    <w:p>
      <w:pPr>
        <w:spacing w:after="0" w:line="15" w:lineRule="exact"/>
        <w:rPr>
          <w:sz w:val="20"/>
          <w:szCs w:val="20"/>
          <w:color w:val="auto"/>
        </w:rPr>
      </w:pPr>
    </w:p>
    <w:p>
      <w:pPr>
        <w:ind w:left="460" w:right="60" w:hanging="452"/>
        <w:spacing w:after="0" w:line="302" w:lineRule="auto"/>
        <w:tabs>
          <w:tab w:leader="none" w:pos="460" w:val="left"/>
        </w:tabs>
        <w:numPr>
          <w:ilvl w:val="0"/>
          <w:numId w:val="15"/>
        </w:numPr>
        <w:rPr>
          <w:rFonts w:ascii="Arial" w:cs="Arial" w:eastAsia="Arial" w:hAnsi="Arial"/>
          <w:sz w:val="16"/>
          <w:szCs w:val="16"/>
          <w:color w:val="auto"/>
        </w:rPr>
      </w:pPr>
      <w:r>
        <w:rPr>
          <w:rFonts w:ascii="Arial" w:cs="Arial" w:eastAsia="Arial" w:hAnsi="Arial"/>
          <w:sz w:val="16"/>
          <w:szCs w:val="16"/>
          <w:color w:val="auto"/>
        </w:rPr>
        <w:t>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of 1933, as amended, or the Exchange Act, except to the extent that the registrant specifically incorporates it by reference.</w:t>
      </w:r>
    </w:p>
    <w:p>
      <w:pPr>
        <w:spacing w:after="0" w:line="9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420"/>
          </w:cols>
          <w:pgMar w:left="240" w:top="459" w:right="23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SIGNATURES</w:t>
      </w:r>
    </w:p>
    <w:p>
      <w:pPr>
        <w:spacing w:after="0" w:line="177"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172"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2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2360" w:type="dxa"/>
            <w:vAlign w:val="bottom"/>
          </w:tcPr>
          <w:p>
            <w:pPr>
              <w:spacing w:after="0"/>
              <w:rPr>
                <w:sz w:val="19"/>
                <w:szCs w:val="19"/>
                <w:color w:val="auto"/>
              </w:rPr>
            </w:pPr>
          </w:p>
        </w:tc>
        <w:tc>
          <w:tcPr>
            <w:tcW w:w="8160" w:type="dxa"/>
            <w:vAlign w:val="bottom"/>
            <w:gridSpan w:val="2"/>
          </w:tcPr>
          <w:p>
            <w:pPr>
              <w:ind w:left="2660"/>
              <w:spacing w:after="0"/>
              <w:rPr>
                <w:sz w:val="20"/>
                <w:szCs w:val="20"/>
                <w:color w:val="auto"/>
              </w:rPr>
            </w:pPr>
            <w:r>
              <w:rPr>
                <w:rFonts w:ascii="Arial" w:cs="Arial" w:eastAsia="Arial" w:hAnsi="Arial"/>
                <w:sz w:val="18"/>
                <w:szCs w:val="18"/>
                <w:color w:val="auto"/>
              </w:rPr>
              <w:t>MARVELL TECHNOLOGY GROUP LTD.</w:t>
            </w:r>
          </w:p>
        </w:tc>
        <w:tc>
          <w:tcPr>
            <w:tcW w:w="0" w:type="dxa"/>
            <w:vAlign w:val="bottom"/>
          </w:tcPr>
          <w:p>
            <w:pPr>
              <w:spacing w:after="0"/>
              <w:rPr>
                <w:sz w:val="1"/>
                <w:szCs w:val="1"/>
                <w:color w:val="auto"/>
              </w:rPr>
            </w:pPr>
          </w:p>
        </w:tc>
      </w:tr>
      <w:tr>
        <w:trPr>
          <w:trHeight w:val="394"/>
        </w:trPr>
        <w:tc>
          <w:tcPr>
            <w:tcW w:w="20" w:type="dxa"/>
            <w:vAlign w:val="bottom"/>
          </w:tcPr>
          <w:p>
            <w:pPr>
              <w:spacing w:after="0"/>
              <w:rPr>
                <w:sz w:val="24"/>
                <w:szCs w:val="24"/>
                <w:color w:val="auto"/>
              </w:rPr>
            </w:pPr>
          </w:p>
        </w:tc>
        <w:tc>
          <w:tcPr>
            <w:tcW w:w="88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82"/>
              </w:rPr>
              <w:t>June 8, 2011</w:t>
            </w:r>
          </w:p>
        </w:tc>
        <w:tc>
          <w:tcPr>
            <w:tcW w:w="2360" w:type="dxa"/>
            <w:vAlign w:val="bottom"/>
          </w:tcPr>
          <w:p>
            <w:pPr>
              <w:spacing w:after="0"/>
              <w:rPr>
                <w:sz w:val="24"/>
                <w:szCs w:val="24"/>
                <w:color w:val="auto"/>
              </w:rPr>
            </w:pPr>
          </w:p>
        </w:tc>
        <w:tc>
          <w:tcPr>
            <w:tcW w:w="8160" w:type="dxa"/>
            <w:vAlign w:val="bottom"/>
            <w:gridSpan w:val="2"/>
          </w:tcPr>
          <w:p>
            <w:pPr>
              <w:ind w:left="2660"/>
              <w:spacing w:after="0"/>
              <w:rPr>
                <w:sz w:val="20"/>
                <w:szCs w:val="20"/>
                <w:color w:val="auto"/>
              </w:rPr>
            </w:pPr>
            <w:r>
              <w:rPr>
                <w:rFonts w:ascii="Arial" w:cs="Arial" w:eastAsia="Arial" w:hAnsi="Arial"/>
                <w:sz w:val="18"/>
                <w:szCs w:val="18"/>
                <w:color w:val="auto"/>
              </w:rPr>
              <w:t>By:  /s/ Clyde R. Hosein</w:t>
            </w:r>
          </w:p>
        </w:tc>
        <w:tc>
          <w:tcPr>
            <w:tcW w:w="0" w:type="dxa"/>
            <w:vAlign w:val="bottom"/>
          </w:tcPr>
          <w:p>
            <w:pPr>
              <w:spacing w:after="0"/>
              <w:rPr>
                <w:sz w:val="1"/>
                <w:szCs w:val="1"/>
                <w:color w:val="auto"/>
              </w:rPr>
            </w:pPr>
          </w:p>
        </w:tc>
      </w:tr>
      <w:tr>
        <w:trPr>
          <w:trHeight w:val="21"/>
        </w:trPr>
        <w:tc>
          <w:tcPr>
            <w:tcW w:w="3260" w:type="dxa"/>
            <w:vAlign w:val="bottom"/>
            <w:gridSpan w:val="3"/>
            <w:vMerge w:val="restart"/>
          </w:tcPr>
          <w:p>
            <w:pPr>
              <w:spacing w:after="0"/>
              <w:rPr>
                <w:sz w:val="20"/>
                <w:szCs w:val="20"/>
                <w:color w:val="auto"/>
              </w:rPr>
            </w:pPr>
            <w:r>
              <w:rPr>
                <w:rFonts w:ascii="Arial" w:cs="Arial" w:eastAsia="Arial" w:hAnsi="Arial"/>
                <w:sz w:val="18"/>
                <w:szCs w:val="18"/>
                <w:color w:val="auto"/>
              </w:rPr>
              <w:t>Date</w:t>
            </w:r>
          </w:p>
        </w:tc>
        <w:tc>
          <w:tcPr>
            <w:tcW w:w="3020" w:type="dxa"/>
            <w:vAlign w:val="bottom"/>
          </w:tcPr>
          <w:p>
            <w:pPr>
              <w:spacing w:after="0" w:line="20" w:lineRule="exact"/>
              <w:rPr>
                <w:sz w:val="1"/>
                <w:szCs w:val="1"/>
                <w:color w:val="auto"/>
              </w:rPr>
            </w:pPr>
          </w:p>
        </w:tc>
        <w:tc>
          <w:tcPr>
            <w:tcW w:w="51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215"/>
        </w:trPr>
        <w:tc>
          <w:tcPr>
            <w:tcW w:w="3260" w:type="dxa"/>
            <w:vAlign w:val="bottom"/>
            <w:gridSpan w:val="3"/>
            <w:vMerge w:val="continue"/>
          </w:tcPr>
          <w:p>
            <w:pPr>
              <w:spacing w:after="0"/>
              <w:rPr>
                <w:sz w:val="18"/>
                <w:szCs w:val="18"/>
                <w:color w:val="auto"/>
              </w:rPr>
            </w:pPr>
          </w:p>
        </w:tc>
        <w:tc>
          <w:tcPr>
            <w:tcW w:w="3020" w:type="dxa"/>
            <w:vAlign w:val="bottom"/>
          </w:tcPr>
          <w:p>
            <w:pPr>
              <w:spacing w:after="0"/>
              <w:rPr>
                <w:sz w:val="18"/>
                <w:szCs w:val="18"/>
                <w:color w:val="auto"/>
              </w:rPr>
            </w:pPr>
          </w:p>
        </w:tc>
        <w:tc>
          <w:tcPr>
            <w:tcW w:w="5140" w:type="dxa"/>
            <w:vAlign w:val="bottom"/>
          </w:tcPr>
          <w:p>
            <w:pPr>
              <w:spacing w:after="0"/>
              <w:rPr>
                <w:sz w:val="20"/>
                <w:szCs w:val="20"/>
                <w:color w:val="auto"/>
              </w:rPr>
            </w:pPr>
            <w:r>
              <w:rPr>
                <w:rFonts w:ascii="Arial" w:cs="Arial" w:eastAsia="Arial" w:hAnsi="Arial"/>
                <w:sz w:val="18"/>
                <w:szCs w:val="18"/>
                <w:color w:val="auto"/>
              </w:rPr>
              <w:t>Clyde R. Hosein</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2360" w:type="dxa"/>
            <w:vAlign w:val="bottom"/>
          </w:tcPr>
          <w:p>
            <w:pPr>
              <w:spacing w:after="0"/>
              <w:rPr>
                <w:sz w:val="19"/>
                <w:szCs w:val="19"/>
                <w:color w:val="auto"/>
              </w:rPr>
            </w:pPr>
          </w:p>
        </w:tc>
        <w:tc>
          <w:tcPr>
            <w:tcW w:w="3020" w:type="dxa"/>
            <w:vAlign w:val="bottom"/>
          </w:tcPr>
          <w:p>
            <w:pPr>
              <w:spacing w:after="0"/>
              <w:rPr>
                <w:sz w:val="19"/>
                <w:szCs w:val="19"/>
                <w:color w:val="auto"/>
              </w:rPr>
            </w:pPr>
          </w:p>
        </w:tc>
        <w:tc>
          <w:tcPr>
            <w:tcW w:w="5140" w:type="dxa"/>
            <w:vAlign w:val="bottom"/>
          </w:tcPr>
          <w:p>
            <w:pPr>
              <w:spacing w:after="0"/>
              <w:rPr>
                <w:sz w:val="20"/>
                <w:szCs w:val="20"/>
                <w:color w:val="auto"/>
              </w:rPr>
            </w:pPr>
            <w:r>
              <w:rPr>
                <w:rFonts w:ascii="Arial" w:cs="Arial" w:eastAsia="Arial" w:hAnsi="Arial"/>
                <w:sz w:val="18"/>
                <w:szCs w:val="18"/>
                <w:i w:val="1"/>
                <w:iCs w:val="1"/>
                <w:color w:val="auto"/>
              </w:rPr>
              <w:t>Chief Financial Officer and Secretary</w:t>
            </w:r>
          </w:p>
        </w:tc>
        <w:tc>
          <w:tcPr>
            <w:tcW w:w="0" w:type="dxa"/>
            <w:vAlign w:val="bottom"/>
          </w:tcPr>
          <w:p>
            <w:pPr>
              <w:spacing w:after="0"/>
              <w:rPr>
                <w:sz w:val="1"/>
                <w:szCs w:val="1"/>
                <w:color w:val="auto"/>
              </w:rPr>
            </w:pPr>
          </w:p>
        </w:tc>
      </w:tr>
      <w:tr>
        <w:trPr>
          <w:trHeight w:val="365"/>
        </w:trPr>
        <w:tc>
          <w:tcPr>
            <w:tcW w:w="2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2360" w:type="dxa"/>
            <w:vAlign w:val="bottom"/>
          </w:tcPr>
          <w:p>
            <w:pPr>
              <w:spacing w:after="0"/>
              <w:rPr>
                <w:sz w:val="24"/>
                <w:szCs w:val="24"/>
                <w:color w:val="auto"/>
              </w:rPr>
            </w:pPr>
          </w:p>
        </w:tc>
        <w:tc>
          <w:tcPr>
            <w:tcW w:w="3020" w:type="dxa"/>
            <w:vAlign w:val="bottom"/>
          </w:tcPr>
          <w:p>
            <w:pPr>
              <w:jc w:val="right"/>
              <w:ind w:right="392"/>
              <w:spacing w:after="0"/>
              <w:rPr>
                <w:sz w:val="20"/>
                <w:szCs w:val="20"/>
                <w:color w:val="auto"/>
              </w:rPr>
            </w:pPr>
            <w:r>
              <w:rPr>
                <w:rFonts w:ascii="Arial" w:cs="Arial" w:eastAsia="Arial" w:hAnsi="Arial"/>
                <w:sz w:val="18"/>
                <w:szCs w:val="18"/>
                <w:color w:val="auto"/>
              </w:rPr>
              <w:t>42</w:t>
            </w:r>
          </w:p>
        </w:tc>
        <w:tc>
          <w:tcPr>
            <w:tcW w:w="51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40" w:type="dxa"/>
        <w:tblCellMar>
          <w:top w:w="0" w:type="dxa"/>
          <w:left w:w="0" w:type="dxa"/>
          <w:bottom w:w="0" w:type="dxa"/>
          <w:right w:w="0" w:type="dxa"/>
        </w:tblCellMar>
      </w:tblPr>
      <w:tr>
        <w:trPr>
          <w:trHeight w:val="228"/>
        </w:trPr>
        <w:tc>
          <w:tcPr>
            <w:tcW w:w="880" w:type="dxa"/>
            <w:vAlign w:val="bottom"/>
          </w:tcPr>
          <w:p>
            <w:pPr>
              <w:spacing w:after="0"/>
              <w:rPr>
                <w:sz w:val="19"/>
                <w:szCs w:val="19"/>
                <w:color w:val="auto"/>
              </w:rPr>
            </w:pPr>
          </w:p>
        </w:tc>
        <w:tc>
          <w:tcPr>
            <w:tcW w:w="10320" w:type="dxa"/>
            <w:vAlign w:val="bottom"/>
          </w:tcPr>
          <w:p>
            <w:pPr>
              <w:ind w:left="4120"/>
              <w:spacing w:after="0"/>
              <w:rPr>
                <w:sz w:val="20"/>
                <w:szCs w:val="20"/>
                <w:color w:val="auto"/>
              </w:rPr>
            </w:pPr>
            <w:r>
              <w:rPr>
                <w:rFonts w:ascii="Arial" w:cs="Arial" w:eastAsia="Arial" w:hAnsi="Arial"/>
                <w:sz w:val="18"/>
                <w:szCs w:val="18"/>
                <w:b w:val="1"/>
                <w:bCs w:val="1"/>
                <w:color w:val="auto"/>
              </w:rPr>
              <w:t>EXHIBIT INDEX</w:t>
            </w:r>
          </w:p>
        </w:tc>
      </w:tr>
      <w:tr>
        <w:trPr>
          <w:trHeight w:val="412"/>
        </w:trPr>
        <w:tc>
          <w:tcPr>
            <w:tcW w:w="880" w:type="dxa"/>
            <w:vAlign w:val="bottom"/>
          </w:tcPr>
          <w:p>
            <w:pPr>
              <w:jc w:val="center"/>
              <w:ind w:right="152"/>
              <w:spacing w:after="0"/>
              <w:rPr>
                <w:sz w:val="20"/>
                <w:szCs w:val="20"/>
                <w:color w:val="auto"/>
              </w:rPr>
            </w:pPr>
            <w:r>
              <w:rPr>
                <w:rFonts w:ascii="Arial" w:cs="Arial" w:eastAsia="Arial" w:hAnsi="Arial"/>
                <w:sz w:val="18"/>
                <w:szCs w:val="18"/>
                <w:color w:val="auto"/>
                <w:w w:val="88"/>
              </w:rPr>
              <w:t>10.1#</w:t>
            </w:r>
          </w:p>
        </w:tc>
        <w:tc>
          <w:tcPr>
            <w:tcW w:w="10320" w:type="dxa"/>
            <w:vAlign w:val="bottom"/>
          </w:tcPr>
          <w:p>
            <w:pPr>
              <w:ind w:left="240"/>
              <w:spacing w:after="0"/>
              <w:rPr>
                <w:sz w:val="20"/>
                <w:szCs w:val="20"/>
                <w:color w:val="auto"/>
              </w:rPr>
            </w:pPr>
            <w:r>
              <w:rPr>
                <w:rFonts w:ascii="Arial" w:cs="Arial" w:eastAsia="Arial" w:hAnsi="Arial"/>
                <w:sz w:val="18"/>
                <w:szCs w:val="18"/>
                <w:color w:val="auto"/>
                <w:w w:val="89"/>
              </w:rPr>
              <w:t>Indemnification Arrangement with Dr. Sehat Sutardja, incorporated by reference to Exhibit 10.1 of the registrant’s Current Report on Form 8-K</w:t>
            </w:r>
          </w:p>
        </w:tc>
      </w:tr>
      <w:tr>
        <w:trPr>
          <w:trHeight w:val="222"/>
        </w:trPr>
        <w:tc>
          <w:tcPr>
            <w:tcW w:w="880" w:type="dxa"/>
            <w:vAlign w:val="bottom"/>
          </w:tcPr>
          <w:p>
            <w:pPr>
              <w:spacing w:after="0"/>
              <w:rPr>
                <w:sz w:val="19"/>
                <w:szCs w:val="19"/>
                <w:color w:val="auto"/>
              </w:rPr>
            </w:pPr>
          </w:p>
        </w:tc>
        <w:tc>
          <w:tcPr>
            <w:tcW w:w="10320" w:type="dxa"/>
            <w:vAlign w:val="bottom"/>
          </w:tcPr>
          <w:p>
            <w:pPr>
              <w:ind w:left="240"/>
              <w:spacing w:after="0"/>
              <w:rPr>
                <w:sz w:val="20"/>
                <w:szCs w:val="20"/>
                <w:color w:val="auto"/>
              </w:rPr>
            </w:pPr>
            <w:r>
              <w:rPr>
                <w:rFonts w:ascii="Arial" w:cs="Arial" w:eastAsia="Arial" w:hAnsi="Arial"/>
                <w:sz w:val="18"/>
                <w:szCs w:val="18"/>
                <w:color w:val="auto"/>
              </w:rPr>
              <w:t>as filed on March 7, 2011</w:t>
            </w:r>
          </w:p>
        </w:tc>
      </w:tr>
      <w:tr>
        <w:trPr>
          <w:trHeight w:val="324"/>
        </w:trPr>
        <w:tc>
          <w:tcPr>
            <w:tcW w:w="880" w:type="dxa"/>
            <w:vAlign w:val="bottom"/>
          </w:tcPr>
          <w:p>
            <w:pPr>
              <w:jc w:val="center"/>
              <w:ind w:right="152"/>
              <w:spacing w:after="0"/>
              <w:rPr>
                <w:sz w:val="20"/>
                <w:szCs w:val="20"/>
                <w:color w:val="auto"/>
              </w:rPr>
            </w:pPr>
            <w:r>
              <w:rPr>
                <w:rFonts w:ascii="Arial" w:cs="Arial" w:eastAsia="Arial" w:hAnsi="Arial"/>
                <w:sz w:val="18"/>
                <w:szCs w:val="18"/>
                <w:color w:val="auto"/>
                <w:w w:val="91"/>
              </w:rPr>
              <w:t>31.1</w:t>
            </w:r>
          </w:p>
        </w:tc>
        <w:tc>
          <w:tcPr>
            <w:tcW w:w="10320" w:type="dxa"/>
            <w:vAlign w:val="bottom"/>
          </w:tcPr>
          <w:p>
            <w:pPr>
              <w:ind w:left="240"/>
              <w:spacing w:after="0"/>
              <w:rPr>
                <w:sz w:val="20"/>
                <w:szCs w:val="20"/>
                <w:color w:val="auto"/>
              </w:rPr>
            </w:pPr>
            <w:r>
              <w:rPr>
                <w:rFonts w:ascii="Arial" w:cs="Arial" w:eastAsia="Arial" w:hAnsi="Arial"/>
                <w:sz w:val="18"/>
                <w:szCs w:val="18"/>
                <w:color w:val="auto"/>
              </w:rPr>
              <w:t>Certification of Chief Executive Officer as required pursuant to Section 302 of the Sarbanes-Oxley Act of 2002</w:t>
            </w:r>
          </w:p>
        </w:tc>
      </w:tr>
      <w:tr>
        <w:trPr>
          <w:trHeight w:val="324"/>
        </w:trPr>
        <w:tc>
          <w:tcPr>
            <w:tcW w:w="880" w:type="dxa"/>
            <w:vAlign w:val="bottom"/>
          </w:tcPr>
          <w:p>
            <w:pPr>
              <w:jc w:val="center"/>
              <w:ind w:right="152"/>
              <w:spacing w:after="0"/>
              <w:rPr>
                <w:sz w:val="20"/>
                <w:szCs w:val="20"/>
                <w:color w:val="auto"/>
              </w:rPr>
            </w:pPr>
            <w:r>
              <w:rPr>
                <w:rFonts w:ascii="Arial" w:cs="Arial" w:eastAsia="Arial" w:hAnsi="Arial"/>
                <w:sz w:val="18"/>
                <w:szCs w:val="18"/>
                <w:color w:val="auto"/>
                <w:w w:val="91"/>
              </w:rPr>
              <w:t>31.2</w:t>
            </w:r>
          </w:p>
        </w:tc>
        <w:tc>
          <w:tcPr>
            <w:tcW w:w="10320" w:type="dxa"/>
            <w:vAlign w:val="bottom"/>
          </w:tcPr>
          <w:p>
            <w:pPr>
              <w:ind w:left="240"/>
              <w:spacing w:after="0"/>
              <w:rPr>
                <w:sz w:val="20"/>
                <w:szCs w:val="20"/>
                <w:color w:val="auto"/>
              </w:rPr>
            </w:pPr>
            <w:r>
              <w:rPr>
                <w:rFonts w:ascii="Arial" w:cs="Arial" w:eastAsia="Arial" w:hAnsi="Arial"/>
                <w:sz w:val="18"/>
                <w:szCs w:val="18"/>
                <w:color w:val="auto"/>
              </w:rPr>
              <w:t>Certification of Chief Financial Officer as required pursuant to Section 302 of the Sarbanes-Oxley Act of 2002</w:t>
            </w:r>
          </w:p>
        </w:tc>
      </w:tr>
      <w:tr>
        <w:trPr>
          <w:trHeight w:val="324"/>
        </w:trPr>
        <w:tc>
          <w:tcPr>
            <w:tcW w:w="880" w:type="dxa"/>
            <w:vAlign w:val="bottom"/>
          </w:tcPr>
          <w:p>
            <w:pPr>
              <w:jc w:val="center"/>
              <w:ind w:right="152"/>
              <w:spacing w:after="0"/>
              <w:rPr>
                <w:sz w:val="20"/>
                <w:szCs w:val="20"/>
                <w:color w:val="auto"/>
              </w:rPr>
            </w:pPr>
            <w:r>
              <w:rPr>
                <w:rFonts w:ascii="Arial" w:cs="Arial" w:eastAsia="Arial" w:hAnsi="Arial"/>
                <w:sz w:val="18"/>
                <w:szCs w:val="18"/>
                <w:color w:val="auto"/>
                <w:w w:val="95"/>
              </w:rPr>
              <w:t>32.1*</w:t>
            </w:r>
          </w:p>
        </w:tc>
        <w:tc>
          <w:tcPr>
            <w:tcW w:w="10320" w:type="dxa"/>
            <w:vAlign w:val="bottom"/>
          </w:tcPr>
          <w:p>
            <w:pPr>
              <w:ind w:left="240"/>
              <w:spacing w:after="0"/>
              <w:rPr>
                <w:sz w:val="20"/>
                <w:szCs w:val="20"/>
                <w:color w:val="auto"/>
              </w:rPr>
            </w:pPr>
            <w:r>
              <w:rPr>
                <w:rFonts w:ascii="Arial" w:cs="Arial" w:eastAsia="Arial" w:hAnsi="Arial"/>
                <w:sz w:val="18"/>
                <w:szCs w:val="18"/>
                <w:color w:val="auto"/>
              </w:rPr>
              <w:t>Certification of Chief Executive Officer as required pursuant to Section 906 of the Sarbanes-Oxley Act of 2002</w:t>
            </w:r>
          </w:p>
        </w:tc>
      </w:tr>
      <w:tr>
        <w:trPr>
          <w:trHeight w:val="324"/>
        </w:trPr>
        <w:tc>
          <w:tcPr>
            <w:tcW w:w="880" w:type="dxa"/>
            <w:vAlign w:val="bottom"/>
          </w:tcPr>
          <w:p>
            <w:pPr>
              <w:jc w:val="center"/>
              <w:ind w:right="152"/>
              <w:spacing w:after="0"/>
              <w:rPr>
                <w:sz w:val="20"/>
                <w:szCs w:val="20"/>
                <w:color w:val="auto"/>
              </w:rPr>
            </w:pPr>
            <w:r>
              <w:rPr>
                <w:rFonts w:ascii="Arial" w:cs="Arial" w:eastAsia="Arial" w:hAnsi="Arial"/>
                <w:sz w:val="18"/>
                <w:szCs w:val="18"/>
                <w:color w:val="auto"/>
                <w:w w:val="95"/>
              </w:rPr>
              <w:t>32.2*</w:t>
            </w:r>
          </w:p>
        </w:tc>
        <w:tc>
          <w:tcPr>
            <w:tcW w:w="10320" w:type="dxa"/>
            <w:vAlign w:val="bottom"/>
          </w:tcPr>
          <w:p>
            <w:pPr>
              <w:ind w:left="240"/>
              <w:spacing w:after="0"/>
              <w:rPr>
                <w:sz w:val="20"/>
                <w:szCs w:val="20"/>
                <w:color w:val="auto"/>
              </w:rPr>
            </w:pPr>
            <w:r>
              <w:rPr>
                <w:rFonts w:ascii="Arial" w:cs="Arial" w:eastAsia="Arial" w:hAnsi="Arial"/>
                <w:sz w:val="18"/>
                <w:szCs w:val="18"/>
                <w:color w:val="auto"/>
              </w:rPr>
              <w:t>Certification of Chief Financial Officer as required pursuant to Section 906 of the Sarbanes-Oxley Act of 2002</w:t>
            </w:r>
          </w:p>
        </w:tc>
      </w:tr>
      <w:tr>
        <w:trPr>
          <w:trHeight w:val="324"/>
        </w:trPr>
        <w:tc>
          <w:tcPr>
            <w:tcW w:w="880" w:type="dxa"/>
            <w:vAlign w:val="bottom"/>
          </w:tcPr>
          <w:p>
            <w:pPr>
              <w:jc w:val="center"/>
              <w:ind w:right="152"/>
              <w:spacing w:after="0"/>
              <w:rPr>
                <w:sz w:val="20"/>
                <w:szCs w:val="20"/>
                <w:color w:val="auto"/>
              </w:rPr>
            </w:pPr>
            <w:r>
              <w:rPr>
                <w:rFonts w:ascii="Arial" w:cs="Arial" w:eastAsia="Arial" w:hAnsi="Arial"/>
                <w:sz w:val="18"/>
                <w:szCs w:val="18"/>
                <w:color w:val="auto"/>
                <w:w w:val="92"/>
              </w:rPr>
              <w:t>101.INS</w:t>
            </w:r>
          </w:p>
        </w:tc>
        <w:tc>
          <w:tcPr>
            <w:tcW w:w="10320" w:type="dxa"/>
            <w:vAlign w:val="bottom"/>
          </w:tcPr>
          <w:p>
            <w:pPr>
              <w:ind w:left="240"/>
              <w:spacing w:after="0"/>
              <w:rPr>
                <w:sz w:val="20"/>
                <w:szCs w:val="20"/>
                <w:color w:val="auto"/>
              </w:rPr>
            </w:pPr>
            <w:r>
              <w:rPr>
                <w:rFonts w:ascii="Arial" w:cs="Arial" w:eastAsia="Arial" w:hAnsi="Arial"/>
                <w:sz w:val="18"/>
                <w:szCs w:val="18"/>
                <w:color w:val="auto"/>
              </w:rPr>
              <w:t>XBRL Instance Document</w:t>
            </w:r>
          </w:p>
        </w:tc>
      </w:tr>
      <w:tr>
        <w:trPr>
          <w:trHeight w:val="324"/>
        </w:trPr>
        <w:tc>
          <w:tcPr>
            <w:tcW w:w="880" w:type="dxa"/>
            <w:vAlign w:val="bottom"/>
          </w:tcPr>
          <w:p>
            <w:pPr>
              <w:jc w:val="center"/>
              <w:ind w:right="152"/>
              <w:spacing w:after="0"/>
              <w:rPr>
                <w:sz w:val="20"/>
                <w:szCs w:val="20"/>
                <w:color w:val="auto"/>
              </w:rPr>
            </w:pPr>
            <w:r>
              <w:rPr>
                <w:rFonts w:ascii="Arial" w:cs="Arial" w:eastAsia="Arial" w:hAnsi="Arial"/>
                <w:sz w:val="18"/>
                <w:szCs w:val="18"/>
                <w:color w:val="auto"/>
                <w:w w:val="87"/>
              </w:rPr>
              <w:t>101.SCH</w:t>
            </w:r>
          </w:p>
        </w:tc>
        <w:tc>
          <w:tcPr>
            <w:tcW w:w="10320" w:type="dxa"/>
            <w:vAlign w:val="bottom"/>
          </w:tcPr>
          <w:p>
            <w:pPr>
              <w:ind w:left="240"/>
              <w:spacing w:after="0"/>
              <w:rPr>
                <w:sz w:val="20"/>
                <w:szCs w:val="20"/>
                <w:color w:val="auto"/>
              </w:rPr>
            </w:pPr>
            <w:r>
              <w:rPr>
                <w:rFonts w:ascii="Arial" w:cs="Arial" w:eastAsia="Arial" w:hAnsi="Arial"/>
                <w:sz w:val="18"/>
                <w:szCs w:val="18"/>
                <w:color w:val="auto"/>
              </w:rPr>
              <w:t>XBRL Taxonomy Extension Schema Document</w:t>
            </w:r>
          </w:p>
        </w:tc>
      </w:tr>
      <w:tr>
        <w:trPr>
          <w:trHeight w:val="324"/>
        </w:trPr>
        <w:tc>
          <w:tcPr>
            <w:tcW w:w="880" w:type="dxa"/>
            <w:vAlign w:val="bottom"/>
          </w:tcPr>
          <w:p>
            <w:pPr>
              <w:jc w:val="center"/>
              <w:ind w:right="152"/>
              <w:spacing w:after="0"/>
              <w:rPr>
                <w:sz w:val="20"/>
                <w:szCs w:val="20"/>
                <w:color w:val="auto"/>
              </w:rPr>
            </w:pPr>
            <w:r>
              <w:rPr>
                <w:rFonts w:ascii="Arial" w:cs="Arial" w:eastAsia="Arial" w:hAnsi="Arial"/>
                <w:sz w:val="18"/>
                <w:szCs w:val="18"/>
                <w:color w:val="auto"/>
                <w:w w:val="91"/>
              </w:rPr>
              <w:t>101.CAL</w:t>
            </w:r>
          </w:p>
        </w:tc>
        <w:tc>
          <w:tcPr>
            <w:tcW w:w="10320" w:type="dxa"/>
            <w:vAlign w:val="bottom"/>
          </w:tcPr>
          <w:p>
            <w:pPr>
              <w:ind w:left="240"/>
              <w:spacing w:after="0"/>
              <w:rPr>
                <w:sz w:val="20"/>
                <w:szCs w:val="20"/>
                <w:color w:val="auto"/>
              </w:rPr>
            </w:pPr>
            <w:r>
              <w:rPr>
                <w:rFonts w:ascii="Arial" w:cs="Arial" w:eastAsia="Arial" w:hAnsi="Arial"/>
                <w:sz w:val="18"/>
                <w:szCs w:val="18"/>
                <w:color w:val="auto"/>
              </w:rPr>
              <w:t>XBRL Taxonomy Extension Calculation Linkbase Document</w:t>
            </w:r>
          </w:p>
        </w:tc>
      </w:tr>
      <w:tr>
        <w:trPr>
          <w:trHeight w:val="324"/>
        </w:trPr>
        <w:tc>
          <w:tcPr>
            <w:tcW w:w="880" w:type="dxa"/>
            <w:vAlign w:val="bottom"/>
          </w:tcPr>
          <w:p>
            <w:pPr>
              <w:jc w:val="center"/>
              <w:ind w:right="152"/>
              <w:spacing w:after="0"/>
              <w:rPr>
                <w:sz w:val="20"/>
                <w:szCs w:val="20"/>
                <w:color w:val="auto"/>
              </w:rPr>
            </w:pPr>
            <w:r>
              <w:rPr>
                <w:rFonts w:ascii="Arial" w:cs="Arial" w:eastAsia="Arial" w:hAnsi="Arial"/>
                <w:sz w:val="18"/>
                <w:szCs w:val="18"/>
                <w:color w:val="auto"/>
                <w:w w:val="90"/>
              </w:rPr>
              <w:t>101.DEF</w:t>
            </w:r>
          </w:p>
        </w:tc>
        <w:tc>
          <w:tcPr>
            <w:tcW w:w="10320" w:type="dxa"/>
            <w:vAlign w:val="bottom"/>
          </w:tcPr>
          <w:p>
            <w:pPr>
              <w:ind w:left="240"/>
              <w:spacing w:after="0"/>
              <w:rPr>
                <w:sz w:val="20"/>
                <w:szCs w:val="20"/>
                <w:color w:val="auto"/>
              </w:rPr>
            </w:pPr>
            <w:r>
              <w:rPr>
                <w:rFonts w:ascii="Arial" w:cs="Arial" w:eastAsia="Arial" w:hAnsi="Arial"/>
                <w:sz w:val="18"/>
                <w:szCs w:val="18"/>
                <w:color w:val="auto"/>
              </w:rPr>
              <w:t>XBRL Taxonomy Extension Definition Document</w:t>
            </w:r>
          </w:p>
        </w:tc>
      </w:tr>
      <w:tr>
        <w:trPr>
          <w:trHeight w:val="324"/>
        </w:trPr>
        <w:tc>
          <w:tcPr>
            <w:tcW w:w="880" w:type="dxa"/>
            <w:vAlign w:val="bottom"/>
          </w:tcPr>
          <w:p>
            <w:pPr>
              <w:jc w:val="center"/>
              <w:ind w:right="152"/>
              <w:spacing w:after="0"/>
              <w:rPr>
                <w:sz w:val="20"/>
                <w:szCs w:val="20"/>
                <w:color w:val="auto"/>
              </w:rPr>
            </w:pPr>
            <w:r>
              <w:rPr>
                <w:rFonts w:ascii="Arial" w:cs="Arial" w:eastAsia="Arial" w:hAnsi="Arial"/>
                <w:sz w:val="18"/>
                <w:szCs w:val="18"/>
                <w:color w:val="auto"/>
                <w:w w:val="92"/>
              </w:rPr>
              <w:t>101.LAB</w:t>
            </w:r>
          </w:p>
        </w:tc>
        <w:tc>
          <w:tcPr>
            <w:tcW w:w="10320" w:type="dxa"/>
            <w:vAlign w:val="bottom"/>
          </w:tcPr>
          <w:p>
            <w:pPr>
              <w:ind w:left="240"/>
              <w:spacing w:after="0"/>
              <w:rPr>
                <w:sz w:val="20"/>
                <w:szCs w:val="20"/>
                <w:color w:val="auto"/>
              </w:rPr>
            </w:pPr>
            <w:r>
              <w:rPr>
                <w:rFonts w:ascii="Arial" w:cs="Arial" w:eastAsia="Arial" w:hAnsi="Arial"/>
                <w:sz w:val="18"/>
                <w:szCs w:val="18"/>
                <w:color w:val="auto"/>
              </w:rPr>
              <w:t>XBRL Taxonomy Extension Label Linkbase Document</w:t>
            </w:r>
          </w:p>
        </w:tc>
      </w:tr>
      <w:tr>
        <w:trPr>
          <w:trHeight w:val="324"/>
        </w:trPr>
        <w:tc>
          <w:tcPr>
            <w:tcW w:w="880" w:type="dxa"/>
            <w:vAlign w:val="bottom"/>
          </w:tcPr>
          <w:p>
            <w:pPr>
              <w:jc w:val="center"/>
              <w:ind w:right="152"/>
              <w:spacing w:after="0"/>
              <w:rPr>
                <w:sz w:val="20"/>
                <w:szCs w:val="20"/>
                <w:color w:val="auto"/>
              </w:rPr>
            </w:pPr>
            <w:r>
              <w:rPr>
                <w:rFonts w:ascii="Arial" w:cs="Arial" w:eastAsia="Arial" w:hAnsi="Arial"/>
                <w:sz w:val="18"/>
                <w:szCs w:val="18"/>
                <w:color w:val="auto"/>
                <w:w w:val="88"/>
              </w:rPr>
              <w:t>101.PRE</w:t>
            </w:r>
          </w:p>
        </w:tc>
        <w:tc>
          <w:tcPr>
            <w:tcW w:w="10320" w:type="dxa"/>
            <w:vAlign w:val="bottom"/>
          </w:tcPr>
          <w:p>
            <w:pPr>
              <w:ind w:left="240"/>
              <w:spacing w:after="0"/>
              <w:rPr>
                <w:sz w:val="20"/>
                <w:szCs w:val="20"/>
                <w:color w:val="auto"/>
              </w:rPr>
            </w:pPr>
            <w:r>
              <w:rPr>
                <w:rFonts w:ascii="Arial" w:cs="Arial" w:eastAsia="Arial" w:hAnsi="Arial"/>
                <w:sz w:val="18"/>
                <w:szCs w:val="18"/>
                <w:color w:val="auto"/>
              </w:rPr>
              <w:t>XBRL Taxonomy Extension Presentation Linkbase Document</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ind w:left="460" w:hanging="452"/>
        <w:spacing w:after="0"/>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Management contracts or compensation plans or arrangements in which directors or executive officers are eligible to participate.</w:t>
      </w:r>
    </w:p>
    <w:p>
      <w:pPr>
        <w:spacing w:after="0" w:line="15" w:lineRule="exact"/>
        <w:rPr>
          <w:sz w:val="20"/>
          <w:szCs w:val="20"/>
          <w:color w:val="auto"/>
        </w:rPr>
      </w:pPr>
    </w:p>
    <w:p>
      <w:pPr>
        <w:ind w:left="460" w:hanging="452"/>
        <w:spacing w:after="0" w:line="302" w:lineRule="auto"/>
        <w:tabs>
          <w:tab w:leader="none" w:pos="460" w:val="left"/>
        </w:tabs>
        <w:numPr>
          <w:ilvl w:val="0"/>
          <w:numId w:val="17"/>
        </w:numPr>
        <w:rPr>
          <w:rFonts w:ascii="Arial" w:cs="Arial" w:eastAsia="Arial" w:hAnsi="Arial"/>
          <w:sz w:val="16"/>
          <w:szCs w:val="16"/>
          <w:color w:val="auto"/>
        </w:rPr>
      </w:pPr>
      <w:r>
        <w:rPr>
          <w:rFonts w:ascii="Arial" w:cs="Arial" w:eastAsia="Arial" w:hAnsi="Arial"/>
          <w:sz w:val="16"/>
          <w:szCs w:val="16"/>
          <w:color w:val="auto"/>
        </w:rPr>
        <w:t>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of 1933, as amended, or the Exchange Act, except to the extent that the registrant specifically incorporates it by reference.</w:t>
      </w:r>
    </w:p>
    <w:p>
      <w:pPr>
        <w:spacing w:after="0" w:line="96"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360"/>
          </w:cols>
          <w:pgMar w:left="240" w:top="459" w:right="299" w:bottom="1440" w:gutter="0" w:footer="0" w:header="0"/>
        </w:sectPr>
      </w:pPr>
    </w:p>
    <w:bookmarkStart w:id="44" w:name="page45"/>
    <w:bookmarkEnd w:id="44"/>
    <w:p>
      <w:pPr>
        <w:jc w:val="right"/>
        <w:spacing w:after="0"/>
        <w:rPr>
          <w:sz w:val="20"/>
          <w:szCs w:val="20"/>
          <w:color w:val="auto"/>
        </w:rPr>
      </w:pPr>
      <w:r>
        <w:rPr>
          <w:rFonts w:ascii="Arial" w:cs="Arial" w:eastAsia="Arial" w:hAnsi="Arial"/>
          <w:sz w:val="18"/>
          <w:szCs w:val="18"/>
          <w:b w:val="1"/>
          <w:bCs w:val="1"/>
          <w:color w:val="auto"/>
        </w:rPr>
        <w:t>Exhibit 31.1</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color w:val="auto"/>
        </w:rPr>
        <w:t>I, Sehat Sutardja, Ph. D., certify that:</w:t>
      </w:r>
    </w:p>
    <w:p>
      <w:pPr>
        <w:spacing w:after="0" w:line="90" w:lineRule="exact"/>
        <w:rPr>
          <w:sz w:val="20"/>
          <w:szCs w:val="20"/>
          <w:color w:val="auto"/>
        </w:rPr>
      </w:pPr>
    </w:p>
    <w:p>
      <w:pPr>
        <w:ind w:left="460" w:hanging="452"/>
        <w:spacing w:after="0"/>
        <w:tabs>
          <w:tab w:leader="none" w:pos="4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90" w:lineRule="exact"/>
        <w:rPr>
          <w:rFonts w:ascii="Arial" w:cs="Arial" w:eastAsia="Arial" w:hAnsi="Arial"/>
          <w:sz w:val="18"/>
          <w:szCs w:val="18"/>
          <w:color w:val="auto"/>
        </w:rPr>
      </w:pPr>
    </w:p>
    <w:p>
      <w:pPr>
        <w:ind w:left="460" w:right="260" w:hanging="452"/>
        <w:spacing w:after="0" w:line="357" w:lineRule="auto"/>
        <w:tabs>
          <w:tab w:leader="none" w:pos="460" w:val="left"/>
        </w:tabs>
        <w:numPr>
          <w:ilvl w:val="0"/>
          <w:numId w:val="18"/>
        </w:numPr>
        <w:rPr>
          <w:rFonts w:ascii="Arial" w:cs="Arial" w:eastAsia="Arial" w:hAnsi="Arial"/>
          <w:sz w:val="15"/>
          <w:szCs w:val="15"/>
          <w:color w:val="auto"/>
        </w:rPr>
      </w:pPr>
      <w:r>
        <w:rPr>
          <w:rFonts w:ascii="Arial" w:cs="Arial" w:eastAsia="Arial" w:hAnsi="Arial"/>
          <w:sz w:val="15"/>
          <w:szCs w:val="15"/>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ind w:left="460" w:right="60" w:hanging="452"/>
        <w:spacing w:after="0" w:line="268" w:lineRule="auto"/>
        <w:tabs>
          <w:tab w:leader="none" w:pos="4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0" w:lineRule="exact"/>
        <w:rPr>
          <w:rFonts w:ascii="Arial" w:cs="Arial" w:eastAsia="Arial" w:hAnsi="Arial"/>
          <w:sz w:val="18"/>
          <w:szCs w:val="18"/>
          <w:color w:val="auto"/>
        </w:rPr>
      </w:pPr>
    </w:p>
    <w:p>
      <w:pPr>
        <w:ind w:left="460" w:right="200" w:hanging="452"/>
        <w:spacing w:after="0" w:line="259" w:lineRule="auto"/>
        <w:tabs>
          <w:tab w:leader="none" w:pos="4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59" w:lineRule="exact"/>
        <w:rPr>
          <w:rFonts w:ascii="Arial" w:cs="Arial" w:eastAsia="Arial" w:hAnsi="Arial"/>
          <w:sz w:val="18"/>
          <w:szCs w:val="18"/>
          <w:color w:val="auto"/>
        </w:rPr>
      </w:pPr>
    </w:p>
    <w:p>
      <w:pPr>
        <w:ind w:left="900" w:right="60" w:hanging="446"/>
        <w:spacing w:after="0" w:line="259" w:lineRule="auto"/>
        <w:tabs>
          <w:tab w:leader="none" w:pos="900" w:val="left"/>
        </w:tabs>
        <w:numPr>
          <w:ilvl w:val="1"/>
          <w:numId w:val="18"/>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59" w:lineRule="exact"/>
        <w:rPr>
          <w:rFonts w:ascii="Arial" w:cs="Arial" w:eastAsia="Arial" w:hAnsi="Arial"/>
          <w:sz w:val="18"/>
          <w:szCs w:val="18"/>
          <w:color w:val="auto"/>
        </w:rPr>
      </w:pPr>
    </w:p>
    <w:p>
      <w:pPr>
        <w:ind w:left="900" w:right="40" w:hanging="446"/>
        <w:spacing w:after="0" w:line="259" w:lineRule="auto"/>
        <w:tabs>
          <w:tab w:leader="none" w:pos="900" w:val="left"/>
        </w:tabs>
        <w:numPr>
          <w:ilvl w:val="1"/>
          <w:numId w:val="18"/>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59" w:lineRule="exact"/>
        <w:rPr>
          <w:rFonts w:ascii="Arial" w:cs="Arial" w:eastAsia="Arial" w:hAnsi="Arial"/>
          <w:sz w:val="18"/>
          <w:szCs w:val="18"/>
          <w:color w:val="auto"/>
        </w:rPr>
      </w:pPr>
    </w:p>
    <w:p>
      <w:pPr>
        <w:ind w:left="900" w:right="100" w:hanging="446"/>
        <w:spacing w:after="0" w:line="332" w:lineRule="auto"/>
        <w:tabs>
          <w:tab w:leader="none" w:pos="900" w:val="left"/>
        </w:tabs>
        <w:numPr>
          <w:ilvl w:val="1"/>
          <w:numId w:val="18"/>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4" w:lineRule="exact"/>
        <w:rPr>
          <w:rFonts w:ascii="Arial" w:cs="Arial" w:eastAsia="Arial" w:hAnsi="Arial"/>
          <w:sz w:val="16"/>
          <w:szCs w:val="16"/>
          <w:color w:val="auto"/>
        </w:rPr>
      </w:pPr>
    </w:p>
    <w:p>
      <w:pPr>
        <w:ind w:left="900" w:right="140" w:hanging="446"/>
        <w:spacing w:after="0" w:line="259" w:lineRule="auto"/>
        <w:tabs>
          <w:tab w:leader="none" w:pos="900" w:val="left"/>
        </w:tabs>
        <w:numPr>
          <w:ilvl w:val="1"/>
          <w:numId w:val="18"/>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59" w:lineRule="exact"/>
        <w:rPr>
          <w:rFonts w:ascii="Arial" w:cs="Arial" w:eastAsia="Arial" w:hAnsi="Arial"/>
          <w:sz w:val="18"/>
          <w:szCs w:val="18"/>
          <w:color w:val="auto"/>
        </w:rPr>
      </w:pPr>
    </w:p>
    <w:p>
      <w:pPr>
        <w:ind w:left="460" w:right="640" w:hanging="452"/>
        <w:spacing w:after="0" w:line="332" w:lineRule="auto"/>
        <w:tabs>
          <w:tab w:leader="none" w:pos="460" w:val="left"/>
        </w:tabs>
        <w:numPr>
          <w:ilvl w:val="0"/>
          <w:numId w:val="18"/>
        </w:numPr>
        <w:rPr>
          <w:rFonts w:ascii="Arial" w:cs="Arial" w:eastAsia="Arial" w:hAnsi="Arial"/>
          <w:sz w:val="16"/>
          <w:szCs w:val="16"/>
          <w:color w:val="auto"/>
        </w:rPr>
      </w:pPr>
      <w:r>
        <w:rPr>
          <w:rFonts w:ascii="Arial" w:cs="Arial" w:eastAsia="Arial" w:hAnsi="Arial"/>
          <w:sz w:val="16"/>
          <w:szCs w:val="16"/>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4" w:lineRule="exact"/>
        <w:rPr>
          <w:rFonts w:ascii="Arial" w:cs="Arial" w:eastAsia="Arial" w:hAnsi="Arial"/>
          <w:sz w:val="16"/>
          <w:szCs w:val="16"/>
          <w:color w:val="auto"/>
        </w:rPr>
      </w:pPr>
    </w:p>
    <w:p>
      <w:pPr>
        <w:ind w:left="900" w:right="20" w:hanging="446"/>
        <w:spacing w:after="0" w:line="268" w:lineRule="auto"/>
        <w:tabs>
          <w:tab w:leader="none" w:pos="900" w:val="left"/>
        </w:tabs>
        <w:numPr>
          <w:ilvl w:val="1"/>
          <w:numId w:val="18"/>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50" w:lineRule="exact"/>
        <w:rPr>
          <w:rFonts w:ascii="Arial" w:cs="Arial" w:eastAsia="Arial" w:hAnsi="Arial"/>
          <w:sz w:val="18"/>
          <w:szCs w:val="18"/>
          <w:color w:val="auto"/>
        </w:rPr>
      </w:pPr>
    </w:p>
    <w:p>
      <w:pPr>
        <w:ind w:left="900" w:right="60" w:hanging="446"/>
        <w:spacing w:after="0" w:line="268" w:lineRule="auto"/>
        <w:tabs>
          <w:tab w:leader="none" w:pos="900" w:val="left"/>
        </w:tabs>
        <w:numPr>
          <w:ilvl w:val="1"/>
          <w:numId w:val="18"/>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2" w:lineRule="exact"/>
        <w:rPr>
          <w:sz w:val="20"/>
          <w:szCs w:val="20"/>
          <w:color w:val="auto"/>
        </w:rPr>
      </w:pPr>
    </w:p>
    <w:p>
      <w:pPr>
        <w:spacing w:after="0"/>
        <w:tabs>
          <w:tab w:leader="none" w:pos="5900" w:val="left"/>
        </w:tabs>
        <w:rPr>
          <w:sz w:val="20"/>
          <w:szCs w:val="20"/>
          <w:color w:val="auto"/>
        </w:rPr>
      </w:pPr>
      <w:r>
        <w:rPr>
          <w:rFonts w:ascii="Arial" w:cs="Arial" w:eastAsia="Arial" w:hAnsi="Arial"/>
          <w:sz w:val="18"/>
          <w:szCs w:val="18"/>
          <w:color w:val="auto"/>
        </w:rPr>
        <w:t xml:space="preserve">Date: </w:t>
      </w:r>
      <w:r>
        <w:rPr>
          <w:rFonts w:ascii="Arial" w:cs="Arial" w:eastAsia="Arial" w:hAnsi="Arial"/>
          <w:sz w:val="18"/>
          <w:szCs w:val="18"/>
          <w:u w:val="single" w:color="auto"/>
          <w:color w:val="auto"/>
        </w:rPr>
        <w:t>June 8, 2011</w:t>
      </w:r>
      <w:r>
        <w:rPr>
          <w:sz w:val="20"/>
          <w:szCs w:val="20"/>
          <w:color w:val="auto"/>
        </w:rPr>
        <w:tab/>
      </w:r>
      <w:r>
        <w:rPr>
          <w:rFonts w:ascii="Arial" w:cs="Arial" w:eastAsia="Arial" w:hAnsi="Arial"/>
          <w:sz w:val="16"/>
          <w:szCs w:val="16"/>
          <w:color w:val="auto"/>
        </w:rPr>
        <w:t>By:  /s/ S</w:t>
      </w:r>
      <w:r>
        <w:rPr>
          <w:rFonts w:ascii="Arial" w:cs="Arial" w:eastAsia="Arial" w:hAnsi="Arial"/>
          <w:sz w:val="13"/>
          <w:szCs w:val="13"/>
          <w:color w:val="auto"/>
        </w:rPr>
        <w:t>EHAT</w:t>
      </w:r>
      <w:r>
        <w:rPr>
          <w:rFonts w:ascii="Arial" w:cs="Arial" w:eastAsia="Arial" w:hAnsi="Arial"/>
          <w:sz w:val="16"/>
          <w:szCs w:val="16"/>
          <w:color w:val="auto"/>
        </w:rPr>
        <w:t xml:space="preserve"> S</w:t>
      </w:r>
      <w:r>
        <w:rPr>
          <w:rFonts w:ascii="Arial" w:cs="Arial" w:eastAsia="Arial" w:hAnsi="Arial"/>
          <w:sz w:val="13"/>
          <w:szCs w:val="13"/>
          <w:color w:val="auto"/>
        </w:rPr>
        <w:t>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3992880</wp:posOffset>
            </wp:positionH>
            <wp:positionV relativeFrom="paragraph">
              <wp:posOffset>10795</wp:posOffset>
            </wp:positionV>
            <wp:extent cx="3258820" cy="88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3258820" cy="8890"/>
                    </a:xfrm>
                    <a:prstGeom prst="rect">
                      <a:avLst/>
                    </a:prstGeom>
                    <a:noFill/>
                  </pic:spPr>
                </pic:pic>
              </a:graphicData>
            </a:graphic>
          </wp:anchor>
        </w:drawing>
      </w:r>
    </w:p>
    <w:p>
      <w:pPr>
        <w:spacing w:after="0" w:line="22" w:lineRule="exact"/>
        <w:rPr>
          <w:sz w:val="20"/>
          <w:szCs w:val="20"/>
          <w:color w:val="auto"/>
        </w:rPr>
      </w:pPr>
    </w:p>
    <w:p>
      <w:pPr>
        <w:ind w:left="6280"/>
        <w:spacing w:after="0"/>
        <w:rPr>
          <w:sz w:val="20"/>
          <w:szCs w:val="20"/>
          <w:color w:val="auto"/>
        </w:rPr>
      </w:pPr>
      <w:r>
        <w:rPr>
          <w:rFonts w:ascii="Arial" w:cs="Arial" w:eastAsia="Arial" w:hAnsi="Arial"/>
          <w:sz w:val="18"/>
          <w:szCs w:val="18"/>
          <w:color w:val="auto"/>
        </w:rPr>
        <w:t>Sehat Sutardja, Ph.D.</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color w:val="auto"/>
        </w:rPr>
        <w:t>President and Chief Executive Officer</w:t>
      </w:r>
    </w:p>
    <w:p>
      <w:pPr>
        <w:sectPr>
          <w:pgSz w:w="11900" w:h="16838" w:orient="portrait"/>
          <w:cols w:equalWidth="0" w:num="1">
            <w:col w:w="11420"/>
          </w:cols>
          <w:pgMar w:left="240" w:top="125" w:right="239" w:bottom="1440" w:gutter="0" w:footer="0" w:header="0"/>
        </w:sectPr>
      </w:pPr>
    </w:p>
    <w:bookmarkStart w:id="45" w:name="page46"/>
    <w:bookmarkEnd w:id="45"/>
    <w:p>
      <w:pPr>
        <w:jc w:val="right"/>
        <w:spacing w:after="0"/>
        <w:rPr>
          <w:sz w:val="20"/>
          <w:szCs w:val="20"/>
          <w:color w:val="auto"/>
        </w:rPr>
      </w:pPr>
      <w:r>
        <w:rPr>
          <w:rFonts w:ascii="Arial" w:cs="Arial" w:eastAsia="Arial" w:hAnsi="Arial"/>
          <w:sz w:val="18"/>
          <w:szCs w:val="18"/>
          <w:b w:val="1"/>
          <w:bCs w:val="1"/>
          <w:color w:val="auto"/>
        </w:rPr>
        <w:t>Exhibit 31.2</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color w:val="auto"/>
        </w:rPr>
        <w:t>I, Clyde R. Hosein, certify that:</w:t>
      </w:r>
    </w:p>
    <w:p>
      <w:pPr>
        <w:spacing w:after="0" w:line="90" w:lineRule="exact"/>
        <w:rPr>
          <w:sz w:val="20"/>
          <w:szCs w:val="20"/>
          <w:color w:val="auto"/>
        </w:rPr>
      </w:pPr>
    </w:p>
    <w:p>
      <w:pPr>
        <w:ind w:left="460" w:hanging="452"/>
        <w:spacing w:after="0"/>
        <w:tabs>
          <w:tab w:leader="none" w:pos="4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90" w:lineRule="exact"/>
        <w:rPr>
          <w:rFonts w:ascii="Arial" w:cs="Arial" w:eastAsia="Arial" w:hAnsi="Arial"/>
          <w:sz w:val="18"/>
          <w:szCs w:val="18"/>
          <w:color w:val="auto"/>
        </w:rPr>
      </w:pPr>
    </w:p>
    <w:p>
      <w:pPr>
        <w:ind w:left="460" w:right="260" w:hanging="452"/>
        <w:spacing w:after="0" w:line="357" w:lineRule="auto"/>
        <w:tabs>
          <w:tab w:leader="none" w:pos="460" w:val="left"/>
        </w:tabs>
        <w:numPr>
          <w:ilvl w:val="0"/>
          <w:numId w:val="19"/>
        </w:numPr>
        <w:rPr>
          <w:rFonts w:ascii="Arial" w:cs="Arial" w:eastAsia="Arial" w:hAnsi="Arial"/>
          <w:sz w:val="15"/>
          <w:szCs w:val="15"/>
          <w:color w:val="auto"/>
        </w:rPr>
      </w:pPr>
      <w:r>
        <w:rPr>
          <w:rFonts w:ascii="Arial" w:cs="Arial" w:eastAsia="Arial" w:hAnsi="Arial"/>
          <w:sz w:val="15"/>
          <w:szCs w:val="15"/>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ind w:left="460" w:right="60" w:hanging="452"/>
        <w:spacing w:after="0" w:line="268" w:lineRule="auto"/>
        <w:tabs>
          <w:tab w:leader="none" w:pos="4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0" w:lineRule="exact"/>
        <w:rPr>
          <w:rFonts w:ascii="Arial" w:cs="Arial" w:eastAsia="Arial" w:hAnsi="Arial"/>
          <w:sz w:val="18"/>
          <w:szCs w:val="18"/>
          <w:color w:val="auto"/>
        </w:rPr>
      </w:pPr>
    </w:p>
    <w:p>
      <w:pPr>
        <w:ind w:left="460" w:right="200" w:hanging="452"/>
        <w:spacing w:after="0" w:line="259" w:lineRule="auto"/>
        <w:tabs>
          <w:tab w:leader="none" w:pos="4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59" w:lineRule="exact"/>
        <w:rPr>
          <w:rFonts w:ascii="Arial" w:cs="Arial" w:eastAsia="Arial" w:hAnsi="Arial"/>
          <w:sz w:val="18"/>
          <w:szCs w:val="18"/>
          <w:color w:val="auto"/>
        </w:rPr>
      </w:pPr>
    </w:p>
    <w:p>
      <w:pPr>
        <w:ind w:left="900" w:right="60" w:hanging="446"/>
        <w:spacing w:after="0" w:line="259" w:lineRule="auto"/>
        <w:tabs>
          <w:tab w:leader="none" w:pos="900" w:val="left"/>
        </w:tabs>
        <w:numPr>
          <w:ilvl w:val="1"/>
          <w:numId w:val="19"/>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59" w:lineRule="exact"/>
        <w:rPr>
          <w:rFonts w:ascii="Arial" w:cs="Arial" w:eastAsia="Arial" w:hAnsi="Arial"/>
          <w:sz w:val="18"/>
          <w:szCs w:val="18"/>
          <w:color w:val="auto"/>
        </w:rPr>
      </w:pPr>
    </w:p>
    <w:p>
      <w:pPr>
        <w:ind w:left="900" w:right="40" w:hanging="446"/>
        <w:spacing w:after="0" w:line="259" w:lineRule="auto"/>
        <w:tabs>
          <w:tab w:leader="none" w:pos="900" w:val="left"/>
        </w:tabs>
        <w:numPr>
          <w:ilvl w:val="1"/>
          <w:numId w:val="19"/>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59" w:lineRule="exact"/>
        <w:rPr>
          <w:rFonts w:ascii="Arial" w:cs="Arial" w:eastAsia="Arial" w:hAnsi="Arial"/>
          <w:sz w:val="18"/>
          <w:szCs w:val="18"/>
          <w:color w:val="auto"/>
        </w:rPr>
      </w:pPr>
    </w:p>
    <w:p>
      <w:pPr>
        <w:ind w:left="900" w:right="100" w:hanging="446"/>
        <w:spacing w:after="0" w:line="332" w:lineRule="auto"/>
        <w:tabs>
          <w:tab w:leader="none" w:pos="900" w:val="left"/>
        </w:tabs>
        <w:numPr>
          <w:ilvl w:val="1"/>
          <w:numId w:val="19"/>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4" w:lineRule="exact"/>
        <w:rPr>
          <w:rFonts w:ascii="Arial" w:cs="Arial" w:eastAsia="Arial" w:hAnsi="Arial"/>
          <w:sz w:val="16"/>
          <w:szCs w:val="16"/>
          <w:color w:val="auto"/>
        </w:rPr>
      </w:pPr>
    </w:p>
    <w:p>
      <w:pPr>
        <w:ind w:left="900" w:right="140" w:hanging="446"/>
        <w:spacing w:after="0" w:line="259" w:lineRule="auto"/>
        <w:tabs>
          <w:tab w:leader="none" w:pos="900" w:val="left"/>
        </w:tabs>
        <w:numPr>
          <w:ilvl w:val="1"/>
          <w:numId w:val="19"/>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59" w:lineRule="exact"/>
        <w:rPr>
          <w:rFonts w:ascii="Arial" w:cs="Arial" w:eastAsia="Arial" w:hAnsi="Arial"/>
          <w:sz w:val="18"/>
          <w:szCs w:val="18"/>
          <w:color w:val="auto"/>
        </w:rPr>
      </w:pPr>
    </w:p>
    <w:p>
      <w:pPr>
        <w:ind w:left="460" w:right="640" w:hanging="452"/>
        <w:spacing w:after="0" w:line="332" w:lineRule="auto"/>
        <w:tabs>
          <w:tab w:leader="none" w:pos="460" w:val="left"/>
        </w:tabs>
        <w:numPr>
          <w:ilvl w:val="0"/>
          <w:numId w:val="19"/>
        </w:numPr>
        <w:rPr>
          <w:rFonts w:ascii="Arial" w:cs="Arial" w:eastAsia="Arial" w:hAnsi="Arial"/>
          <w:sz w:val="16"/>
          <w:szCs w:val="16"/>
          <w:color w:val="auto"/>
        </w:rPr>
      </w:pPr>
      <w:r>
        <w:rPr>
          <w:rFonts w:ascii="Arial" w:cs="Arial" w:eastAsia="Arial" w:hAnsi="Arial"/>
          <w:sz w:val="16"/>
          <w:szCs w:val="16"/>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4" w:lineRule="exact"/>
        <w:rPr>
          <w:rFonts w:ascii="Arial" w:cs="Arial" w:eastAsia="Arial" w:hAnsi="Arial"/>
          <w:sz w:val="16"/>
          <w:szCs w:val="16"/>
          <w:color w:val="auto"/>
        </w:rPr>
      </w:pPr>
    </w:p>
    <w:p>
      <w:pPr>
        <w:ind w:left="900" w:right="20" w:hanging="446"/>
        <w:spacing w:after="0" w:line="268" w:lineRule="auto"/>
        <w:tabs>
          <w:tab w:leader="none" w:pos="900" w:val="left"/>
        </w:tabs>
        <w:numPr>
          <w:ilvl w:val="1"/>
          <w:numId w:val="19"/>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50" w:lineRule="exact"/>
        <w:rPr>
          <w:rFonts w:ascii="Arial" w:cs="Arial" w:eastAsia="Arial" w:hAnsi="Arial"/>
          <w:sz w:val="18"/>
          <w:szCs w:val="18"/>
          <w:color w:val="auto"/>
        </w:rPr>
      </w:pPr>
    </w:p>
    <w:p>
      <w:pPr>
        <w:ind w:left="900" w:right="60" w:hanging="446"/>
        <w:spacing w:after="0" w:line="268" w:lineRule="auto"/>
        <w:tabs>
          <w:tab w:leader="none" w:pos="900" w:val="left"/>
        </w:tabs>
        <w:numPr>
          <w:ilvl w:val="1"/>
          <w:numId w:val="19"/>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2" w:lineRule="exact"/>
        <w:rPr>
          <w:sz w:val="20"/>
          <w:szCs w:val="20"/>
          <w:color w:val="auto"/>
        </w:rPr>
      </w:pPr>
    </w:p>
    <w:p>
      <w:pPr>
        <w:spacing w:after="0"/>
        <w:tabs>
          <w:tab w:leader="none" w:pos="5900" w:val="left"/>
        </w:tabs>
        <w:rPr>
          <w:sz w:val="20"/>
          <w:szCs w:val="20"/>
          <w:color w:val="auto"/>
        </w:rPr>
      </w:pPr>
      <w:r>
        <w:rPr>
          <w:rFonts w:ascii="Arial" w:cs="Arial" w:eastAsia="Arial" w:hAnsi="Arial"/>
          <w:sz w:val="18"/>
          <w:szCs w:val="18"/>
          <w:color w:val="auto"/>
        </w:rPr>
        <w:t xml:space="preserve">Date: </w:t>
      </w:r>
      <w:r>
        <w:rPr>
          <w:rFonts w:ascii="Arial" w:cs="Arial" w:eastAsia="Arial" w:hAnsi="Arial"/>
          <w:sz w:val="18"/>
          <w:szCs w:val="18"/>
          <w:u w:val="single" w:color="auto"/>
          <w:color w:val="auto"/>
        </w:rPr>
        <w:t>June 8, 2011</w:t>
      </w:r>
      <w:r>
        <w:rPr>
          <w:sz w:val="20"/>
          <w:szCs w:val="20"/>
          <w:color w:val="auto"/>
        </w:rPr>
        <w:tab/>
      </w:r>
      <w:r>
        <w:rPr>
          <w:rFonts w:ascii="Arial" w:cs="Arial" w:eastAsia="Arial" w:hAnsi="Arial"/>
          <w:sz w:val="16"/>
          <w:szCs w:val="16"/>
          <w:color w:val="auto"/>
        </w:rPr>
        <w:t>By:  /s/ C</w:t>
      </w:r>
      <w:r>
        <w:rPr>
          <w:rFonts w:ascii="Arial" w:cs="Arial" w:eastAsia="Arial" w:hAnsi="Arial"/>
          <w:sz w:val="13"/>
          <w:szCs w:val="13"/>
          <w:color w:val="auto"/>
        </w:rPr>
        <w:t>LYDE</w:t>
      </w:r>
      <w:r>
        <w:rPr>
          <w:rFonts w:ascii="Arial" w:cs="Arial" w:eastAsia="Arial" w:hAnsi="Arial"/>
          <w:sz w:val="16"/>
          <w:szCs w:val="16"/>
          <w:color w:val="auto"/>
        </w:rPr>
        <w:t xml:space="preserve"> R. H</w:t>
      </w:r>
      <w:r>
        <w:rPr>
          <w:rFonts w:ascii="Arial" w:cs="Arial" w:eastAsia="Arial" w:hAnsi="Arial"/>
          <w:sz w:val="13"/>
          <w:szCs w:val="13"/>
          <w:color w:val="auto"/>
        </w:rPr>
        <w:t>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3992880</wp:posOffset>
            </wp:positionH>
            <wp:positionV relativeFrom="paragraph">
              <wp:posOffset>10795</wp:posOffset>
            </wp:positionV>
            <wp:extent cx="3258820" cy="88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3258820" cy="8890"/>
                    </a:xfrm>
                    <a:prstGeom prst="rect">
                      <a:avLst/>
                    </a:prstGeom>
                    <a:noFill/>
                  </pic:spPr>
                </pic:pic>
              </a:graphicData>
            </a:graphic>
          </wp:anchor>
        </w:drawing>
      </w:r>
    </w:p>
    <w:p>
      <w:pPr>
        <w:spacing w:after="0" w:line="22" w:lineRule="exact"/>
        <w:rPr>
          <w:sz w:val="20"/>
          <w:szCs w:val="20"/>
          <w:color w:val="auto"/>
        </w:rPr>
      </w:pPr>
    </w:p>
    <w:p>
      <w:pPr>
        <w:ind w:left="6280"/>
        <w:spacing w:after="0"/>
        <w:rPr>
          <w:sz w:val="20"/>
          <w:szCs w:val="20"/>
          <w:color w:val="auto"/>
        </w:rPr>
      </w:pPr>
      <w:r>
        <w:rPr>
          <w:rFonts w:ascii="Arial" w:cs="Arial" w:eastAsia="Arial" w:hAnsi="Arial"/>
          <w:sz w:val="18"/>
          <w:szCs w:val="18"/>
          <w:color w:val="auto"/>
        </w:rPr>
        <w:t>Clyde R. Hosein</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color w:val="auto"/>
        </w:rPr>
        <w:t>Chief Financial Officer and Secretary</w:t>
      </w:r>
    </w:p>
    <w:p>
      <w:pPr>
        <w:sectPr>
          <w:pgSz w:w="11900" w:h="16838" w:orient="portrait"/>
          <w:cols w:equalWidth="0" w:num="1">
            <w:col w:w="11420"/>
          </w:cols>
          <w:pgMar w:left="240" w:top="125" w:right="239" w:bottom="1440" w:gutter="0" w:footer="0" w:header="0"/>
        </w:sectPr>
      </w:pPr>
    </w:p>
    <w:bookmarkStart w:id="46" w:name="page47"/>
    <w:bookmarkEnd w:id="46"/>
    <w:p>
      <w:pPr>
        <w:jc w:val="right"/>
        <w:spacing w:after="0"/>
        <w:rPr>
          <w:sz w:val="20"/>
          <w:szCs w:val="20"/>
          <w:color w:val="auto"/>
        </w:rPr>
      </w:pPr>
      <w:r>
        <w:rPr>
          <w:rFonts w:ascii="Arial" w:cs="Arial" w:eastAsia="Arial" w:hAnsi="Arial"/>
          <w:sz w:val="18"/>
          <w:szCs w:val="18"/>
          <w:b w:val="1"/>
          <w:bCs w:val="1"/>
          <w:color w:val="auto"/>
        </w:rPr>
        <w:t>Exhibit 32.1</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177" w:lineRule="exact"/>
        <w:rPr>
          <w:sz w:val="20"/>
          <w:szCs w:val="20"/>
          <w:color w:val="auto"/>
        </w:rPr>
      </w:pPr>
    </w:p>
    <w:p>
      <w:pPr>
        <w:ind w:right="500"/>
        <w:spacing w:after="0" w:line="332" w:lineRule="auto"/>
        <w:rPr>
          <w:sz w:val="20"/>
          <w:szCs w:val="20"/>
          <w:color w:val="auto"/>
        </w:rPr>
      </w:pPr>
      <w:r>
        <w:rPr>
          <w:rFonts w:ascii="Arial" w:cs="Arial" w:eastAsia="Arial" w:hAnsi="Arial"/>
          <w:sz w:val="16"/>
          <w:szCs w:val="16"/>
          <w:color w:val="auto"/>
        </w:rPr>
        <w:t>I, Sehat Sutardja Ph.D., the president and chief executive officer of Marvell Technology Group Ltd. (the “Company”), certify for the purposes of 18 U.S.C. Section 1350, as adopted pursuant to Section 906 of the Sarbanes-Oxley Act of 2002, that, to the best of my knowledge,</w:t>
      </w:r>
    </w:p>
    <w:p>
      <w:pPr>
        <w:spacing w:after="0" w:line="4" w:lineRule="exact"/>
        <w:rPr>
          <w:sz w:val="20"/>
          <w:szCs w:val="20"/>
          <w:color w:val="auto"/>
        </w:rPr>
      </w:pPr>
    </w:p>
    <w:p>
      <w:pPr>
        <w:ind w:left="900" w:right="120" w:hanging="446"/>
        <w:spacing w:after="0" w:line="268" w:lineRule="auto"/>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April 30, 2011 (the “Report”), fully complies with the requirements of Section 13(a) or 15(d) of the Securities Exchange Act of 1934, as amended; and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20"/>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3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 S</w:t>
      </w:r>
      <w:r>
        <w:rPr>
          <w:rFonts w:ascii="Arial" w:cs="Arial" w:eastAsia="Arial" w:hAnsi="Arial"/>
          <w:sz w:val="14"/>
          <w:szCs w:val="14"/>
          <w:color w:val="auto"/>
        </w:rPr>
        <w:t>EHAT</w:t>
      </w:r>
      <w:r>
        <w:rPr>
          <w:rFonts w:ascii="Arial" w:cs="Arial" w:eastAsia="Arial" w:hAnsi="Arial"/>
          <w:sz w:val="18"/>
          <w:szCs w:val="18"/>
          <w:color w:val="auto"/>
        </w:rPr>
        <w:t xml:space="preserve"> S</w:t>
      </w:r>
      <w:r>
        <w:rPr>
          <w:rFonts w:ascii="Arial" w:cs="Arial" w:eastAsia="Arial" w:hAnsi="Arial"/>
          <w:sz w:val="14"/>
          <w:szCs w:val="14"/>
          <w:color w:val="auto"/>
        </w:rPr>
        <w:t>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3"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Sehat Sutardja, Ph.D.</w:t>
      </w:r>
    </w:p>
    <w:p>
      <w:pPr>
        <w:spacing w:after="0" w:line="1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President and Chief Executive Officer</w:t>
      </w:r>
    </w:p>
    <w:p>
      <w:pPr>
        <w:spacing w:after="0" w:line="16"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 xml:space="preserve">Date: </w:t>
      </w:r>
      <w:r>
        <w:rPr>
          <w:rFonts w:ascii="Arial" w:cs="Arial" w:eastAsia="Arial" w:hAnsi="Arial"/>
          <w:sz w:val="18"/>
          <w:szCs w:val="18"/>
          <w:u w:val="single" w:color="auto"/>
          <w:color w:val="auto"/>
        </w:rPr>
        <w:t>June 8, 2011</w:t>
      </w:r>
    </w:p>
    <w:p>
      <w:pPr>
        <w:sectPr>
          <w:pgSz w:w="11900" w:h="16838" w:orient="portrait"/>
          <w:cols w:equalWidth="0" w:num="1">
            <w:col w:w="11420"/>
          </w:cols>
          <w:pgMar w:left="240" w:top="125" w:right="239" w:bottom="1440" w:gutter="0" w:footer="0" w:header="0"/>
        </w:sectPr>
      </w:pPr>
    </w:p>
    <w:bookmarkStart w:id="47" w:name="page48"/>
    <w:bookmarkEnd w:id="47"/>
    <w:p>
      <w:pPr>
        <w:jc w:val="right"/>
        <w:spacing w:after="0"/>
        <w:rPr>
          <w:sz w:val="20"/>
          <w:szCs w:val="20"/>
          <w:color w:val="auto"/>
        </w:rPr>
      </w:pPr>
      <w:r>
        <w:rPr>
          <w:rFonts w:ascii="Arial" w:cs="Arial" w:eastAsia="Arial" w:hAnsi="Arial"/>
          <w:sz w:val="18"/>
          <w:szCs w:val="18"/>
          <w:b w:val="1"/>
          <w:bCs w:val="1"/>
          <w:color w:val="auto"/>
        </w:rPr>
        <w:t>Exhibit 32.2</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177"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color w:val="auto"/>
        </w:rPr>
        <w:t>I, Clyde Hosein, the chief financial officer of Marvell Technology Group Ltd. (the “Company”), certify for the purposes of 18 U.S.C. Section 1350, as adopted pursuant to Section 906 of the Sarbanes-Oxley Act of 2002, that, to the best of my knowledge,</w:t>
      </w:r>
    </w:p>
    <w:p>
      <w:pPr>
        <w:spacing w:after="0" w:line="51" w:lineRule="exact"/>
        <w:rPr>
          <w:sz w:val="20"/>
          <w:szCs w:val="20"/>
          <w:color w:val="auto"/>
        </w:rPr>
      </w:pPr>
    </w:p>
    <w:p>
      <w:pPr>
        <w:ind w:left="900" w:right="120" w:hanging="446"/>
        <w:spacing w:after="0" w:line="268" w:lineRule="auto"/>
        <w:tabs>
          <w:tab w:leader="none" w:pos="90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April 30, 2011 (the “Report”), fully complies with the requirements of Section 13(a) or 15(d) of the Securities Exchange Act of 1934, as amended; and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21"/>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3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 C</w:t>
      </w:r>
      <w:r>
        <w:rPr>
          <w:rFonts w:ascii="Arial" w:cs="Arial" w:eastAsia="Arial" w:hAnsi="Arial"/>
          <w:sz w:val="14"/>
          <w:szCs w:val="14"/>
          <w:color w:val="auto"/>
        </w:rPr>
        <w:t>LYDE</w:t>
      </w:r>
      <w:r>
        <w:rPr>
          <w:rFonts w:ascii="Arial" w:cs="Arial" w:eastAsia="Arial" w:hAnsi="Arial"/>
          <w:sz w:val="18"/>
          <w:szCs w:val="18"/>
          <w:color w:val="auto"/>
        </w:rPr>
        <w:t xml:space="preserve"> R. H</w:t>
      </w:r>
      <w:r>
        <w:rPr>
          <w:rFonts w:ascii="Arial" w:cs="Arial" w:eastAsia="Arial" w:hAnsi="Arial"/>
          <w:sz w:val="14"/>
          <w:szCs w:val="14"/>
          <w:color w:val="auto"/>
        </w:rPr>
        <w:t>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3"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Clyde R. Hosein</w:t>
      </w:r>
    </w:p>
    <w:p>
      <w:pPr>
        <w:spacing w:after="0" w:line="1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Chief Financial Officer and Secretary</w:t>
      </w:r>
    </w:p>
    <w:p>
      <w:pPr>
        <w:spacing w:after="0" w:line="16"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 xml:space="preserve">Date: </w:t>
      </w:r>
      <w:r>
        <w:rPr>
          <w:rFonts w:ascii="Arial" w:cs="Arial" w:eastAsia="Arial" w:hAnsi="Arial"/>
          <w:sz w:val="18"/>
          <w:szCs w:val="18"/>
          <w:u w:val="single" w:color="auto"/>
          <w:color w:val="auto"/>
        </w:rPr>
        <w:t>June 8, 2011</w:t>
      </w:r>
    </w:p>
    <w:sectPr>
      <w:pgSz w:w="11900" w:h="16838" w:orient="portrait"/>
      <w:cols w:equalWidth="0" w:num="1">
        <w:col w:w="11420"/>
      </w:cols>
      <w:pgMar w:left="240" w:top="125"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1F16E9E8"/>
    <w:multiLevelType w:val="hybridMultilevel"/>
    <w:lvl w:ilvl="0">
      <w:lvlJc w:val="left"/>
      <w:lvlText w:val="☒"/>
      <w:numFmt w:val="bullet"/>
      <w:start w:val="1"/>
    </w:lvl>
  </w:abstractNum>
  <w:abstractNum w:abstractNumId="1">
    <w:nsid w:val="1190CDE7"/>
    <w:multiLevelType w:val="hybridMultilevel"/>
    <w:lvl w:ilvl="0">
      <w:lvlJc w:val="left"/>
      <w:lvlText w:val="☐"/>
      <w:numFmt w:val="bullet"/>
      <w:start w:val="1"/>
    </w:lvl>
  </w:abstractNum>
  <w:abstractNum w:abstractNumId="2">
    <w:nsid w:val="66EF438D"/>
    <w:multiLevelType w:val="hybridMultilevel"/>
    <w:lvl w:ilvl="0">
      <w:lvlJc w:val="left"/>
      <w:lvlText w:val="*"/>
      <w:numFmt w:val="bullet"/>
      <w:start w:val="1"/>
    </w:lvl>
  </w:abstractNum>
  <w:abstractNum w:abstractNumId="3">
    <w:nsid w:val="140E0F76"/>
    <w:multiLevelType w:val="hybridMultilevel"/>
    <w:lvl w:ilvl="0">
      <w:lvlJc w:val="left"/>
      <w:lvlText w:val="•"/>
      <w:numFmt w:val="bullet"/>
      <w:start w:val="1"/>
    </w:lvl>
  </w:abstractNum>
  <w:abstractNum w:abstractNumId="4">
    <w:nsid w:val="3352255A"/>
    <w:multiLevelType w:val="hybridMultilevel"/>
    <w:lvl w:ilvl="0">
      <w:lvlJc w:val="left"/>
      <w:lvlText w:val="•"/>
      <w:numFmt w:val="bullet"/>
      <w:start w:val="1"/>
    </w:lvl>
  </w:abstractNum>
  <w:abstractNum w:abstractNumId="5">
    <w:nsid w:val="109CF92E"/>
    <w:multiLevelType w:val="hybridMultilevel"/>
    <w:lvl w:ilvl="0">
      <w:lvlJc w:val="left"/>
      <w:lvlText w:val="•"/>
      <w:numFmt w:val="bullet"/>
      <w:start w:val="1"/>
    </w:lvl>
  </w:abstractNum>
  <w:abstractNum w:abstractNumId="6">
    <w:nsid w:val="DED7263"/>
    <w:multiLevelType w:val="hybridMultilevel"/>
    <w:lvl w:ilvl="0">
      <w:lvlJc w:val="left"/>
      <w:lvlText w:val="•"/>
      <w:numFmt w:val="bullet"/>
      <w:start w:val="1"/>
    </w:lvl>
  </w:abstractNum>
  <w:abstractNum w:abstractNumId="7">
    <w:nsid w:val="7FDCC233"/>
    <w:multiLevelType w:val="hybridMultilevel"/>
    <w:lvl w:ilvl="0">
      <w:lvlJc w:val="left"/>
      <w:lvlText w:val="•"/>
      <w:numFmt w:val="bullet"/>
      <w:start w:val="1"/>
    </w:lvl>
  </w:abstractNum>
  <w:abstractNum w:abstractNumId="8">
    <w:nsid w:val="1BEFD79F"/>
    <w:multiLevelType w:val="hybridMultilevel"/>
    <w:lvl w:ilvl="0">
      <w:lvlJc w:val="left"/>
      <w:lvlText w:val="•"/>
      <w:numFmt w:val="bullet"/>
      <w:start w:val="1"/>
    </w:lvl>
  </w:abstractNum>
  <w:abstractNum w:abstractNumId="9">
    <w:nsid w:val="41A7C4C9"/>
    <w:multiLevelType w:val="hybridMultilevel"/>
    <w:lvl w:ilvl="0">
      <w:lvlJc w:val="left"/>
      <w:lvlText w:val="•"/>
      <w:numFmt w:val="bullet"/>
      <w:start w:val="1"/>
    </w:lvl>
  </w:abstractNum>
  <w:abstractNum w:abstractNumId="10">
    <w:nsid w:val="6B68079A"/>
    <w:multiLevelType w:val="hybridMultilevel"/>
    <w:lvl w:ilvl="0">
      <w:lvlJc w:val="left"/>
      <w:lvlText w:val="•"/>
      <w:numFmt w:val="bullet"/>
      <w:start w:val="1"/>
    </w:lvl>
  </w:abstractNum>
  <w:abstractNum w:abstractNumId="11">
    <w:nsid w:val="4E6AFB66"/>
    <w:multiLevelType w:val="hybridMultilevel"/>
    <w:lvl w:ilvl="0">
      <w:lvlJc w:val="left"/>
      <w:lvlText w:val="•"/>
      <w:numFmt w:val="bullet"/>
      <w:start w:val="1"/>
    </w:lvl>
  </w:abstractNum>
  <w:abstractNum w:abstractNumId="12">
    <w:nsid w:val="25E45D32"/>
    <w:multiLevelType w:val="hybridMultilevel"/>
    <w:lvl w:ilvl="0">
      <w:lvlJc w:val="left"/>
      <w:lvlText w:val="(%1)"/>
      <w:numFmt w:val="decimal"/>
      <w:start w:val="1"/>
    </w:lvl>
  </w:abstractNum>
  <w:abstractNum w:abstractNumId="13">
    <w:nsid w:val="519B500D"/>
    <w:multiLevelType w:val="hybridMultilevel"/>
    <w:lvl w:ilvl="0">
      <w:lvlJc w:val="left"/>
      <w:lvlText w:val="#"/>
      <w:numFmt w:val="bullet"/>
      <w:start w:val="1"/>
    </w:lvl>
  </w:abstractNum>
  <w:abstractNum w:abstractNumId="14">
    <w:nsid w:val="431BD7B7"/>
    <w:multiLevelType w:val="hybridMultilevel"/>
    <w:lvl w:ilvl="0">
      <w:lvlJc w:val="left"/>
      <w:lvlText w:val="*"/>
      <w:numFmt w:val="bullet"/>
      <w:start w:val="1"/>
    </w:lvl>
  </w:abstractNum>
  <w:abstractNum w:abstractNumId="15">
    <w:nsid w:val="3F2DBA31"/>
    <w:multiLevelType w:val="hybridMultilevel"/>
    <w:lvl w:ilvl="0">
      <w:lvlJc w:val="left"/>
      <w:lvlText w:val="#"/>
      <w:numFmt w:val="bullet"/>
      <w:start w:val="1"/>
    </w:lvl>
  </w:abstractNum>
  <w:abstractNum w:abstractNumId="16">
    <w:nsid w:val="7C83E458"/>
    <w:multiLevelType w:val="hybridMultilevel"/>
    <w:lvl w:ilvl="0">
      <w:lvlJc w:val="left"/>
      <w:lvlText w:val="*"/>
      <w:numFmt w:val="bullet"/>
      <w:start w:val="1"/>
    </w:lvl>
  </w:abstractNum>
  <w:abstractNum w:abstractNumId="17">
    <w:nsid w:val="257130A3"/>
    <w:multiLevelType w:val="hybridMultilevel"/>
    <w:lvl w:ilvl="0">
      <w:lvlJc w:val="left"/>
      <w:lvlText w:val="%1."/>
      <w:numFmt w:val="decimal"/>
      <w:start w:val="1"/>
    </w:lvl>
    <w:lvl w:ilvl="1">
      <w:lvlJc w:val="left"/>
      <w:lvlText w:val="%2)"/>
      <w:numFmt w:val="lowerLetter"/>
      <w:start w:val="1"/>
    </w:lvl>
  </w:abstractNum>
  <w:abstractNum w:abstractNumId="18">
    <w:nsid w:val="62BBD95A"/>
    <w:multiLevelType w:val="hybridMultilevel"/>
    <w:lvl w:ilvl="0">
      <w:lvlJc w:val="left"/>
      <w:lvlText w:val="%1."/>
      <w:numFmt w:val="decimal"/>
      <w:start w:val="1"/>
    </w:lvl>
    <w:lvl w:ilvl="1">
      <w:lvlJc w:val="left"/>
      <w:lvlText w:val="%2)"/>
      <w:numFmt w:val="lowerLetter"/>
      <w:start w:val="1"/>
    </w:lvl>
  </w:abstractNum>
  <w:abstractNum w:abstractNumId="19">
    <w:nsid w:val="436C6125"/>
    <w:multiLevelType w:val="hybridMultilevel"/>
    <w:lvl w:ilvl="0">
      <w:lvlJc w:val="left"/>
      <w:lvlText w:val="(%1)"/>
      <w:numFmt w:val="lowerRoman"/>
      <w:start w:val="1"/>
    </w:lvl>
  </w:abstractNum>
  <w:abstractNum w:abstractNumId="20">
    <w:nsid w:val="628C895D"/>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2019-12-10T18:00:01Z</dcterms:created>
  <dcterms:modified xsi:type="dcterms:W3CDTF">2019-12-10T18:00:01Z</dcterms:modified>
</cp:coreProperties>
</file>