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April 29,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ind w:right="12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45" w:lineRule="exact"/>
        <w:rPr>
          <w:sz w:val="20"/>
          <w:szCs w:val="20"/>
          <w:color w:val="auto"/>
        </w:rPr>
      </w:pPr>
    </w:p>
    <w:p>
      <w:pPr>
        <w:ind w:right="760" w:firstLine="456"/>
        <w:spacing w:after="0" w:line="332" w:lineRule="auto"/>
        <w:rPr>
          <w:sz w:val="20"/>
          <w:szCs w:val="20"/>
          <w:color w:val="auto"/>
        </w:rPr>
      </w:pPr>
      <w:r>
        <w:rPr>
          <w:rFonts w:ascii="Arial" w:cs="Arial" w:eastAsia="Arial" w:hAnsi="Arial"/>
          <w:sz w:val="16"/>
          <w:szCs w:val="16"/>
          <w:color w:val="auto"/>
        </w:rPr>
        <w:t>On April 29, 2011, the Executive Compensation Committee of the Board of Directors (the “Committee”) of Marvell Technology Group Ltd. (the “Company”), with the advice and counsel of the Committee’s independent compensation consultants, took the actions described below.</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Equity Incentive Awards</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Committee approved grants of equity awards to each of its named executive officers, which included a mix of service-based stock options and performance-based stock options. All equity awards described below were made pursuant to the Company’s Amended and Restated 1995 Stock Option Plan and were made effective as of the close of business on April 29, 2011. The exercise price of each stock option grant described below is equal to $15.43, the closing price of the Company’s common shares as reported on the NASDAQ Global Select Market on April 29, 2011.</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service-based stock options granted on April 29, 2011.</w:t>
      </w:r>
    </w:p>
    <w:p>
      <w:pPr>
        <w:spacing w:after="0" w:line="195"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920" w:type="dxa"/>
            <w:vAlign w:val="bottom"/>
            <w:gridSpan w:val="2"/>
          </w:tcPr>
          <w:p>
            <w:pPr>
              <w:ind w:left="80"/>
              <w:spacing w:after="0"/>
              <w:rPr>
                <w:sz w:val="20"/>
                <w:szCs w:val="20"/>
                <w:color w:val="auto"/>
              </w:rPr>
            </w:pPr>
            <w:r>
              <w:rPr>
                <w:rFonts w:ascii="Arial" w:cs="Arial" w:eastAsia="Arial" w:hAnsi="Arial"/>
                <w:sz w:val="14"/>
                <w:szCs w:val="14"/>
                <w:b w:val="1"/>
                <w:bCs w:val="1"/>
                <w:color w:val="auto"/>
              </w:rPr>
              <w:t>Number of</w:t>
            </w:r>
          </w:p>
        </w:tc>
      </w:tr>
      <w:tr>
        <w:trPr>
          <w:trHeight w:val="149"/>
        </w:trPr>
        <w:tc>
          <w:tcPr>
            <w:tcW w:w="2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5300" w:type="dxa"/>
            <w:vAlign w:val="bottom"/>
          </w:tcPr>
          <w:p>
            <w:pPr>
              <w:spacing w:after="0"/>
              <w:rPr>
                <w:sz w:val="12"/>
                <w:szCs w:val="12"/>
                <w:color w:val="auto"/>
              </w:rPr>
            </w:pPr>
          </w:p>
        </w:tc>
        <w:tc>
          <w:tcPr>
            <w:tcW w:w="92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0"/>
              </w:rPr>
              <w:t>Service-Based</w:t>
            </w:r>
          </w:p>
        </w:tc>
      </w:tr>
      <w:tr>
        <w:trPr>
          <w:trHeight w:val="161"/>
        </w:trPr>
        <w:tc>
          <w:tcPr>
            <w:tcW w:w="1540" w:type="dxa"/>
            <w:vAlign w:val="bottom"/>
            <w:gridSpan w:val="2"/>
          </w:tcPr>
          <w:p>
            <w:pPr>
              <w:spacing w:after="0"/>
              <w:rPr>
                <w:sz w:val="20"/>
                <w:szCs w:val="20"/>
                <w:color w:val="auto"/>
              </w:rPr>
            </w:pPr>
            <w:r>
              <w:rPr>
                <w:rFonts w:ascii="Arial" w:cs="Arial" w:eastAsia="Arial" w:hAnsi="Arial"/>
                <w:sz w:val="14"/>
                <w:szCs w:val="14"/>
                <w:b w:val="1"/>
                <w:bCs w:val="1"/>
                <w:color w:val="auto"/>
                <w:w w:val="92"/>
              </w:rPr>
              <w:t>Named Executive Officer</w:t>
            </w:r>
          </w:p>
        </w:tc>
        <w:tc>
          <w:tcPr>
            <w:tcW w:w="622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Stock Options</w:t>
            </w:r>
          </w:p>
        </w:tc>
      </w:tr>
      <w:tr>
        <w:trPr>
          <w:trHeight w:val="210"/>
        </w:trPr>
        <w:tc>
          <w:tcPr>
            <w:tcW w:w="20" w:type="dxa"/>
            <w:vAlign w:val="bottom"/>
          </w:tcPr>
          <w:p>
            <w:pPr>
              <w:spacing w:after="0"/>
              <w:rPr>
                <w:sz w:val="18"/>
                <w:szCs w:val="18"/>
                <w:color w:val="auto"/>
              </w:rPr>
            </w:pPr>
          </w:p>
        </w:tc>
        <w:tc>
          <w:tcPr>
            <w:tcW w:w="15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5300" w:type="dxa"/>
            <w:vAlign w:val="bottom"/>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700,000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Clyde R. Hosein</w:t>
            </w:r>
          </w:p>
        </w:tc>
        <w:tc>
          <w:tcPr>
            <w:tcW w:w="6120" w:type="dxa"/>
            <w:vAlign w:val="bottom"/>
            <w:gridSpan w:val="2"/>
          </w:tcPr>
          <w:p>
            <w:pPr>
              <w:jc w:val="right"/>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20"/>
                <w:szCs w:val="20"/>
                <w:color w:val="auto"/>
              </w:rPr>
            </w:pPr>
            <w:r>
              <w:rPr>
                <w:rFonts w:ascii="Arial" w:cs="Arial" w:eastAsia="Arial" w:hAnsi="Arial"/>
                <w:sz w:val="18"/>
                <w:szCs w:val="18"/>
                <w:color w:val="auto"/>
                <w:w w:val="95"/>
              </w:rPr>
              <w:t>Dr. Pantas Sutardja</w:t>
            </w:r>
          </w:p>
        </w:tc>
        <w:tc>
          <w:tcPr>
            <w:tcW w:w="6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100" w:type="dxa"/>
            <w:vAlign w:val="bottom"/>
            <w:shd w:val="clear" w:color="auto" w:fill="CCEEFF"/>
          </w:tcPr>
          <w:p>
            <w:pPr>
              <w:spacing w:after="0"/>
              <w:rPr>
                <w:sz w:val="18"/>
                <w:szCs w:val="18"/>
                <w:color w:val="auto"/>
              </w:rPr>
            </w:pPr>
          </w:p>
        </w:tc>
      </w:tr>
    </w:tbl>
    <w:p>
      <w:pPr>
        <w:spacing w:after="0" w:line="15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Each of the service-based stock option awards listed above has a term of 10 years from the date of grant and will vest annually over four years with the first 25% vesting on the first anniversary of April 1, 2011, subject to continued service through each vesting date.</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The table below provides the number of performance-based stock options granted on April 29, 2011. If the market-based vesting condition (the “Trigger Event” as described in more detail below) is achieved, each named executive officer will vest in the indicated number of shares. If this performance condition is not achieved, no shares will vest.</w:t>
      </w:r>
    </w:p>
    <w:p>
      <w:pPr>
        <w:spacing w:after="0" w:line="16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580" w:type="dxa"/>
            <w:vAlign w:val="bottom"/>
            <w:gridSpan w:val="3"/>
          </w:tcPr>
          <w:p>
            <w:pPr>
              <w:jc w:val="center"/>
              <w:ind w:right="1480"/>
              <w:spacing w:after="0"/>
              <w:rPr>
                <w:sz w:val="20"/>
                <w:szCs w:val="20"/>
                <w:color w:val="auto"/>
              </w:rPr>
            </w:pPr>
            <w:r>
              <w:rPr>
                <w:rFonts w:ascii="Arial" w:cs="Arial" w:eastAsia="Arial" w:hAnsi="Arial"/>
                <w:sz w:val="14"/>
                <w:szCs w:val="14"/>
                <w:b w:val="1"/>
                <w:bCs w:val="1"/>
                <w:color w:val="auto"/>
                <w:w w:val="88"/>
              </w:rPr>
              <w:t>Number of</w:t>
            </w:r>
          </w:p>
        </w:tc>
      </w:tr>
      <w:tr>
        <w:trPr>
          <w:trHeight w:val="149"/>
        </w:trPr>
        <w:tc>
          <w:tcPr>
            <w:tcW w:w="2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3200" w:type="dxa"/>
            <w:vAlign w:val="bottom"/>
          </w:tcPr>
          <w:p>
            <w:pPr>
              <w:spacing w:after="0"/>
              <w:rPr>
                <w:sz w:val="12"/>
                <w:szCs w:val="12"/>
                <w:color w:val="auto"/>
              </w:rPr>
            </w:pPr>
          </w:p>
        </w:tc>
        <w:tc>
          <w:tcPr>
            <w:tcW w:w="3940" w:type="dxa"/>
            <w:vAlign w:val="bottom"/>
            <w:gridSpan w:val="4"/>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Performance-Based</w:t>
            </w:r>
          </w:p>
        </w:tc>
      </w:tr>
      <w:tr>
        <w:trPr>
          <w:trHeight w:val="161"/>
        </w:trPr>
        <w:tc>
          <w:tcPr>
            <w:tcW w:w="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32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580" w:type="dxa"/>
            <w:vAlign w:val="bottom"/>
            <w:gridSpan w:val="3"/>
          </w:tcPr>
          <w:p>
            <w:pPr>
              <w:jc w:val="center"/>
              <w:ind w:right="1480"/>
              <w:spacing w:after="0"/>
              <w:rPr>
                <w:sz w:val="20"/>
                <w:szCs w:val="20"/>
                <w:color w:val="auto"/>
              </w:rPr>
            </w:pPr>
            <w:r>
              <w:rPr>
                <w:rFonts w:ascii="Arial" w:cs="Arial" w:eastAsia="Arial" w:hAnsi="Arial"/>
                <w:sz w:val="14"/>
                <w:szCs w:val="14"/>
                <w:b w:val="1"/>
                <w:bCs w:val="1"/>
                <w:color w:val="auto"/>
                <w:w w:val="86"/>
              </w:rPr>
              <w:t>Stock Options</w:t>
            </w:r>
          </w:p>
        </w:tc>
      </w:tr>
      <w:tr>
        <w:trPr>
          <w:trHeight w:val="129"/>
        </w:trPr>
        <w:tc>
          <w:tcPr>
            <w:tcW w:w="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3200" w:type="dxa"/>
            <w:vAlign w:val="bottom"/>
          </w:tcPr>
          <w:p>
            <w:pPr>
              <w:spacing w:after="0"/>
              <w:rPr>
                <w:sz w:val="11"/>
                <w:szCs w:val="11"/>
                <w:color w:val="auto"/>
              </w:rPr>
            </w:pPr>
          </w:p>
        </w:tc>
        <w:tc>
          <w:tcPr>
            <w:tcW w:w="13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6"/>
              </w:rPr>
              <w:t>Performance Condition</w:t>
            </w:r>
          </w:p>
        </w:tc>
        <w:tc>
          <w:tcPr>
            <w:tcW w:w="2480" w:type="dxa"/>
            <w:vAlign w:val="bottom"/>
            <w:tcBorders>
              <w:top w:val="single" w:sz="8" w:color="auto"/>
            </w:tcBorders>
            <w:gridSpan w:val="2"/>
          </w:tcPr>
          <w:p>
            <w:pPr>
              <w:jc w:val="center"/>
              <w:ind w:left="1044"/>
              <w:spacing w:after="0" w:line="129" w:lineRule="exact"/>
              <w:rPr>
                <w:sz w:val="20"/>
                <w:szCs w:val="20"/>
                <w:color w:val="auto"/>
              </w:rPr>
            </w:pPr>
            <w:r>
              <w:rPr>
                <w:rFonts w:ascii="Arial" w:cs="Arial" w:eastAsia="Arial" w:hAnsi="Arial"/>
                <w:sz w:val="14"/>
                <w:szCs w:val="14"/>
                <w:b w:val="1"/>
                <w:bCs w:val="1"/>
                <w:color w:val="auto"/>
                <w:w w:val="87"/>
              </w:rPr>
              <w:t>Performance Condition</w:t>
            </w:r>
          </w:p>
        </w:tc>
        <w:tc>
          <w:tcPr>
            <w:tcW w:w="100" w:type="dxa"/>
            <w:vAlign w:val="bottom"/>
          </w:tcPr>
          <w:p>
            <w:pPr>
              <w:spacing w:after="0"/>
              <w:rPr>
                <w:sz w:val="11"/>
                <w:szCs w:val="11"/>
                <w:color w:val="auto"/>
              </w:rPr>
            </w:pPr>
          </w:p>
        </w:tc>
      </w:tr>
      <w:tr>
        <w:trPr>
          <w:trHeight w:val="161"/>
        </w:trPr>
        <w:tc>
          <w:tcPr>
            <w:tcW w:w="1540" w:type="dxa"/>
            <w:vAlign w:val="bottom"/>
            <w:gridSpan w:val="2"/>
          </w:tcPr>
          <w:p>
            <w:pPr>
              <w:spacing w:after="0"/>
              <w:rPr>
                <w:sz w:val="20"/>
                <w:szCs w:val="20"/>
                <w:color w:val="auto"/>
              </w:rPr>
            </w:pPr>
            <w:r>
              <w:rPr>
                <w:rFonts w:ascii="Arial" w:cs="Arial" w:eastAsia="Arial" w:hAnsi="Arial"/>
                <w:sz w:val="14"/>
                <w:szCs w:val="14"/>
                <w:b w:val="1"/>
                <w:bCs w:val="1"/>
                <w:color w:val="auto"/>
                <w:w w:val="92"/>
              </w:rPr>
              <w:t>Named Executive Officer</w:t>
            </w:r>
          </w:p>
        </w:tc>
        <w:tc>
          <w:tcPr>
            <w:tcW w:w="3200" w:type="dxa"/>
            <w:vAlign w:val="bottom"/>
          </w:tcPr>
          <w:p>
            <w:pPr>
              <w:spacing w:after="0"/>
              <w:rPr>
                <w:sz w:val="14"/>
                <w:szCs w:val="14"/>
                <w:color w:val="auto"/>
              </w:rPr>
            </w:pPr>
          </w:p>
        </w:tc>
        <w:tc>
          <w:tcPr>
            <w:tcW w:w="1360" w:type="dxa"/>
            <w:vAlign w:val="bottom"/>
          </w:tcPr>
          <w:p>
            <w:pPr>
              <w:jc w:val="right"/>
              <w:ind w:right="227"/>
              <w:spacing w:after="0"/>
              <w:rPr>
                <w:sz w:val="20"/>
                <w:szCs w:val="20"/>
                <w:color w:val="auto"/>
              </w:rPr>
            </w:pPr>
            <w:r>
              <w:rPr>
                <w:rFonts w:ascii="Arial" w:cs="Arial" w:eastAsia="Arial" w:hAnsi="Arial"/>
                <w:sz w:val="14"/>
                <w:szCs w:val="14"/>
                <w:b w:val="1"/>
                <w:bCs w:val="1"/>
                <w:color w:val="auto"/>
              </w:rPr>
              <w:t>Not Achieved</w:t>
            </w:r>
          </w:p>
        </w:tc>
        <w:tc>
          <w:tcPr>
            <w:tcW w:w="1120" w:type="dxa"/>
            <w:vAlign w:val="bottom"/>
          </w:tcPr>
          <w:p>
            <w:pPr>
              <w:spacing w:after="0"/>
              <w:rPr>
                <w:sz w:val="14"/>
                <w:szCs w:val="14"/>
                <w:color w:val="auto"/>
              </w:rPr>
            </w:pPr>
          </w:p>
        </w:tc>
        <w:tc>
          <w:tcPr>
            <w:tcW w:w="14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6"/>
              </w:rPr>
              <w:t>Achieved</w:t>
            </w:r>
          </w:p>
        </w:tc>
      </w:tr>
      <w:tr>
        <w:trPr>
          <w:trHeight w:val="210"/>
        </w:trPr>
        <w:tc>
          <w:tcPr>
            <w:tcW w:w="20" w:type="dxa"/>
            <w:vAlign w:val="bottom"/>
          </w:tcPr>
          <w:p>
            <w:pPr>
              <w:spacing w:after="0"/>
              <w:rPr>
                <w:sz w:val="18"/>
                <w:szCs w:val="18"/>
                <w:color w:val="auto"/>
              </w:rPr>
            </w:pPr>
          </w:p>
        </w:tc>
        <w:tc>
          <w:tcPr>
            <w:tcW w:w="15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3200" w:type="dxa"/>
            <w:vAlign w:val="bottom"/>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120" w:type="dxa"/>
            <w:vAlign w:val="bottom"/>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1,400,000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Clyde R. Hosein</w:t>
            </w:r>
          </w:p>
        </w:tc>
        <w:tc>
          <w:tcPr>
            <w:tcW w:w="456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2480" w:type="dxa"/>
            <w:vAlign w:val="bottom"/>
            <w:gridSpan w:val="2"/>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20"/>
                <w:szCs w:val="20"/>
                <w:color w:val="auto"/>
              </w:rPr>
            </w:pPr>
            <w:r>
              <w:rPr>
                <w:rFonts w:ascii="Arial" w:cs="Arial" w:eastAsia="Arial" w:hAnsi="Arial"/>
                <w:sz w:val="18"/>
                <w:szCs w:val="18"/>
                <w:color w:val="auto"/>
                <w:w w:val="95"/>
              </w:rPr>
              <w:t>Dr. Pantas Sutardja</w:t>
            </w:r>
          </w:p>
        </w:tc>
        <w:tc>
          <w:tcPr>
            <w:tcW w:w="4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shd w:val="clear" w:color="auto" w:fill="CCEEFF"/>
          </w:tcPr>
          <w:p>
            <w:pPr>
              <w:spacing w:after="0"/>
              <w:rPr>
                <w:sz w:val="18"/>
                <w:szCs w:val="18"/>
                <w:color w:val="auto"/>
              </w:rPr>
            </w:pPr>
          </w:p>
        </w:tc>
      </w:tr>
    </w:tbl>
    <w:p>
      <w:pPr>
        <w:spacing w:after="0" w:line="154"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performance-based stock option grants are designed to motivate management to create material and sustained enhancement of shareholder value through the increase of the Company’s market capitalization over the next five years. If the closing price per common share of the Company as reported by the NASDAQ Global Select Market equals or exceeds an average of $24.70 for a period of 200 consecutive trading days prior to the 5</w:t>
      </w:r>
      <w:r>
        <w:rPr>
          <w:rFonts w:ascii="Arial" w:cs="Arial" w:eastAsia="Arial" w:hAnsi="Arial"/>
          <w:sz w:val="11"/>
          <w:szCs w:val="11"/>
          <w:color w:val="auto"/>
        </w:rPr>
        <w:t>th</w:t>
      </w:r>
      <w:r>
        <w:rPr>
          <w:rFonts w:ascii="Arial" w:cs="Arial" w:eastAsia="Arial" w:hAnsi="Arial"/>
          <w:sz w:val="18"/>
          <w:szCs w:val="18"/>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of the foregoing stock options has a term of 10 years from the date of grant.</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Annual Cash Incentive Program</w:t>
      </w:r>
    </w:p>
    <w:p>
      <w:pPr>
        <w:spacing w:after="0" w:line="90"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The Committee also approved performance-based objectives and set targets in accordance with the Company’s Executive Performance Incentive Plan, which are designed to qualify as “performance-based” compensation under Section 162(m) of the Internal Revenue Code and the Treasury Regulations thereunder. The fiscal 2012 incentive plan for named executive officers will base actual awards on our performance in four specific dimensions. Three of those are financial metrics (revenue, operating margin and free cash flow margin). The fourth is a “strategic” dimension. The strategic goals incorporate critical initiatives that we believe we must drive aggressively in fiscal 2012 in order to ensure our longer-term success. The degree to which goals are achieved, and the weighting of each of the four dimensions, will ultimately determine the size of the awards that will be payable for fiscal 2012. The maximum amount of awards payable for each of our named executive officers is set forth in the table below:</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0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8"/>
              </w:rPr>
              <w:t>Target Annual Incentive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Maximum Target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20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Opportunity (as % of</w:t>
            </w:r>
          </w:p>
        </w:tc>
        <w:tc>
          <w:tcPr>
            <w:tcW w:w="440" w:type="dxa"/>
            <w:vAlign w:val="bottom"/>
          </w:tcPr>
          <w:p>
            <w:pPr>
              <w:spacing w:after="0"/>
              <w:rPr>
                <w:sz w:val="12"/>
                <w:szCs w:val="12"/>
                <w:color w:val="auto"/>
              </w:rPr>
            </w:pPr>
          </w:p>
        </w:tc>
        <w:tc>
          <w:tcPr>
            <w:tcW w:w="15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2"/>
              </w:rPr>
              <w:t>Payable under Incentive</w:t>
            </w:r>
          </w:p>
        </w:tc>
        <w:tc>
          <w:tcPr>
            <w:tcW w:w="0" w:type="dxa"/>
            <w:vAlign w:val="bottom"/>
          </w:tcPr>
          <w:p>
            <w:pPr>
              <w:spacing w:after="0"/>
              <w:rPr>
                <w:sz w:val="1"/>
                <w:szCs w:val="1"/>
                <w:color w:val="auto"/>
              </w:rPr>
            </w:pPr>
          </w:p>
        </w:tc>
      </w:tr>
      <w:tr>
        <w:trPr>
          <w:trHeight w:val="161"/>
        </w:trPr>
        <w:tc>
          <w:tcPr>
            <w:tcW w:w="1560" w:type="dxa"/>
            <w:vAlign w:val="bottom"/>
            <w:gridSpan w:val="2"/>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3760" w:type="dxa"/>
            <w:vAlign w:val="bottom"/>
          </w:tcPr>
          <w:p>
            <w:pPr>
              <w:spacing w:after="0"/>
              <w:rPr>
                <w:sz w:val="14"/>
                <w:szCs w:val="14"/>
                <w:color w:val="auto"/>
              </w:rPr>
            </w:pPr>
          </w:p>
        </w:tc>
        <w:tc>
          <w:tcPr>
            <w:tcW w:w="1220" w:type="dxa"/>
            <w:vAlign w:val="bottom"/>
            <w:gridSpan w:val="2"/>
          </w:tcPr>
          <w:p>
            <w:pPr>
              <w:ind w:left="20"/>
              <w:spacing w:after="0"/>
              <w:rPr>
                <w:sz w:val="20"/>
                <w:szCs w:val="20"/>
                <w:color w:val="auto"/>
              </w:rPr>
            </w:pPr>
            <w:r>
              <w:rPr>
                <w:rFonts w:ascii="Arial" w:cs="Arial" w:eastAsia="Arial" w:hAnsi="Arial"/>
                <w:sz w:val="14"/>
                <w:szCs w:val="14"/>
                <w:b w:val="1"/>
                <w:bCs w:val="1"/>
                <w:color w:val="auto"/>
                <w:w w:val="86"/>
              </w:rPr>
              <w:t>FY 2012 Base Salary</w:t>
            </w:r>
          </w:p>
        </w:tc>
        <w:tc>
          <w:tcPr>
            <w:tcW w:w="940" w:type="dxa"/>
            <w:vAlign w:val="bottom"/>
          </w:tcPr>
          <w:p>
            <w:pPr>
              <w:spacing w:after="0"/>
              <w:rPr>
                <w:sz w:val="14"/>
                <w:szCs w:val="14"/>
                <w:color w:val="auto"/>
              </w:rPr>
            </w:pPr>
          </w:p>
        </w:tc>
        <w:tc>
          <w:tcPr>
            <w:tcW w:w="20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5"/>
              </w:rPr>
              <w:t>Base Salary</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154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37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800,000</w:t>
            </w:r>
          </w:p>
        </w:tc>
        <w:tc>
          <w:tcPr>
            <w:tcW w:w="940" w:type="dxa"/>
            <w:vAlign w:val="bottom"/>
            <w:shd w:val="clear" w:color="auto" w:fill="CCEEFF"/>
          </w:tcPr>
          <w:p>
            <w:pPr>
              <w:spacing w:after="0"/>
              <w:rPr>
                <w:sz w:val="18"/>
                <w:szCs w:val="18"/>
                <w:color w:val="auto"/>
              </w:rPr>
            </w:pPr>
          </w:p>
        </w:tc>
        <w:tc>
          <w:tcPr>
            <w:tcW w:w="2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150%</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tcPr>
          <w:p>
            <w:pPr>
              <w:spacing w:after="0"/>
              <w:rPr>
                <w:sz w:val="20"/>
                <w:szCs w:val="20"/>
                <w:color w:val="auto"/>
              </w:rPr>
            </w:pPr>
            <w:r>
              <w:rPr>
                <w:rFonts w:ascii="Arial" w:cs="Arial" w:eastAsia="Arial" w:hAnsi="Arial"/>
                <w:sz w:val="18"/>
                <w:szCs w:val="18"/>
                <w:color w:val="auto"/>
              </w:rPr>
              <w:t>Clyde R. Hosein</w:t>
            </w:r>
          </w:p>
        </w:tc>
        <w:tc>
          <w:tcPr>
            <w:tcW w:w="4120" w:type="dxa"/>
            <w:vAlign w:val="bottom"/>
            <w:gridSpan w:val="2"/>
          </w:tcPr>
          <w:p>
            <w:pPr>
              <w:ind w:left="3760"/>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468,000</w:t>
            </w:r>
          </w:p>
        </w:tc>
        <w:tc>
          <w:tcPr>
            <w:tcW w:w="2940" w:type="dxa"/>
            <w:vAlign w:val="bottom"/>
            <w:gridSpan w:val="3"/>
          </w:tcPr>
          <w:p>
            <w:pPr>
              <w:jc w:val="right"/>
              <w:ind w:right="460"/>
              <w:spacing w:after="0"/>
              <w:rPr>
                <w:sz w:val="20"/>
                <w:szCs w:val="20"/>
                <w:color w:val="auto"/>
              </w:rPr>
            </w:pPr>
            <w:r>
              <w:rPr>
                <w:rFonts w:ascii="Arial" w:cs="Arial" w:eastAsia="Arial" w:hAnsi="Arial"/>
                <w:sz w:val="18"/>
                <w:szCs w:val="18"/>
                <w:color w:val="auto"/>
              </w:rPr>
              <w:t>80%</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449,280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shd w:val="clear" w:color="auto" w:fill="CCEEFF"/>
          </w:tcPr>
          <w:p>
            <w:pPr>
              <w:spacing w:after="0"/>
              <w:rPr>
                <w:sz w:val="20"/>
                <w:szCs w:val="20"/>
                <w:color w:val="auto"/>
              </w:rPr>
            </w:pPr>
            <w:r>
              <w:rPr>
                <w:rFonts w:ascii="Arial" w:cs="Arial" w:eastAsia="Arial" w:hAnsi="Arial"/>
                <w:sz w:val="18"/>
                <w:szCs w:val="18"/>
                <w:color w:val="auto"/>
                <w:w w:val="96"/>
              </w:rPr>
              <w:t>Dr. Pantas Sutardja</w:t>
            </w:r>
          </w:p>
        </w:tc>
        <w:tc>
          <w:tcPr>
            <w:tcW w:w="4120" w:type="dxa"/>
            <w:vAlign w:val="bottom"/>
            <w:gridSpan w:val="2"/>
            <w:shd w:val="clear" w:color="auto" w:fill="CCEEFF"/>
          </w:tcPr>
          <w:p>
            <w:pPr>
              <w:ind w:left="37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416,000</w:t>
            </w:r>
          </w:p>
        </w:tc>
        <w:tc>
          <w:tcPr>
            <w:tcW w:w="294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40%</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199,680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Salary Adjustment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Committee approved the following increases to the annual base salary of each named executive officer, effective as of April 1, 2011:</w:t>
      </w:r>
    </w:p>
    <w:p>
      <w:pPr>
        <w:spacing w:after="0" w:line="220"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5180" w:type="dxa"/>
            <w:vAlign w:val="bottom"/>
            <w:shd w:val="clear" w:color="auto" w:fill="CCEEFF"/>
          </w:tcPr>
          <w:p>
            <w:pPr>
              <w:ind w:left="3300"/>
              <w:spacing w:after="0"/>
              <w:rPr>
                <w:sz w:val="20"/>
                <w:szCs w:val="20"/>
                <w:color w:val="auto"/>
              </w:rPr>
            </w:pPr>
            <w:r>
              <w:rPr>
                <w:rFonts w:ascii="Arial" w:cs="Arial" w:eastAsia="Arial" w:hAnsi="Arial"/>
                <w:sz w:val="18"/>
                <w:szCs w:val="18"/>
                <w:color w:val="auto"/>
                <w:w w:val="89"/>
              </w:rPr>
              <w:t>$800,000 (from $700,000)</w:t>
            </w:r>
          </w:p>
        </w:tc>
      </w:tr>
      <w:tr>
        <w:trPr>
          <w:trHeight w:val="216"/>
        </w:trPr>
        <w:tc>
          <w:tcPr>
            <w:tcW w:w="2580" w:type="dxa"/>
            <w:vAlign w:val="bottom"/>
          </w:tcPr>
          <w:p>
            <w:pPr>
              <w:spacing w:after="0"/>
              <w:rPr>
                <w:sz w:val="20"/>
                <w:szCs w:val="20"/>
                <w:color w:val="auto"/>
              </w:rPr>
            </w:pPr>
            <w:r>
              <w:rPr>
                <w:rFonts w:ascii="Arial" w:cs="Arial" w:eastAsia="Arial" w:hAnsi="Arial"/>
                <w:sz w:val="18"/>
                <w:szCs w:val="18"/>
                <w:color w:val="auto"/>
              </w:rPr>
              <w:t>Clyde R. Hosein</w:t>
            </w:r>
          </w:p>
        </w:tc>
        <w:tc>
          <w:tcPr>
            <w:tcW w:w="5180" w:type="dxa"/>
            <w:vAlign w:val="bottom"/>
          </w:tcPr>
          <w:p>
            <w:pPr>
              <w:ind w:left="3300"/>
              <w:spacing w:after="0"/>
              <w:rPr>
                <w:sz w:val="20"/>
                <w:szCs w:val="20"/>
                <w:color w:val="auto"/>
              </w:rPr>
            </w:pPr>
            <w:r>
              <w:rPr>
                <w:rFonts w:ascii="Arial" w:cs="Arial" w:eastAsia="Arial" w:hAnsi="Arial"/>
                <w:sz w:val="18"/>
                <w:szCs w:val="18"/>
                <w:color w:val="auto"/>
                <w:w w:val="89"/>
              </w:rPr>
              <w:t>$468,000 (from $450,000)</w:t>
            </w:r>
          </w:p>
        </w:tc>
      </w:tr>
      <w:tr>
        <w:trPr>
          <w:trHeight w:val="216"/>
        </w:trPr>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5180" w:type="dxa"/>
            <w:vAlign w:val="bottom"/>
            <w:shd w:val="clear" w:color="auto" w:fill="CCEEFF"/>
          </w:tcPr>
          <w:p>
            <w:pPr>
              <w:ind w:left="3300"/>
              <w:spacing w:after="0"/>
              <w:rPr>
                <w:sz w:val="20"/>
                <w:szCs w:val="20"/>
                <w:color w:val="auto"/>
              </w:rPr>
            </w:pPr>
            <w:r>
              <w:rPr>
                <w:rFonts w:ascii="Arial" w:cs="Arial" w:eastAsia="Arial" w:hAnsi="Arial"/>
                <w:sz w:val="18"/>
                <w:szCs w:val="18"/>
                <w:color w:val="auto"/>
                <w:w w:val="89"/>
              </w:rPr>
              <w:t>$416,000 (from $400,000)</w:t>
            </w:r>
          </w:p>
        </w:tc>
      </w:tr>
      <w:tr>
        <w:trPr>
          <w:trHeight w:val="363"/>
        </w:trPr>
        <w:tc>
          <w:tcPr>
            <w:tcW w:w="2580" w:type="dxa"/>
            <w:vAlign w:val="bottom"/>
          </w:tcPr>
          <w:p>
            <w:pPr>
              <w:spacing w:after="0"/>
              <w:rPr>
                <w:sz w:val="24"/>
                <w:szCs w:val="24"/>
                <w:color w:val="auto"/>
              </w:rPr>
            </w:pPr>
          </w:p>
        </w:tc>
        <w:tc>
          <w:tcPr>
            <w:tcW w:w="5180" w:type="dxa"/>
            <w:vAlign w:val="bottom"/>
          </w:tcPr>
          <w:p>
            <w:pPr>
              <w:jc w:val="right"/>
              <w:ind w:right="3752"/>
              <w:spacing w:after="0"/>
              <w:rPr>
                <w:sz w:val="20"/>
                <w:szCs w:val="20"/>
                <w:color w:val="auto"/>
              </w:rPr>
            </w:pPr>
            <w:r>
              <w:rPr>
                <w:rFonts w:ascii="Arial" w:cs="Arial" w:eastAsia="Arial" w:hAnsi="Arial"/>
                <w:sz w:val="18"/>
                <w:szCs w:val="18"/>
                <w:color w:val="auto"/>
              </w:rPr>
              <w:t>3</w:t>
            </w:r>
          </w:p>
        </w:tc>
      </w:tr>
    </w:tbl>
    <w:p>
      <w:pPr>
        <w:sectPr>
          <w:pgSz w:w="11900" w:h="16838" w:orient="portrait"/>
          <w:cols w:equalWidth="0" w:num="1">
            <w:col w:w="11420"/>
          </w:cols>
          <w:pgMar w:left="240" w:top="280"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5,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10795</wp:posOffset>
            </wp:positionV>
            <wp:extent cx="26930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2019-12-10T17:22:52Z</dcterms:created>
  <dcterms:modified xsi:type="dcterms:W3CDTF">2019-12-10T17:22:52Z</dcterms:modified>
</cp:coreProperties>
</file>