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6" w:lineRule="exact"/>
        <w:rPr>
          <w:sz w:val="24"/>
          <w:szCs w:val="24"/>
          <w:color w:val="auto"/>
        </w:rPr>
      </w:pPr>
    </w:p>
    <w:p>
      <w:pPr>
        <w:jc w:val="center"/>
        <w:ind w:right="-319"/>
        <w:spacing w:after="0"/>
        <w:rPr>
          <w:sz w:val="20"/>
          <w:szCs w:val="20"/>
          <w:color w:val="auto"/>
        </w:rPr>
      </w:pPr>
      <w:r>
        <w:rPr>
          <w:rFonts w:ascii="Arial" w:cs="Arial" w:eastAsia="Arial" w:hAnsi="Arial"/>
          <w:sz w:val="24"/>
          <w:szCs w:val="24"/>
          <w:b w:val="1"/>
          <w:bCs w:val="1"/>
          <w:color w:val="auto"/>
        </w:rPr>
        <w:t>CURRENT REPORT</w:t>
      </w:r>
    </w:p>
    <w:p>
      <w:pPr>
        <w:spacing w:after="0" w:line="171"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Securities Exchange Act of 1934</w:t>
      </w:r>
    </w:p>
    <w:p>
      <w:pPr>
        <w:spacing w:after="0" w:line="128"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Date of Report (Date of earliest event reported): May 26, 2011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114300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1" w:lineRule="exact"/>
        <w:rPr>
          <w:sz w:val="24"/>
          <w:szCs w:val="24"/>
          <w:color w:val="auto"/>
        </w:rPr>
      </w:pPr>
    </w:p>
    <w:p>
      <w:pPr>
        <w:jc w:val="center"/>
        <w:ind w:right="-3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3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sectPr>
      </w:pPr>
    </w:p>
    <w:p>
      <w:pPr>
        <w:spacing w:after="0" w:line="286"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240"/>
        <w:spacing w:after="0"/>
        <w:rPr>
          <w:sz w:val="20"/>
          <w:szCs w:val="20"/>
          <w:color w:val="auto"/>
        </w:rPr>
      </w:pPr>
      <w:r>
        <w:rPr>
          <w:rFonts w:ascii="Arial" w:cs="Arial" w:eastAsia="Arial" w:hAnsi="Arial"/>
          <w:sz w:val="15"/>
          <w:szCs w:val="15"/>
          <w:b w:val="1"/>
          <w:bCs w:val="1"/>
          <w:color w:val="auto"/>
        </w:rPr>
        <w:t>000-30877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740" w:space="720"/>
            <w:col w:w="3000" w:space="720"/>
            <w:col w:w="1920"/>
          </w:cols>
          <w:pgMar w:left="240" w:top="314" w:right="55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2040"/>
          </w:cols>
          <w:pgMar w:left="240" w:top="314"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111125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p>
      <w:pPr>
        <w:spacing w:after="0" w:line="261"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139700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 Results of Operations and Financial Condition.</w:t>
      </w:r>
    </w:p>
    <w:p>
      <w:pPr>
        <w:spacing w:after="0" w:line="96" w:lineRule="exact"/>
        <w:rPr>
          <w:sz w:val="20"/>
          <w:szCs w:val="20"/>
          <w:color w:val="auto"/>
        </w:rPr>
      </w:pPr>
    </w:p>
    <w:p>
      <w:pPr>
        <w:ind w:right="100" w:firstLine="913"/>
        <w:spacing w:after="0" w:line="298" w:lineRule="auto"/>
        <w:rPr>
          <w:sz w:val="20"/>
          <w:szCs w:val="20"/>
          <w:color w:val="auto"/>
        </w:rPr>
      </w:pPr>
      <w:r>
        <w:rPr>
          <w:rFonts w:ascii="Arial" w:cs="Arial" w:eastAsia="Arial" w:hAnsi="Arial"/>
          <w:sz w:val="16"/>
          <w:szCs w:val="16"/>
          <w:color w:val="auto"/>
        </w:rPr>
        <w:t>The information in Item 2.02 of this Current Report, including the accompanying exhibit,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13" w:lineRule="exact"/>
        <w:rPr>
          <w:sz w:val="20"/>
          <w:szCs w:val="20"/>
          <w:color w:val="auto"/>
        </w:rPr>
      </w:pPr>
    </w:p>
    <w:p>
      <w:pPr>
        <w:ind w:right="180" w:firstLine="913"/>
        <w:spacing w:after="0" w:line="268" w:lineRule="auto"/>
        <w:rPr>
          <w:sz w:val="20"/>
          <w:szCs w:val="20"/>
          <w:color w:val="auto"/>
        </w:rPr>
      </w:pPr>
      <w:r>
        <w:rPr>
          <w:rFonts w:ascii="Arial" w:cs="Arial" w:eastAsia="Arial" w:hAnsi="Arial"/>
          <w:sz w:val="18"/>
          <w:szCs w:val="18"/>
          <w:color w:val="auto"/>
        </w:rPr>
        <w:t>On May 26, 2011, Marvell Technology Group Ltd. (“Marvell”) issued a press release regarding its financial results for its first fiscal quarter ended April 30, 2011. A copy of the press release is furnished herewith as Exhibit 99.1 and is incorporated by reference herein.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financial measures exclude the effect of stock-based compensation, amortization and write-offs of acquired intangible assets, restructuring costs and certain other expenses and benefits.</w:t>
      </w:r>
    </w:p>
    <w:p>
      <w:pPr>
        <w:spacing w:after="0" w:line="113"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Marvell believes that the presentation of non-GAAP financial measures provides important supplemental information to management and investors regarding financial and business trends relating to its financial condition and results of operations.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Marvell’s results with that of other companies in its industry.</w:t>
      </w:r>
    </w:p>
    <w:p>
      <w:pPr>
        <w:spacing w:after="0" w:line="118" w:lineRule="exact"/>
        <w:rPr>
          <w:sz w:val="20"/>
          <w:szCs w:val="20"/>
          <w:color w:val="auto"/>
        </w:rPr>
      </w:pPr>
    </w:p>
    <w:p>
      <w:pPr>
        <w:ind w:right="560" w:firstLine="456"/>
        <w:spacing w:after="0" w:line="332" w:lineRule="auto"/>
        <w:rPr>
          <w:sz w:val="20"/>
          <w:szCs w:val="20"/>
          <w:color w:val="auto"/>
        </w:rPr>
      </w:pPr>
      <w:r>
        <w:rPr>
          <w:rFonts w:ascii="Arial" w:cs="Arial" w:eastAsia="Arial" w:hAnsi="Arial"/>
          <w:sz w:val="16"/>
          <w:szCs w:val="16"/>
          <w:color w:val="auto"/>
        </w:rPr>
        <w:t>Externally, management believes that investors may find Marvell’s non-GAAP financial measures useful in their assessment of Marvell’s operating performance and the valuation of Marvell. Internally, Marvell’s non-GAAP financial measures are used by management in the following areas:</w:t>
      </w:r>
    </w:p>
    <w:p>
      <w:pPr>
        <w:spacing w:after="0" w:line="4" w:lineRule="exact"/>
        <w:rPr>
          <w:sz w:val="20"/>
          <w:szCs w:val="20"/>
          <w:color w:val="auto"/>
        </w:rPr>
      </w:pPr>
    </w:p>
    <w:p>
      <w:pPr>
        <w:ind w:left="1480" w:right="100" w:hanging="446"/>
        <w:spacing w:after="0" w:line="268" w:lineRule="auto"/>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pro forma EPS utilized to measure the achievement of stock-based awards (adjustments may vary from award to award) for certain Marvell executive officers;</w:t>
      </w:r>
    </w:p>
    <w:p>
      <w:pPr>
        <w:spacing w:after="0" w:line="50" w:lineRule="exact"/>
        <w:rPr>
          <w:rFonts w:ascii="Arial" w:cs="Arial" w:eastAsia="Arial" w:hAnsi="Arial"/>
          <w:sz w:val="18"/>
          <w:szCs w:val="18"/>
          <w:color w:val="auto"/>
        </w:rPr>
      </w:pPr>
    </w:p>
    <w:p>
      <w:pPr>
        <w:ind w:left="1480" w:hanging="446"/>
        <w:spacing w:after="0"/>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171" w:lineRule="exact"/>
        <w:rPr>
          <w:sz w:val="20"/>
          <w:szCs w:val="20"/>
          <w:color w:val="auto"/>
        </w:rPr>
      </w:pPr>
    </w:p>
    <w:p>
      <w:pPr>
        <w:ind w:left="92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90" w:lineRule="exact"/>
        <w:rPr>
          <w:sz w:val="20"/>
          <w:szCs w:val="20"/>
          <w:color w:val="auto"/>
        </w:rPr>
      </w:pPr>
    </w:p>
    <w:p>
      <w:pPr>
        <w:ind w:left="1480" w:right="20" w:hanging="446"/>
        <w:spacing w:after="0" w:line="256" w:lineRule="auto"/>
        <w:tabs>
          <w:tab w:leader="none" w:pos="148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Stock-based compensation</w:t>
      </w:r>
      <w:r>
        <w:rPr>
          <w:rFonts w:ascii="Arial" w:cs="Arial" w:eastAsia="Arial" w:hAnsi="Arial"/>
          <w:sz w:val="18"/>
          <w:szCs w:val="18"/>
          <w:color w:val="auto"/>
        </w:rPr>
        <w:t>. Stock-based compensation relates primarily to employee stock options and restricted stock units issued. Stock-based compensation expense is a non-cash expense that is difficult to predict as its valuation is affected by changes in market forces, such as the price of Marvell’s common shares, which is not within the control of management. Accordingly, management excludes this item from its internal operating forecasts and models.</w:t>
      </w:r>
    </w:p>
    <w:p>
      <w:pPr>
        <w:spacing w:after="0" w:line="62" w:lineRule="exact"/>
        <w:rPr>
          <w:rFonts w:ascii="Arial" w:cs="Arial" w:eastAsia="Arial" w:hAnsi="Arial"/>
          <w:sz w:val="18"/>
          <w:szCs w:val="18"/>
          <w:color w:val="auto"/>
        </w:rPr>
      </w:pPr>
    </w:p>
    <w:p>
      <w:pPr>
        <w:ind w:left="1480" w:right="240" w:hanging="446"/>
        <w:spacing w:after="0" w:line="259" w:lineRule="auto"/>
        <w:tabs>
          <w:tab w:leader="none" w:pos="148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Amortization and write-off of acquired intangible assets</w:t>
      </w:r>
      <w:r>
        <w:rPr>
          <w:rFonts w:ascii="Arial" w:cs="Arial" w:eastAsia="Arial" w:hAnsi="Arial"/>
          <w:sz w:val="18"/>
          <w:szCs w:val="18"/>
          <w:color w:val="auto"/>
        </w:rPr>
        <w:t>. Purchased intangible assets relate primarily to existing and core technology, and</w:t>
      </w:r>
      <w:r>
        <w:rPr>
          <w:rFonts w:ascii="Arial" w:cs="Arial" w:eastAsia="Arial" w:hAnsi="Arial"/>
          <w:sz w:val="18"/>
          <w:szCs w:val="18"/>
          <w:i w:val="1"/>
          <w:iCs w:val="1"/>
          <w:color w:val="auto"/>
        </w:rPr>
        <w:t xml:space="preserve"> </w:t>
      </w:r>
      <w:r>
        <w:rPr>
          <w:rFonts w:ascii="Arial" w:cs="Arial" w:eastAsia="Arial" w:hAnsi="Arial"/>
          <w:sz w:val="18"/>
          <w:szCs w:val="18"/>
          <w:color w:val="auto"/>
        </w:rPr>
        <w:t>customer relationships of acquired businesses. Management considers these charges non-cash in nature and unrelated to Marvell’s core operating performance.</w:t>
      </w:r>
    </w:p>
    <w:p>
      <w:pPr>
        <w:sectPr>
          <w:pgSz w:w="11900" w:h="16838" w:orient="portrait"/>
          <w:cols w:equalWidth="0" w:num="1">
            <w:col w:w="11380"/>
          </w:cols>
          <w:pgMar w:left="240" w:top="274" w:right="279" w:bottom="1440" w:gutter="0" w:footer="0" w:header="0"/>
        </w:sectPr>
      </w:pPr>
    </w:p>
    <w:bookmarkStart w:id="2" w:name="page3"/>
    <w:bookmarkEnd w:id="2"/>
    <w:p>
      <w:pPr>
        <w:ind w:left="1480" w:right="120" w:hanging="446"/>
        <w:spacing w:after="0" w:line="323" w:lineRule="auto"/>
        <w:tabs>
          <w:tab w:leader="none" w:pos="1480" w:val="left"/>
        </w:tabs>
        <w:numPr>
          <w:ilvl w:val="0"/>
          <w:numId w:val="4"/>
        </w:numPr>
        <w:rPr>
          <w:rFonts w:ascii="Arial" w:cs="Arial" w:eastAsia="Arial" w:hAnsi="Arial"/>
          <w:sz w:val="15"/>
          <w:szCs w:val="15"/>
          <w:color w:val="auto"/>
        </w:rPr>
      </w:pPr>
      <w:r>
        <w:rPr>
          <w:rFonts w:ascii="Arial" w:cs="Arial" w:eastAsia="Arial" w:hAnsi="Arial"/>
          <w:sz w:val="15"/>
          <w:szCs w:val="15"/>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Restructuring</w:t>
      </w:r>
      <w:r>
        <w:rPr>
          <w:rFonts w:ascii="Arial" w:cs="Arial" w:eastAsia="Arial" w:hAnsi="Arial"/>
          <w:sz w:val="15"/>
          <w:szCs w:val="15"/>
          <w:color w:val="auto"/>
        </w:rPr>
        <w:t>. Restructuring represents charges that are not directly related to Marvell’s ongoing or core business results. Management</w:t>
      </w:r>
      <w:r>
        <w:rPr>
          <w:rFonts w:ascii="Arial" w:cs="Arial" w:eastAsia="Arial" w:hAnsi="Arial"/>
          <w:sz w:val="15"/>
          <w:szCs w:val="15"/>
          <w:i w:val="1"/>
          <w:iCs w:val="1"/>
          <w:color w:val="auto"/>
        </w:rPr>
        <w:t xml:space="preserve"> </w:t>
      </w:r>
      <w:r>
        <w:rPr>
          <w:rFonts w:ascii="Arial" w:cs="Arial" w:eastAsia="Arial" w:hAnsi="Arial"/>
          <w:sz w:val="15"/>
          <w:szCs w:val="15"/>
          <w:color w:val="auto"/>
        </w:rPr>
        <w:t>regularly 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16" w:lineRule="exact"/>
        <w:rPr>
          <w:rFonts w:ascii="Arial" w:cs="Arial" w:eastAsia="Arial" w:hAnsi="Arial"/>
          <w:sz w:val="15"/>
          <w:szCs w:val="15"/>
          <w:color w:val="auto"/>
        </w:rPr>
      </w:pPr>
    </w:p>
    <w:p>
      <w:pPr>
        <w:ind w:left="1480" w:right="140" w:hanging="446"/>
        <w:spacing w:after="0" w:line="259" w:lineRule="auto"/>
        <w:tabs>
          <w:tab w:leader="none" w:pos="148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Other</w:t>
      </w:r>
      <w:r>
        <w:rPr>
          <w:rFonts w:ascii="Arial" w:cs="Arial" w:eastAsia="Arial" w:hAnsi="Arial"/>
          <w:sz w:val="18"/>
          <w:szCs w:val="18"/>
          <w:color w:val="auto"/>
        </w:rPr>
        <w:t>. From time to time, Marvell has other costs/benefits that are not directly related to Marvell’s ongoing or core business results.</w:t>
      </w:r>
      <w:r>
        <w:rPr>
          <w:rFonts w:ascii="Arial" w:cs="Arial" w:eastAsia="Arial" w:hAnsi="Arial"/>
          <w:sz w:val="18"/>
          <w:szCs w:val="18"/>
          <w:i w:val="1"/>
          <w:iCs w:val="1"/>
          <w:color w:val="auto"/>
        </w:rPr>
        <w:t xml:space="preserve"> </w:t>
      </w:r>
      <w:r>
        <w:rPr>
          <w:rFonts w:ascii="Arial" w:cs="Arial" w:eastAsia="Arial" w:hAnsi="Arial"/>
          <w:sz w:val="18"/>
          <w:szCs w:val="18"/>
          <w:color w:val="auto"/>
        </w:rPr>
        <w:t>Excluding this data provides investors with a basis to compare Marvell’s performance against the performance of other companies without this variability.</w:t>
      </w:r>
    </w:p>
    <w:p>
      <w:pPr>
        <w:spacing w:after="0" w:line="14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90" w:lineRule="exact"/>
        <w:rPr>
          <w:sz w:val="20"/>
          <w:szCs w:val="20"/>
          <w:color w:val="auto"/>
        </w:rPr>
      </w:pPr>
    </w:p>
    <w:p>
      <w:pPr>
        <w:ind w:left="1480" w:hanging="446"/>
        <w:spacing w:after="0" w:line="291" w:lineRule="auto"/>
        <w:tabs>
          <w:tab w:leader="none" w:pos="1480" w:val="left"/>
        </w:tabs>
        <w:numPr>
          <w:ilvl w:val="0"/>
          <w:numId w:val="5"/>
        </w:numPr>
        <w:rPr>
          <w:rFonts w:ascii="Arial" w:cs="Arial" w:eastAsia="Arial" w:hAnsi="Arial"/>
          <w:sz w:val="16"/>
          <w:szCs w:val="16"/>
          <w:color w:val="auto"/>
        </w:rPr>
      </w:pPr>
      <w:r>
        <w:rPr>
          <w:rFonts w:ascii="Arial" w:cs="Arial" w:eastAsia="Arial" w:hAnsi="Arial"/>
          <w:sz w:val="16"/>
          <w:szCs w:val="16"/>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stock-based compensation costs expected to be incurred in future periods but not yet recognized in the financial statements. The expected compensation costs are treated as proceeds assumed to be used to repurchase shares under the GAAP treasury stock method. Since Marvell’s non-GAAP net income does not reflect the effects of these compensation costs, management believes these amounts should not be applied to the repurchase of shares in calculating non-GAAP net income per share.</w:t>
      </w:r>
    </w:p>
    <w:p>
      <w:pPr>
        <w:spacing w:after="0" w:line="120" w:lineRule="exact"/>
        <w:rPr>
          <w:sz w:val="20"/>
          <w:szCs w:val="20"/>
          <w:color w:val="auto"/>
        </w:rPr>
      </w:pPr>
    </w:p>
    <w:p>
      <w:pPr>
        <w:jc w:val="both"/>
        <w:ind w:right="300" w:firstLine="913"/>
        <w:spacing w:after="0" w:line="318" w:lineRule="auto"/>
        <w:rPr>
          <w:sz w:val="20"/>
          <w:szCs w:val="20"/>
          <w:color w:val="auto"/>
        </w:rPr>
      </w:pPr>
      <w:r>
        <w:rPr>
          <w:rFonts w:ascii="Arial" w:cs="Arial" w:eastAsia="Arial" w:hAnsi="Arial"/>
          <w:sz w:val="15"/>
          <w:szCs w:val="15"/>
          <w:color w:val="auto"/>
        </w:rPr>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215"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1480" w:hanging="567"/>
        <w:spacing w:after="0"/>
        <w:tabs>
          <w:tab w:leader="none" w:pos="1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171" w:lineRule="exact"/>
        <w:rPr>
          <w:rFonts w:ascii="Arial" w:cs="Arial" w:eastAsia="Arial" w:hAnsi="Arial"/>
          <w:sz w:val="18"/>
          <w:szCs w:val="18"/>
          <w:color w:val="auto"/>
        </w:rPr>
      </w:pPr>
    </w:p>
    <w:p>
      <w:pPr>
        <w:ind w:left="1500"/>
        <w:spacing w:after="0"/>
        <w:rPr>
          <w:rFonts w:ascii="Arial" w:cs="Arial" w:eastAsia="Arial" w:hAnsi="Arial"/>
          <w:sz w:val="18"/>
          <w:szCs w:val="18"/>
          <w:color w:val="auto"/>
        </w:rPr>
      </w:pPr>
      <w:r>
        <w:rPr>
          <w:rFonts w:ascii="Arial" w:cs="Arial" w:eastAsia="Arial" w:hAnsi="Arial"/>
          <w:sz w:val="18"/>
          <w:szCs w:val="18"/>
          <w:color w:val="auto"/>
        </w:rPr>
        <w:t>99.1</w:t>
      </w:r>
      <w:r>
        <w:rPr>
          <w:rFonts w:ascii="Arial" w:cs="Arial" w:eastAsia="Arial" w:hAnsi="Arial"/>
          <w:sz w:val="15"/>
          <w:szCs w:val="15"/>
          <w:color w:val="auto"/>
        </w:rPr>
        <w:t>Press Release dated May 26, 2011</w:t>
      </w:r>
    </w:p>
    <w:p>
      <w:pPr>
        <w:sectPr>
          <w:pgSz w:w="11900" w:h="16838" w:orient="portrait"/>
          <w:cols w:equalWidth="0" w:num="1">
            <w:col w:w="11360"/>
          </w:cols>
          <w:pgMar w:left="240" w:top="280" w:right="299" w:bottom="1440" w:gutter="0" w:footer="0" w:header="0"/>
        </w:sectPr>
      </w:pPr>
    </w:p>
    <w:bookmarkStart w:id="3" w:name="page4"/>
    <w:bookmarkEnd w:id="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May 26, 2011</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10795</wp:posOffset>
            </wp:positionV>
            <wp:extent cx="265874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Financial Officer and Secretary</w:t>
      </w:r>
    </w:p>
    <w:p>
      <w:pPr>
        <w:sectPr>
          <w:pgSz w:w="11900" w:h="16838" w:orient="portrait"/>
          <w:cols w:equalWidth="0" w:num="1">
            <w:col w:w="11400"/>
          </w:cols>
          <w:pgMar w:left="240" w:top="274" w:right="259" w:bottom="1440" w:gutter="0" w:footer="0" w:header="0"/>
        </w:sectPr>
      </w:pPr>
    </w:p>
    <w:bookmarkStart w:id="4" w:name="page5"/>
    <w:bookmarkEnd w:id="4"/>
    <w:p>
      <w:pPr>
        <w:jc w:val="right"/>
        <w:ind w:right="38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219"/>
          </w:cols>
          <w:pgMar w:left="240" w:top="274" w:right="1440" w:bottom="1440" w:gutter="0" w:footer="0" w:header="0"/>
        </w:sectPr>
      </w:pPr>
    </w:p>
    <w:p>
      <w:pPr>
        <w:spacing w:after="0" w:line="215" w:lineRule="exact"/>
        <w:rPr>
          <w:sz w:val="20"/>
          <w:szCs w:val="20"/>
          <w:color w:val="auto"/>
        </w:rPr>
      </w:pPr>
    </w:p>
    <w:p>
      <w:pPr>
        <w:spacing w:after="0"/>
        <w:rPr>
          <w:sz w:val="20"/>
          <w:szCs w:val="20"/>
          <w:color w:val="auto"/>
        </w:rPr>
      </w:pPr>
      <w:r>
        <w:rPr>
          <w:rFonts w:ascii="Arial" w:cs="Arial" w:eastAsia="Arial" w:hAnsi="Arial"/>
          <w:sz w:val="12"/>
          <w:szCs w:val="12"/>
          <w:color w:val="auto"/>
        </w:rPr>
        <w:t>Exhibit No.</w:t>
      </w:r>
    </w:p>
    <w:p>
      <w:pPr>
        <w:spacing w:after="0" w:line="20" w:lineRule="exact"/>
        <w:rPr>
          <w:sz w:val="20"/>
          <w:szCs w:val="20"/>
          <w:color w:val="auto"/>
        </w:rPr>
      </w:pPr>
      <w:r>
        <w:rPr>
          <w:sz w:val="20"/>
          <w:szCs w:val="20"/>
          <w:color w:val="auto"/>
        </w:rPr>
        <w:br w:type="column"/>
      </w:r>
    </w:p>
    <w:p>
      <w:pPr>
        <w:spacing w:after="0" w:line="195" w:lineRule="exact"/>
        <w:rPr>
          <w:sz w:val="20"/>
          <w:szCs w:val="20"/>
          <w:color w:val="auto"/>
        </w:rPr>
      </w:pPr>
    </w:p>
    <w:p>
      <w:pPr>
        <w:spacing w:after="0"/>
        <w:rPr>
          <w:sz w:val="20"/>
          <w:szCs w:val="20"/>
          <w:color w:val="auto"/>
        </w:rPr>
      </w:pPr>
      <w:r>
        <w:rPr>
          <w:rFonts w:ascii="Arial" w:cs="Arial" w:eastAsia="Arial" w:hAnsi="Arial"/>
          <w:sz w:val="12"/>
          <w:szCs w:val="12"/>
          <w:color w:val="auto"/>
        </w:rPr>
        <w:t>Description</w:t>
      </w:r>
    </w:p>
    <w:p>
      <w:pPr>
        <w:spacing w:after="0" w:line="121" w:lineRule="exact"/>
        <w:rPr>
          <w:sz w:val="20"/>
          <w:szCs w:val="20"/>
          <w:color w:val="auto"/>
        </w:rPr>
      </w:pPr>
    </w:p>
    <w:p>
      <w:pPr>
        <w:sectPr>
          <w:pgSz w:w="11900" w:h="16838" w:orient="portrait"/>
          <w:cols w:equalWidth="0" w:num="2">
            <w:col w:w="640" w:space="660"/>
            <w:col w:w="8919"/>
          </w:cols>
          <w:pgMar w:left="240" w:top="274" w:right="1440" w:bottom="1440" w:gutter="0" w:footer="0" w:header="0"/>
          <w:type w:val="continuous"/>
        </w:sectPr>
      </w:pPr>
    </w:p>
    <w:p>
      <w:pPr>
        <w:ind w:left="180"/>
        <w:spacing w:after="0"/>
        <w:tabs>
          <w:tab w:leader="none" w:pos="12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May 26, 2011</w:t>
      </w:r>
    </w:p>
    <w:p>
      <w:pPr>
        <w:sectPr>
          <w:pgSz w:w="11900" w:h="16838" w:orient="portrait"/>
          <w:cols w:equalWidth="0" w:num="1">
            <w:col w:w="10219"/>
          </w:cols>
          <w:pgMar w:left="240" w:top="274" w:right="1440" w:bottom="1440" w:gutter="0" w:footer="0" w:header="0"/>
          <w:type w:val="continuous"/>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99.1</w:t>
      </w:r>
    </w:p>
    <w:p>
      <w:pPr>
        <w:spacing w:after="0" w:line="21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846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1320" w:type="dxa"/>
            <w:vAlign w:val="bottom"/>
          </w:tcPr>
          <w:p>
            <w:pPr>
              <w:spacing w:after="0"/>
              <w:rPr>
                <w:sz w:val="19"/>
                <w:szCs w:val="19"/>
                <w:color w:val="auto"/>
              </w:rPr>
            </w:pPr>
          </w:p>
        </w:tc>
        <w:tc>
          <w:tcPr>
            <w:tcW w:w="620" w:type="dxa"/>
            <w:vAlign w:val="bottom"/>
          </w:tcPr>
          <w:p>
            <w:pPr>
              <w:spacing w:after="0"/>
              <w:rPr>
                <w:sz w:val="19"/>
                <w:szCs w:val="19"/>
                <w:color w:val="auto"/>
              </w:rPr>
            </w:pPr>
          </w:p>
        </w:tc>
      </w:tr>
      <w:tr>
        <w:trPr>
          <w:trHeight w:val="216"/>
        </w:trPr>
        <w:tc>
          <w:tcPr>
            <w:tcW w:w="8460" w:type="dxa"/>
            <w:vAlign w:val="bottom"/>
            <w:gridSpan w:val="2"/>
          </w:tcPr>
          <w:p>
            <w:pPr>
              <w:spacing w:after="0"/>
              <w:rPr>
                <w:sz w:val="20"/>
                <w:szCs w:val="20"/>
                <w:color w:val="auto"/>
              </w:rPr>
            </w:pPr>
            <w:r>
              <w:rPr>
                <w:rFonts w:ascii="Arial" w:cs="Arial" w:eastAsia="Arial" w:hAnsi="Arial"/>
                <w:sz w:val="18"/>
                <w:szCs w:val="18"/>
                <w:color w:val="auto"/>
              </w:rPr>
              <w:t>Sukhi Nagesh</w:t>
            </w:r>
          </w:p>
        </w:tc>
        <w:tc>
          <w:tcPr>
            <w:tcW w:w="1940" w:type="dxa"/>
            <w:vAlign w:val="bottom"/>
            <w:gridSpan w:val="2"/>
          </w:tcPr>
          <w:p>
            <w:pPr>
              <w:spacing w:after="0"/>
              <w:rPr>
                <w:sz w:val="20"/>
                <w:szCs w:val="20"/>
                <w:color w:val="auto"/>
              </w:rPr>
            </w:pPr>
            <w:r>
              <w:rPr>
                <w:rFonts w:ascii="Arial" w:cs="Arial" w:eastAsia="Arial" w:hAnsi="Arial"/>
                <w:sz w:val="18"/>
                <w:szCs w:val="18"/>
                <w:color w:val="auto"/>
              </w:rPr>
              <w:t>Tom Hayes</w:t>
            </w:r>
          </w:p>
        </w:tc>
      </w:tr>
      <w:tr>
        <w:trPr>
          <w:trHeight w:val="216"/>
        </w:trPr>
        <w:tc>
          <w:tcPr>
            <w:tcW w:w="846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1940" w:type="dxa"/>
            <w:vAlign w:val="bottom"/>
            <w:gridSpan w:val="2"/>
          </w:tcPr>
          <w:p>
            <w:pPr>
              <w:spacing w:after="0"/>
              <w:rPr>
                <w:sz w:val="20"/>
                <w:szCs w:val="20"/>
                <w:color w:val="auto"/>
              </w:rPr>
            </w:pPr>
            <w:r>
              <w:rPr>
                <w:rFonts w:ascii="Arial" w:cs="Arial" w:eastAsia="Arial" w:hAnsi="Arial"/>
                <w:sz w:val="18"/>
                <w:szCs w:val="18"/>
                <w:color w:val="auto"/>
                <w:w w:val="87"/>
              </w:rPr>
              <w:t>Corporate Communications</w:t>
            </w:r>
          </w:p>
        </w:tc>
      </w:tr>
      <w:tr>
        <w:trPr>
          <w:trHeight w:val="216"/>
        </w:trPr>
        <w:tc>
          <w:tcPr>
            <w:tcW w:w="1440" w:type="dxa"/>
            <w:vAlign w:val="bottom"/>
          </w:tcPr>
          <w:p>
            <w:pPr>
              <w:spacing w:after="0"/>
              <w:rPr>
                <w:sz w:val="20"/>
                <w:szCs w:val="20"/>
                <w:color w:val="auto"/>
              </w:rPr>
            </w:pPr>
            <w:r>
              <w:rPr>
                <w:rFonts w:ascii="Arial" w:cs="Arial" w:eastAsia="Arial" w:hAnsi="Arial"/>
                <w:sz w:val="18"/>
                <w:szCs w:val="18"/>
                <w:color w:val="auto"/>
              </w:rPr>
              <w:t>408-222-8373</w:t>
            </w:r>
          </w:p>
        </w:tc>
        <w:tc>
          <w:tcPr>
            <w:tcW w:w="7020" w:type="dxa"/>
            <w:vAlign w:val="bottom"/>
          </w:tcPr>
          <w:p>
            <w:pPr>
              <w:spacing w:after="0"/>
              <w:rPr>
                <w:sz w:val="18"/>
                <w:szCs w:val="18"/>
                <w:color w:val="auto"/>
              </w:rPr>
            </w:pPr>
          </w:p>
        </w:tc>
        <w:tc>
          <w:tcPr>
            <w:tcW w:w="1320" w:type="dxa"/>
            <w:vAlign w:val="bottom"/>
          </w:tcPr>
          <w:p>
            <w:pPr>
              <w:spacing w:after="0"/>
              <w:rPr>
                <w:sz w:val="20"/>
                <w:szCs w:val="20"/>
                <w:color w:val="auto"/>
              </w:rPr>
            </w:pPr>
            <w:r>
              <w:rPr>
                <w:rFonts w:ascii="Arial" w:cs="Arial" w:eastAsia="Arial" w:hAnsi="Arial"/>
                <w:sz w:val="18"/>
                <w:szCs w:val="18"/>
                <w:color w:val="auto"/>
              </w:rPr>
              <w:t>408-222-2815</w:t>
            </w:r>
          </w:p>
        </w:tc>
        <w:tc>
          <w:tcPr>
            <w:tcW w:w="620" w:type="dxa"/>
            <w:vAlign w:val="bottom"/>
          </w:tcPr>
          <w:p>
            <w:pPr>
              <w:spacing w:after="0"/>
              <w:rPr>
                <w:sz w:val="18"/>
                <w:szCs w:val="18"/>
                <w:color w:val="auto"/>
              </w:rPr>
            </w:pPr>
          </w:p>
        </w:tc>
      </w:tr>
      <w:tr>
        <w:trPr>
          <w:trHeight w:val="184"/>
        </w:trPr>
        <w:tc>
          <w:tcPr>
            <w:tcW w:w="1440" w:type="dxa"/>
            <w:vAlign w:val="bottom"/>
            <w:tcBorders>
              <w:bottom w:val="single" w:sz="8" w:color="auto"/>
            </w:tcBorders>
          </w:tcPr>
          <w:p>
            <w:pPr>
              <w:spacing w:after="0" w:line="184" w:lineRule="exact"/>
              <w:rPr>
                <w:sz w:val="20"/>
                <w:szCs w:val="20"/>
                <w:color w:val="auto"/>
              </w:rPr>
            </w:pPr>
            <w:r>
              <w:rPr>
                <w:rFonts w:ascii="Arial" w:cs="Arial" w:eastAsia="Arial" w:hAnsi="Arial"/>
                <w:sz w:val="18"/>
                <w:szCs w:val="18"/>
                <w:color w:val="auto"/>
                <w:w w:val="90"/>
              </w:rPr>
              <w:t>sukhi@marvell.com</w:t>
            </w:r>
          </w:p>
        </w:tc>
        <w:tc>
          <w:tcPr>
            <w:tcW w:w="7020" w:type="dxa"/>
            <w:vAlign w:val="bottom"/>
          </w:tcPr>
          <w:p>
            <w:pPr>
              <w:spacing w:after="0"/>
              <w:rPr>
                <w:sz w:val="15"/>
                <w:szCs w:val="15"/>
                <w:color w:val="auto"/>
              </w:rPr>
            </w:pPr>
          </w:p>
        </w:tc>
        <w:tc>
          <w:tcPr>
            <w:tcW w:w="1320" w:type="dxa"/>
            <w:vAlign w:val="bottom"/>
            <w:tcBorders>
              <w:bottom w:val="single" w:sz="8" w:color="auto"/>
            </w:tcBorders>
          </w:tcPr>
          <w:p>
            <w:pPr>
              <w:spacing w:after="0" w:line="184" w:lineRule="exact"/>
              <w:rPr>
                <w:sz w:val="20"/>
                <w:szCs w:val="20"/>
                <w:color w:val="auto"/>
              </w:rPr>
            </w:pPr>
            <w:r>
              <w:rPr>
                <w:rFonts w:ascii="Arial" w:cs="Arial" w:eastAsia="Arial" w:hAnsi="Arial"/>
                <w:sz w:val="18"/>
                <w:szCs w:val="18"/>
                <w:color w:val="auto"/>
                <w:w w:val="89"/>
              </w:rPr>
              <w:t>tom@marvell.com</w:t>
            </w:r>
          </w:p>
        </w:tc>
        <w:tc>
          <w:tcPr>
            <w:tcW w:w="620" w:type="dxa"/>
            <w:vAlign w:val="bottom"/>
          </w:tcPr>
          <w:p>
            <w:pPr>
              <w:spacing w:after="0"/>
              <w:rPr>
                <w:sz w:val="15"/>
                <w:szCs w:val="15"/>
                <w:color w:val="auto"/>
              </w:rPr>
            </w:pPr>
          </w:p>
        </w:tc>
      </w:tr>
    </w:tbl>
    <w:p>
      <w:pPr>
        <w:spacing w:after="0" w:line="175" w:lineRule="exact"/>
        <w:rPr>
          <w:sz w:val="20"/>
          <w:szCs w:val="20"/>
          <w:color w:val="auto"/>
        </w:rPr>
      </w:pPr>
    </w:p>
    <w:p>
      <w:pPr>
        <w:ind w:left="2460"/>
        <w:spacing w:after="0"/>
        <w:rPr>
          <w:sz w:val="20"/>
          <w:szCs w:val="20"/>
          <w:color w:val="auto"/>
        </w:rPr>
      </w:pPr>
      <w:r>
        <w:rPr>
          <w:rFonts w:ascii="Arial" w:cs="Arial" w:eastAsia="Arial" w:hAnsi="Arial"/>
          <w:sz w:val="18"/>
          <w:szCs w:val="18"/>
          <w:b w:val="1"/>
          <w:bCs w:val="1"/>
          <w:color w:val="auto"/>
        </w:rPr>
        <w:t>Marvell Technology Group Ltd. Reports First Quarter of Fiscal 2012 Financial Results</w:t>
      </w:r>
    </w:p>
    <w:p>
      <w:pPr>
        <w:spacing w:after="0" w:line="177" w:lineRule="exact"/>
        <w:rPr>
          <w:sz w:val="20"/>
          <w:szCs w:val="20"/>
          <w:color w:val="auto"/>
        </w:rPr>
      </w:pPr>
    </w:p>
    <w:p>
      <w:pPr>
        <w:ind w:left="4880"/>
        <w:spacing w:after="0"/>
        <w:rPr>
          <w:sz w:val="20"/>
          <w:szCs w:val="20"/>
          <w:color w:val="auto"/>
        </w:rPr>
      </w:pPr>
      <w:r>
        <w:rPr>
          <w:rFonts w:ascii="Arial" w:cs="Arial" w:eastAsia="Arial" w:hAnsi="Arial"/>
          <w:sz w:val="18"/>
          <w:szCs w:val="18"/>
          <w:b w:val="1"/>
          <w:bCs w:val="1"/>
          <w:i w:val="1"/>
          <w:iCs w:val="1"/>
          <w:color w:val="auto"/>
        </w:rPr>
        <w:t>Revenue: $802 Million</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GAAP Net Income: $147 Million, EPS of $0.22</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Non GAAP Net Income: $189 Million, EPS of $0.29</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Free Cash Flow: $157 Million, 20 Percent of Revenue</w:t>
      </w:r>
    </w:p>
    <w:p>
      <w:pPr>
        <w:spacing w:after="0" w:line="159" w:lineRule="exact"/>
        <w:rPr>
          <w:sz w:val="20"/>
          <w:szCs w:val="20"/>
          <w:color w:val="auto"/>
        </w:rPr>
      </w:pPr>
    </w:p>
    <w:p>
      <w:pPr>
        <w:ind w:right="520"/>
        <w:spacing w:after="0" w:line="275" w:lineRule="auto"/>
        <w:rPr>
          <w:sz w:val="20"/>
          <w:szCs w:val="20"/>
          <w:color w:val="auto"/>
        </w:rPr>
      </w:pPr>
      <w:r>
        <w:rPr>
          <w:rFonts w:ascii="Arial" w:cs="Arial" w:eastAsia="Arial" w:hAnsi="Arial"/>
          <w:sz w:val="18"/>
          <w:szCs w:val="18"/>
          <w:b w:val="1"/>
          <w:bCs w:val="1"/>
          <w:color w:val="auto"/>
        </w:rPr>
        <w:t xml:space="preserve">Santa Clara, Calif. (May 26, 2011) </w:t>
      </w:r>
      <w:r>
        <w:rPr>
          <w:rFonts w:ascii="Arial" w:cs="Arial" w:eastAsia="Arial" w:hAnsi="Arial"/>
          <w:sz w:val="18"/>
          <w:szCs w:val="18"/>
          <w:color w:val="auto"/>
        </w:rPr>
        <w:t>— Marvell Technology Group Ltd. (NASDAQ: MRVL), a global leader in integrated silicon solutions, today reported</w:t>
      </w:r>
      <w:r>
        <w:rPr>
          <w:rFonts w:ascii="Arial" w:cs="Arial" w:eastAsia="Arial" w:hAnsi="Arial"/>
          <w:sz w:val="18"/>
          <w:szCs w:val="18"/>
          <w:b w:val="1"/>
          <w:bCs w:val="1"/>
          <w:color w:val="auto"/>
        </w:rPr>
        <w:t xml:space="preserve"> </w:t>
      </w:r>
      <w:r>
        <w:rPr>
          <w:rFonts w:ascii="Arial" w:cs="Arial" w:eastAsia="Arial" w:hAnsi="Arial"/>
          <w:sz w:val="18"/>
          <w:szCs w:val="18"/>
          <w:color w:val="auto"/>
        </w:rPr>
        <w:t>financial results for the first quarter of fiscal 2012, ended April 30, 2011.</w:t>
      </w:r>
    </w:p>
    <w:p>
      <w:pPr>
        <w:spacing w:after="0" w:line="126"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color w:val="auto"/>
        </w:rPr>
        <w:t>Revenue for the first quarter of fiscal 2012 was $802 million, a 6 percent decrease from $856 million in the first quarter of fiscal 2011, ended May 1, 2010, and a 11 percent sequential decrease from $901 million in the fourth quarter of fiscal 2011, ended January 29, 2011.</w:t>
      </w:r>
    </w:p>
    <w:p>
      <w:pPr>
        <w:spacing w:after="0" w:line="132" w:lineRule="exact"/>
        <w:rPr>
          <w:sz w:val="20"/>
          <w:szCs w:val="20"/>
          <w:color w:val="auto"/>
        </w:rPr>
      </w:pPr>
    </w:p>
    <w:p>
      <w:pPr>
        <w:ind w:right="140"/>
        <w:spacing w:after="0" w:line="332" w:lineRule="auto"/>
        <w:rPr>
          <w:sz w:val="20"/>
          <w:szCs w:val="20"/>
          <w:color w:val="auto"/>
        </w:rPr>
      </w:pPr>
      <w:r>
        <w:rPr>
          <w:rFonts w:ascii="Arial" w:cs="Arial" w:eastAsia="Arial" w:hAnsi="Arial"/>
          <w:sz w:val="16"/>
          <w:szCs w:val="16"/>
          <w:color w:val="auto"/>
        </w:rPr>
        <w:t>GAAP net income was $147 million, or $0.22 per share (diluted), for the first quarter of fiscal 2012, compared with GAAP net income of $206 million, or $0.30 per share (diluted), for the first quarter of fiscal 2011. GAAP net income in the fourth quarter of fiscal 2011 was $223 million, or $0.33 per share (diluted).</w:t>
      </w:r>
    </w:p>
    <w:p>
      <w:pPr>
        <w:spacing w:after="0" w:line="85"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Non-GAAP net income was $189 million, or $0.29 per share (diluted), for the first quarter of fiscal 2012, compared with non-GAAP net income of $260 million, or $0.38 per share (diluted), for the first quarter of fiscal 2011. Non-GAAP net income for the fourth quarter of fiscal 2011 was $273 million, or $0.40 per share (diluted).</w:t>
      </w:r>
    </w:p>
    <w:p>
      <w:pPr>
        <w:sectPr>
          <w:pgSz w:w="11900" w:h="16838" w:orient="portrait"/>
          <w:cols w:equalWidth="0" w:num="1">
            <w:col w:w="11420"/>
          </w:cols>
          <w:pgMar w:left="240" w:top="125" w:right="239" w:bottom="1440" w:gutter="0" w:footer="0" w:header="0"/>
        </w:sectPr>
      </w:pPr>
    </w:p>
    <w:bookmarkStart w:id="6" w:name="page7"/>
    <w:bookmarkEnd w:id="6"/>
    <w:p>
      <w:pPr>
        <w:spacing w:after="0" w:line="256"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results for our first quarter reflected the typical seasonality of our consumer centric end markets” said Dr. Sehat Sutardja, Marvell’s Chairman and Chief Executive Officer. “Even at this low point in the revenue cycle, we were an industry leader in profitability for both operating and cash flow margins, demonstrating the strength of our long-term business model. We remain confident that the investments we are making such as in TD-SCDMA and SSD will result in improved results throughout the year.”</w:t>
      </w:r>
    </w:p>
    <w:p>
      <w:pPr>
        <w:spacing w:after="0" w:line="143" w:lineRule="exact"/>
        <w:rPr>
          <w:sz w:val="20"/>
          <w:szCs w:val="20"/>
          <w:color w:val="auto"/>
        </w:rPr>
      </w:pPr>
    </w:p>
    <w:p>
      <w:pPr>
        <w:ind w:right="120"/>
        <w:spacing w:after="0" w:line="298" w:lineRule="auto"/>
        <w:rPr>
          <w:sz w:val="20"/>
          <w:szCs w:val="20"/>
          <w:color w:val="auto"/>
        </w:rPr>
      </w:pPr>
      <w:r>
        <w:rPr>
          <w:rFonts w:ascii="Arial" w:cs="Arial" w:eastAsia="Arial" w:hAnsi="Arial"/>
          <w:sz w:val="16"/>
          <w:szCs w:val="16"/>
          <w:color w:val="auto"/>
        </w:rPr>
        <w:t>Marvell reports net income, basic and diluted net income per share in accordance with U.S. generally accepted accounting principles (GAAP) and on a non-GAAP basis as outlined below. Reconciliations of GAAP net income to non-GAAP net income for the three months ended April 30, 2011, January 29, 2011 and May 1, 2010 appear in the financial statements below. Non-GAAP net income, where applicable, excludes the effect of stock-based compensation, amortization and write-offs of acquired intangible assets, restructuring costs and certain one-time expenses or benefits.</w:t>
      </w:r>
    </w:p>
    <w:p>
      <w:pPr>
        <w:spacing w:after="0" w:line="113" w:lineRule="exact"/>
        <w:rPr>
          <w:sz w:val="20"/>
          <w:szCs w:val="20"/>
          <w:color w:val="auto"/>
        </w:rPr>
      </w:pPr>
    </w:p>
    <w:p>
      <w:pPr>
        <w:ind w:right="380"/>
        <w:spacing w:after="0" w:line="268" w:lineRule="auto"/>
        <w:rPr>
          <w:sz w:val="20"/>
          <w:szCs w:val="20"/>
          <w:color w:val="auto"/>
        </w:rPr>
      </w:pPr>
      <w:r>
        <w:rPr>
          <w:rFonts w:ascii="Arial" w:cs="Arial" w:eastAsia="Arial" w:hAnsi="Arial"/>
          <w:sz w:val="18"/>
          <w:szCs w:val="18"/>
          <w:color w:val="auto"/>
        </w:rPr>
        <w:t>GAAP gross margin for the first quarter of fiscal 2012 was 58.3 percent, compared to 59.8 percent for the first quarter of fiscal 2011 and 58.7 percent for the fourth quarter of fiscal 2011.</w:t>
      </w:r>
    </w:p>
    <w:p>
      <w:pPr>
        <w:spacing w:after="0" w:line="132"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color w:val="auto"/>
        </w:rPr>
        <w:t>Non-GAAP gross margin for the first quarter of fiscal 2012 was 58.5 percent, compared to 60.6 percent for the first quarter of fiscal 2011 and 59.4 percent for the fourth quarter of fiscal 2011.</w:t>
      </w:r>
    </w:p>
    <w:p>
      <w:pPr>
        <w:spacing w:after="0" w:line="132" w:lineRule="exact"/>
        <w:rPr>
          <w:sz w:val="20"/>
          <w:szCs w:val="20"/>
          <w:color w:val="auto"/>
        </w:rPr>
      </w:pPr>
    </w:p>
    <w:p>
      <w:pPr>
        <w:ind w:right="20"/>
        <w:spacing w:after="0" w:line="256" w:lineRule="auto"/>
        <w:rPr>
          <w:sz w:val="20"/>
          <w:szCs w:val="20"/>
          <w:color w:val="auto"/>
        </w:rPr>
      </w:pPr>
      <w:r>
        <w:rPr>
          <w:rFonts w:ascii="Arial" w:cs="Arial" w:eastAsia="Arial" w:hAnsi="Arial"/>
          <w:sz w:val="18"/>
          <w:szCs w:val="18"/>
          <w:color w:val="auto"/>
        </w:rPr>
        <w:t>Shares used to compute GAAP net income per diluted share for the first quarter of fiscal 2012 were 657 million shares, compared with 678 million shares in the first quarter of fiscal 2011 and 679 million shares in the fourth quarter of fiscal 2011. Shares used to compute non-GAAP net income per diluted share for the first quarter of fiscal 2012 were 663 million shares, compared with 681 million shares for the first quarter of fiscal 2011 and 685 million shares for the fourth quarter of fiscal 2011.</w:t>
      </w:r>
    </w:p>
    <w:p>
      <w:pPr>
        <w:spacing w:after="0" w:line="143" w:lineRule="exact"/>
        <w:rPr>
          <w:sz w:val="20"/>
          <w:szCs w:val="20"/>
          <w:color w:val="auto"/>
        </w:rPr>
      </w:pPr>
    </w:p>
    <w:p>
      <w:pPr>
        <w:ind w:right="60"/>
        <w:spacing w:after="0" w:line="256" w:lineRule="auto"/>
        <w:rPr>
          <w:sz w:val="20"/>
          <w:szCs w:val="20"/>
          <w:color w:val="auto"/>
        </w:rPr>
      </w:pPr>
      <w:r>
        <w:rPr>
          <w:rFonts w:ascii="Arial" w:cs="Arial" w:eastAsia="Arial" w:hAnsi="Arial"/>
          <w:sz w:val="18"/>
          <w:szCs w:val="18"/>
          <w:color w:val="auto"/>
        </w:rPr>
        <w:t>Cash flow from operations for the first quarter of fiscal 2012 was $177 million, down from the $256 million in the first quarter of fiscal 2011 and down from the $251 million reported in the fourth quarter of fiscal 2011. Free cash flow for the first quarter of fiscal 2012 was $157 million, down from the $237 million in first quarter of fiscal 2011 and down from the $213 million reported in the fourth quarter of fiscal 2011. Free cash flow as presented above is defined as cash flow from operations, less capital expenditures and purchases of IP licenses.</w:t>
      </w:r>
    </w:p>
    <w:p>
      <w:pPr>
        <w:spacing w:after="0" w:line="143"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color w:val="auto"/>
        </w:rPr>
        <w:t>Under the share repurchase program, Marvell repurchased approximately 50 million shares for a total of $800 million in first quarter of fiscal 2012 demonstrating a commitment to returning shareholder value.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80" w:right="25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Conference Call</w:t>
      </w:r>
    </w:p>
    <w:p>
      <w:pPr>
        <w:spacing w:after="0" w:line="96" w:lineRule="exact"/>
        <w:rPr>
          <w:sz w:val="20"/>
          <w:szCs w:val="20"/>
          <w:color w:val="auto"/>
        </w:rPr>
      </w:pPr>
    </w:p>
    <w:p>
      <w:pPr>
        <w:ind w:right="220"/>
        <w:spacing w:after="0" w:line="306" w:lineRule="auto"/>
        <w:rPr>
          <w:sz w:val="20"/>
          <w:szCs w:val="20"/>
          <w:color w:val="auto"/>
        </w:rPr>
      </w:pPr>
      <w:r>
        <w:rPr>
          <w:rFonts w:ascii="Arial" w:cs="Arial" w:eastAsia="Arial" w:hAnsi="Arial"/>
          <w:sz w:val="16"/>
          <w:szCs w:val="16"/>
          <w:color w:val="auto"/>
        </w:rPr>
        <w:t xml:space="preserve">Marvell will be conducting a conference call on May 26, 2011 at 1:45 p.m. Pacific Time to discuss results for the first quarter of fiscal 2012. Interested parties may join the conference call by dialing </w:t>
      </w:r>
      <w:r>
        <w:rPr>
          <w:rFonts w:ascii="Arial" w:cs="Arial" w:eastAsia="Arial" w:hAnsi="Arial"/>
          <w:sz w:val="16"/>
          <w:szCs w:val="16"/>
          <w:b w:val="1"/>
          <w:bCs w:val="1"/>
          <w:color w:val="auto"/>
        </w:rPr>
        <w:t>1-866-700-7173 or 1</w:t>
      </w:r>
      <w:r>
        <w:rPr>
          <w:rFonts w:ascii="Arial" w:cs="Arial" w:eastAsia="Arial" w:hAnsi="Arial"/>
          <w:sz w:val="16"/>
          <w:szCs w:val="16"/>
          <w:color w:val="auto"/>
        </w:rPr>
        <w:t>-</w:t>
      </w:r>
      <w:r>
        <w:rPr>
          <w:rFonts w:ascii="Arial" w:cs="Arial" w:eastAsia="Arial" w:hAnsi="Arial"/>
          <w:sz w:val="16"/>
          <w:szCs w:val="16"/>
          <w:b w:val="1"/>
          <w:bCs w:val="1"/>
          <w:color w:val="auto"/>
        </w:rPr>
        <w:t>617-213-8838, pass-code 96722601</w:t>
      </w:r>
      <w:r>
        <w:rPr>
          <w:rFonts w:ascii="Arial" w:cs="Arial" w:eastAsia="Arial" w:hAnsi="Arial"/>
          <w:sz w:val="16"/>
          <w:szCs w:val="16"/>
          <w:color w:val="auto"/>
        </w:rPr>
        <w:t xml:space="preserve">. The call will be webcast by Thomson Reuters and can be accessed at the Marvell Investor Relations website at </w:t>
      </w:r>
      <w:r>
        <w:rPr>
          <w:rFonts w:ascii="Arial" w:cs="Arial" w:eastAsia="Arial" w:hAnsi="Arial"/>
          <w:sz w:val="16"/>
          <w:szCs w:val="16"/>
          <w:u w:val="single" w:color="auto"/>
          <w:color w:val="auto"/>
        </w:rPr>
        <w:t>http://investor.marvell.com/</w:t>
      </w:r>
      <w:r>
        <w:rPr>
          <w:rFonts w:ascii="Arial" w:cs="Arial" w:eastAsia="Arial" w:hAnsi="Arial"/>
          <w:sz w:val="16"/>
          <w:szCs w:val="16"/>
          <w:color w:val="auto"/>
        </w:rPr>
        <w:t xml:space="preserve"> with a replay available following the call until June 26, 2011.</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right="80"/>
        <w:spacing w:after="0" w:line="314" w:lineRule="auto"/>
        <w:rPr>
          <w:sz w:val="20"/>
          <w:szCs w:val="20"/>
          <w:color w:val="auto"/>
        </w:rPr>
      </w:pPr>
      <w:r>
        <w:rPr>
          <w:rFonts w:ascii="Arial" w:cs="Arial" w:eastAsia="Arial" w:hAnsi="Arial"/>
          <w:sz w:val="15"/>
          <w:szCs w:val="15"/>
          <w:color w:val="auto"/>
        </w:rPr>
        <w:t>Non-GAAP financial measures exclude stock-based compensation expense as well as charges related to acquisitions, restructuring, gains and other charges that are driven primarily by discrete events that management does not consider to be directly related to Marvell’s core operating performance. Non-GAAP earnings per share is calculated by dividing non-GAAP net income by non-GAAP weighted average shares outstanding (diluted). For purposes of calculating non-GAAP earnings per share, the GAAP weighted average shares outstanding (diluted) is adjusted to exclude the potential benefits of compensation costs expected to be incurred in future periods, but not yet recognized in the financial statements. The expected compensation costs are treated as proceeds assumed to be used to repurchase shares under the GAAP treasury stock method and also include the dilutive/antidilutive effects of common stock options and restricted stock.</w:t>
      </w:r>
    </w:p>
    <w:p>
      <w:pPr>
        <w:spacing w:after="0" w:line="105"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 xml:space="preserve">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t>
      </w:r>
      <w:r>
        <w:rPr>
          <w:rFonts w:ascii="Arial" w:cs="Arial" w:eastAsia="Arial" w:hAnsi="Arial"/>
          <w:sz w:val="16"/>
          <w:szCs w:val="16"/>
          <w:u w:val="single" w:color="auto"/>
          <w:color w:val="auto"/>
        </w:rPr>
        <w:t>www.sec.gov</w:t>
      </w:r>
      <w:r>
        <w:rPr>
          <w:rFonts w:ascii="Arial" w:cs="Arial" w:eastAsia="Arial" w:hAnsi="Arial"/>
          <w:sz w:val="16"/>
          <w:szCs w:val="16"/>
          <w:color w:val="auto"/>
        </w:rPr>
        <w:t xml:space="preserve"> as well as on the Marvell website in the Investor Relations section at </w:t>
      </w:r>
      <w:r>
        <w:rPr>
          <w:rFonts w:ascii="Arial" w:cs="Arial" w:eastAsia="Arial" w:hAnsi="Arial"/>
          <w:sz w:val="16"/>
          <w:szCs w:val="16"/>
          <w:u w:val="single" w:color="auto"/>
          <w:color w:val="auto"/>
        </w:rPr>
        <w:t>www.marvell.com</w:t>
      </w:r>
      <w:r>
        <w:rPr>
          <w:rFonts w:ascii="Arial" w:cs="Arial" w:eastAsia="Arial" w:hAnsi="Arial"/>
          <w:sz w:val="16"/>
          <w:szCs w:val="16"/>
          <w:color w:val="auto"/>
        </w:rPr>
        <w:t>.</w:t>
      </w:r>
    </w:p>
    <w:p>
      <w:pPr>
        <w:spacing w:after="0" w:line="106"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40"/>
          </w:cols>
          <w:pgMar w:left="240" w:top="274" w:right="319" w:bottom="1440" w:gutter="0" w:footer="0" w:header="0"/>
        </w:sectPr>
      </w:pPr>
    </w:p>
    <w:bookmarkStart w:id="8" w:name="page9"/>
    <w:bookmarkEnd w:id="8"/>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About Marvell</w:t>
      </w:r>
    </w:p>
    <w:p>
      <w:pPr>
        <w:spacing w:after="0" w:line="9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 xml:space="preserve">Marvell is a global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 “Marvell” refers to Marvell Technology Group Ltd. and its subsidiaries. For more information please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w:t>
      </w:r>
    </w:p>
    <w:p>
      <w:pPr>
        <w:spacing w:after="0" w:line="96"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This press release contains forward-looking statements that involve risks and uncertainties, including statements regarding the strength of Marvell’s long-term business model; the ability of Marvell’s investments to result in improved results throughout the year; and statements concerning Marvell’s use of non-GAAP net income and net income per share as important supplemental information. These statements are not guarantees of results and should not be considered as an indication of future performance. Actual events or results may differ materially from those described in this document due to a number of risks and uncertainties, including, among others, Marvell’s reliance on major customers and suppliers; market acceptance of new products; uncertainty in the worldwide economic environment and other risks detailed in Marvell’s SEC filings. When Marvell files its Form 10-Q for the first quarter of fiscal 2012, the financial statements may differ from the results disclosed in this press release because judgments and estimates that management used in preparing the financial results reported in this press release may need to be updated to the date of the filing. Marvell’s results also remain subject to review by Marvell’s independent registered public accounting firm. For other factors that could cause Marvell’s results to vary from expectations, please see the risk factors identified in the Marvell’s latest Annual Report on Form 10-K for fiscal year 2011, ended January 29, 2011, as filed with the SEC and other factors detailed from time to time in Marvell’s filings with the SEC. Marvell undertakes no obligation to revise or update publicly any forward-looking statements.</w:t>
      </w:r>
    </w:p>
    <w:p>
      <w:pPr>
        <w:spacing w:after="0" w:line="12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 and the Marvell logo are registered trademarks of Marvell and/or its affiliates.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80"/>
          </w:cols>
          <w:pgMar w:left="240" w:top="274" w:right="279" w:bottom="1440" w:gutter="0" w:footer="0" w:header="0"/>
        </w:sectPr>
      </w:pPr>
    </w:p>
    <w:bookmarkStart w:id="9" w:name="page10"/>
    <w:bookmarkEnd w:id="9"/>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39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300" w:type="dxa"/>
            <w:vAlign w:val="bottom"/>
            <w:tcBorders>
              <w:bottom w:val="single" w:sz="8" w:color="auto"/>
            </w:tcBorders>
            <w:gridSpan w:val="5"/>
          </w:tcPr>
          <w:p>
            <w:pPr>
              <w:ind w:left="40"/>
              <w:spacing w:after="0"/>
              <w:rPr>
                <w:sz w:val="20"/>
                <w:szCs w:val="20"/>
                <w:color w:val="auto"/>
              </w:rPr>
            </w:pPr>
            <w:r>
              <w:rPr>
                <w:rFonts w:ascii="Arial" w:cs="Arial" w:eastAsia="Arial" w:hAnsi="Arial"/>
                <w:sz w:val="14"/>
                <w:szCs w:val="14"/>
                <w:b w:val="1"/>
                <w:bCs w:val="1"/>
                <w:color w:val="auto"/>
                <w:w w:val="89"/>
              </w:rPr>
              <w:t>Three Months Ended</w:t>
            </w: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660" w:type="dxa"/>
            <w:vAlign w:val="bottom"/>
          </w:tcPr>
          <w:p>
            <w:pPr>
              <w:spacing w:after="0"/>
              <w:rPr>
                <w:sz w:val="11"/>
                <w:szCs w:val="11"/>
                <w:color w:val="auto"/>
              </w:rPr>
            </w:pPr>
          </w:p>
        </w:tc>
        <w:tc>
          <w:tcPr>
            <w:tcW w:w="3960" w:type="dxa"/>
            <w:vAlign w:val="bottom"/>
          </w:tcPr>
          <w:p>
            <w:pPr>
              <w:spacing w:after="0"/>
              <w:rPr>
                <w:sz w:val="11"/>
                <w:szCs w:val="11"/>
                <w:color w:val="auto"/>
              </w:rPr>
            </w:pPr>
          </w:p>
        </w:tc>
        <w:tc>
          <w:tcPr>
            <w:tcW w:w="860" w:type="dxa"/>
            <w:vAlign w:val="bottom"/>
            <w:gridSpan w:val="3"/>
          </w:tcPr>
          <w:p>
            <w:pPr>
              <w:jc w:val="right"/>
              <w:ind w:right="192"/>
              <w:spacing w:after="0" w:line="129" w:lineRule="exact"/>
              <w:rPr>
                <w:sz w:val="20"/>
                <w:szCs w:val="20"/>
                <w:color w:val="auto"/>
              </w:rPr>
            </w:pPr>
            <w:r>
              <w:rPr>
                <w:rFonts w:ascii="Arial" w:cs="Arial" w:eastAsia="Arial" w:hAnsi="Arial"/>
                <w:sz w:val="14"/>
                <w:szCs w:val="14"/>
                <w:b w:val="1"/>
                <w:bCs w:val="1"/>
                <w:color w:val="auto"/>
              </w:rPr>
              <w:t>April 30,</w:t>
            </w:r>
          </w:p>
        </w:tc>
        <w:tc>
          <w:tcPr>
            <w:tcW w:w="140" w:type="dxa"/>
            <w:vAlign w:val="bottom"/>
          </w:tcPr>
          <w:p>
            <w:pPr>
              <w:spacing w:after="0"/>
              <w:rPr>
                <w:sz w:val="11"/>
                <w:szCs w:val="11"/>
                <w:color w:val="auto"/>
              </w:rPr>
            </w:pPr>
          </w:p>
        </w:tc>
        <w:tc>
          <w:tcPr>
            <w:tcW w:w="98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29,</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jc w:val="right"/>
              <w:ind w:right="54"/>
              <w:spacing w:after="0" w:line="129" w:lineRule="exact"/>
              <w:rPr>
                <w:sz w:val="20"/>
                <w:szCs w:val="20"/>
                <w:color w:val="auto"/>
              </w:rPr>
            </w:pPr>
            <w:r>
              <w:rPr>
                <w:rFonts w:ascii="Arial" w:cs="Arial" w:eastAsia="Arial" w:hAnsi="Arial"/>
                <w:sz w:val="14"/>
                <w:szCs w:val="14"/>
                <w:b w:val="1"/>
                <w:bCs w:val="1"/>
                <w:color w:val="auto"/>
                <w:w w:val="98"/>
              </w:rPr>
              <w:t>May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39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2011</w:t>
            </w: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2011</w:t>
            </w:r>
          </w:p>
        </w:tc>
        <w:tc>
          <w:tcPr>
            <w:tcW w:w="3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4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w w:val="86"/>
              </w:rPr>
              <w:t>802,402</w:t>
            </w:r>
          </w:p>
        </w:tc>
        <w:tc>
          <w:tcPr>
            <w:tcW w:w="24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900,513</w:t>
            </w:r>
          </w:p>
        </w:tc>
        <w:tc>
          <w:tcPr>
            <w:tcW w:w="300" w:type="dxa"/>
            <w:vAlign w:val="bottom"/>
            <w:shd w:val="clear" w:color="auto" w:fill="CCEEFF"/>
          </w:tcPr>
          <w:p>
            <w:pPr>
              <w:spacing w:after="0"/>
              <w:rPr>
                <w:sz w:val="18"/>
                <w:szCs w:val="18"/>
                <w:color w:val="auto"/>
              </w:rPr>
            </w:pPr>
          </w:p>
        </w:tc>
        <w:tc>
          <w:tcPr>
            <w:tcW w:w="1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79"/>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855,579</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Cost of goods sold</w:t>
            </w:r>
          </w:p>
        </w:tc>
        <w:tc>
          <w:tcPr>
            <w:tcW w:w="39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334,475</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371,799</w:t>
            </w:r>
          </w:p>
        </w:tc>
        <w:tc>
          <w:tcPr>
            <w:tcW w:w="3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343,985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3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w w:val="86"/>
              </w:rPr>
              <w:t>467,927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528,714</w:t>
            </w:r>
          </w:p>
        </w:tc>
        <w:tc>
          <w:tcPr>
            <w:tcW w:w="3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511,594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Operating expenses:</w:t>
            </w:r>
          </w:p>
        </w:tc>
        <w:tc>
          <w:tcPr>
            <w:tcW w:w="3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Research and development</w:t>
            </w:r>
          </w:p>
        </w:tc>
        <w:tc>
          <w:tcPr>
            <w:tcW w:w="3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w w:val="86"/>
              </w:rPr>
              <w:t>242,537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231,836</w:t>
            </w:r>
          </w:p>
        </w:tc>
        <w:tc>
          <w:tcPr>
            <w:tcW w:w="3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219,111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Selling and marketing</w:t>
            </w:r>
          </w:p>
        </w:tc>
        <w:tc>
          <w:tcPr>
            <w:tcW w:w="3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12"/>
              <w:spacing w:after="0"/>
              <w:rPr>
                <w:sz w:val="20"/>
                <w:szCs w:val="20"/>
                <w:color w:val="auto"/>
              </w:rPr>
            </w:pPr>
            <w:r>
              <w:rPr>
                <w:rFonts w:ascii="Arial" w:cs="Arial" w:eastAsia="Arial" w:hAnsi="Arial"/>
                <w:sz w:val="18"/>
                <w:szCs w:val="18"/>
                <w:color w:val="auto"/>
              </w:rPr>
              <w:t>38,152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40,444</w:t>
            </w:r>
          </w:p>
        </w:tc>
        <w:tc>
          <w:tcPr>
            <w:tcW w:w="3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38,423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General and administrative</w:t>
            </w:r>
          </w:p>
        </w:tc>
        <w:tc>
          <w:tcPr>
            <w:tcW w:w="3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rPr>
              <w:t>24,784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26,706</w:t>
            </w:r>
          </w:p>
        </w:tc>
        <w:tc>
          <w:tcPr>
            <w:tcW w:w="3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23,108</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39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14,341</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14,005</w:t>
            </w:r>
          </w:p>
        </w:tc>
        <w:tc>
          <w:tcPr>
            <w:tcW w:w="3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22,549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operating expenses</w:t>
            </w:r>
          </w:p>
        </w:tc>
        <w:tc>
          <w:tcPr>
            <w:tcW w:w="39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319,814</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312,991</w:t>
            </w:r>
          </w:p>
        </w:tc>
        <w:tc>
          <w:tcPr>
            <w:tcW w:w="3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303,191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680" w:type="dxa"/>
            <w:vAlign w:val="bottom"/>
            <w:gridSpan w:val="2"/>
          </w:tcPr>
          <w:p>
            <w:pPr>
              <w:spacing w:after="0"/>
              <w:rPr>
                <w:sz w:val="20"/>
                <w:szCs w:val="20"/>
                <w:color w:val="auto"/>
              </w:rPr>
            </w:pPr>
            <w:r>
              <w:rPr>
                <w:rFonts w:ascii="Arial" w:cs="Arial" w:eastAsia="Arial" w:hAnsi="Arial"/>
                <w:sz w:val="18"/>
                <w:szCs w:val="18"/>
                <w:color w:val="auto"/>
              </w:rPr>
              <w:t>Operating income</w:t>
            </w:r>
          </w:p>
        </w:tc>
        <w:tc>
          <w:tcPr>
            <w:tcW w:w="39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60" w:type="dxa"/>
            <w:vAlign w:val="bottom"/>
            <w:gridSpan w:val="2"/>
          </w:tcPr>
          <w:p>
            <w:pPr>
              <w:jc w:val="right"/>
              <w:ind w:right="112"/>
              <w:spacing w:after="0"/>
              <w:rPr>
                <w:sz w:val="20"/>
                <w:szCs w:val="20"/>
                <w:color w:val="auto"/>
              </w:rPr>
            </w:pPr>
            <w:r>
              <w:rPr>
                <w:rFonts w:ascii="Arial" w:cs="Arial" w:eastAsia="Arial" w:hAnsi="Arial"/>
                <w:sz w:val="18"/>
                <w:szCs w:val="18"/>
                <w:color w:val="auto"/>
                <w:w w:val="86"/>
              </w:rPr>
              <w:t>148,113</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215,723</w:t>
            </w:r>
          </w:p>
        </w:tc>
        <w:tc>
          <w:tcPr>
            <w:tcW w:w="3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w w:val="86"/>
              </w:rPr>
              <w:t>208,403</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(expense), net</w:t>
            </w:r>
          </w:p>
        </w:tc>
        <w:tc>
          <w:tcPr>
            <w:tcW w:w="3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52"/>
              <w:spacing w:after="0"/>
              <w:rPr>
                <w:sz w:val="20"/>
                <w:szCs w:val="20"/>
                <w:color w:val="auto"/>
              </w:rPr>
            </w:pPr>
            <w:r>
              <w:rPr>
                <w:rFonts w:ascii="Arial" w:cs="Arial" w:eastAsia="Arial" w:hAnsi="Arial"/>
                <w:sz w:val="18"/>
                <w:szCs w:val="18"/>
                <w:color w:val="auto"/>
              </w:rPr>
              <w:t>(218)</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10,475</w:t>
            </w:r>
          </w:p>
        </w:tc>
        <w:tc>
          <w:tcPr>
            <w:tcW w:w="3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(3,752)</w:t>
            </w:r>
          </w:p>
        </w:tc>
        <w:tc>
          <w:tcPr>
            <w:tcW w:w="0" w:type="dxa"/>
            <w:vAlign w:val="bottom"/>
          </w:tcPr>
          <w:p>
            <w:pPr>
              <w:spacing w:after="0"/>
              <w:rPr>
                <w:sz w:val="1"/>
                <w:szCs w:val="1"/>
                <w:color w:val="auto"/>
              </w:rPr>
            </w:pPr>
          </w:p>
        </w:tc>
      </w:tr>
      <w:tr>
        <w:trPr>
          <w:trHeight w:val="221"/>
        </w:trPr>
        <w:tc>
          <w:tcPr>
            <w:tcW w:w="4680" w:type="dxa"/>
            <w:vAlign w:val="bottom"/>
            <w:gridSpan w:val="2"/>
          </w:tcPr>
          <w:p>
            <w:pPr>
              <w:spacing w:after="0"/>
              <w:rPr>
                <w:sz w:val="20"/>
                <w:szCs w:val="20"/>
                <w:color w:val="auto"/>
              </w:rPr>
            </w:pPr>
            <w:r>
              <w:rPr>
                <w:rFonts w:ascii="Arial" w:cs="Arial" w:eastAsia="Arial" w:hAnsi="Arial"/>
                <w:sz w:val="18"/>
                <w:szCs w:val="18"/>
                <w:color w:val="auto"/>
              </w:rPr>
              <w:t>Income before income taxes</w:t>
            </w:r>
          </w:p>
        </w:tc>
        <w:tc>
          <w:tcPr>
            <w:tcW w:w="39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147,895</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226,198</w:t>
            </w:r>
          </w:p>
        </w:tc>
        <w:tc>
          <w:tcPr>
            <w:tcW w:w="3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204,651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3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1,034</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3,345</w:t>
            </w:r>
          </w:p>
        </w:tc>
        <w:tc>
          <w:tcPr>
            <w:tcW w:w="3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(1,116)</w:t>
            </w:r>
          </w:p>
        </w:tc>
        <w:tc>
          <w:tcPr>
            <w:tcW w:w="0" w:type="dxa"/>
            <w:vAlign w:val="bottom"/>
          </w:tcPr>
          <w:p>
            <w:pPr>
              <w:spacing w:after="0"/>
              <w:rPr>
                <w:sz w:val="1"/>
                <w:szCs w:val="1"/>
                <w:color w:val="auto"/>
              </w:rPr>
            </w:pPr>
          </w:p>
        </w:tc>
      </w:tr>
      <w:tr>
        <w:trPr>
          <w:trHeight w:val="20"/>
        </w:trPr>
        <w:tc>
          <w:tcPr>
            <w:tcW w:w="4680" w:type="dxa"/>
            <w:vAlign w:val="bottom"/>
            <w:gridSpan w:val="2"/>
            <w:vMerge w:val="restart"/>
          </w:tcPr>
          <w:p>
            <w:pPr>
              <w:spacing w:after="0"/>
              <w:rPr>
                <w:sz w:val="20"/>
                <w:szCs w:val="20"/>
                <w:color w:val="auto"/>
              </w:rPr>
            </w:pPr>
            <w:r>
              <w:rPr>
                <w:rFonts w:ascii="Arial" w:cs="Arial" w:eastAsia="Arial" w:hAnsi="Arial"/>
                <w:sz w:val="18"/>
                <w:szCs w:val="18"/>
                <w:color w:val="auto"/>
              </w:rPr>
              <w:t>Net income</w:t>
            </w:r>
          </w:p>
        </w:tc>
        <w:tc>
          <w:tcPr>
            <w:tcW w:w="39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680" w:type="dxa"/>
            <w:vAlign w:val="bottom"/>
            <w:gridSpan w:val="2"/>
            <w:vMerge w:val="continue"/>
          </w:tcPr>
          <w:p>
            <w:pPr>
              <w:spacing w:after="0"/>
              <w:rPr>
                <w:sz w:val="19"/>
                <w:szCs w:val="19"/>
                <w:color w:val="auto"/>
              </w:rPr>
            </w:pPr>
          </w:p>
        </w:tc>
        <w:tc>
          <w:tcPr>
            <w:tcW w:w="40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60" w:type="dxa"/>
            <w:vAlign w:val="bottom"/>
            <w:gridSpan w:val="2"/>
          </w:tcPr>
          <w:p>
            <w:pPr>
              <w:jc w:val="right"/>
              <w:ind w:right="112"/>
              <w:spacing w:after="0"/>
              <w:rPr>
                <w:sz w:val="20"/>
                <w:szCs w:val="20"/>
                <w:color w:val="auto"/>
              </w:rPr>
            </w:pPr>
            <w:r>
              <w:rPr>
                <w:rFonts w:ascii="Arial" w:cs="Arial" w:eastAsia="Arial" w:hAnsi="Arial"/>
                <w:sz w:val="18"/>
                <w:szCs w:val="18"/>
                <w:color w:val="auto"/>
                <w:w w:val="86"/>
              </w:rPr>
              <w:t>146,861</w:t>
            </w:r>
          </w:p>
        </w:tc>
        <w:tc>
          <w:tcPr>
            <w:tcW w:w="240" w:type="dxa"/>
            <w:vAlign w:val="bottom"/>
            <w:gridSpan w:val="2"/>
          </w:tcPr>
          <w:p>
            <w:pPr>
              <w:ind w:left="14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222,853</w:t>
            </w:r>
          </w:p>
        </w:tc>
        <w:tc>
          <w:tcPr>
            <w:tcW w:w="300" w:type="dxa"/>
            <w:vAlign w:val="bottom"/>
          </w:tcPr>
          <w:p>
            <w:pPr>
              <w:spacing w:after="0"/>
              <w:rPr>
                <w:sz w:val="19"/>
                <w:szCs w:val="19"/>
                <w:color w:val="auto"/>
              </w:rPr>
            </w:pPr>
          </w:p>
        </w:tc>
        <w:tc>
          <w:tcPr>
            <w:tcW w:w="120" w:type="dxa"/>
            <w:vAlign w:val="bottom"/>
            <w:gridSpan w:val="2"/>
          </w:tcPr>
          <w:p>
            <w:pPr>
              <w:jc w:val="right"/>
              <w:ind w:right="20"/>
              <w:spacing w:after="0"/>
              <w:rPr>
                <w:sz w:val="20"/>
                <w:szCs w:val="20"/>
                <w:color w:val="auto"/>
              </w:rPr>
            </w:pPr>
            <w:r>
              <w:rPr>
                <w:rFonts w:ascii="Arial" w:cs="Arial" w:eastAsia="Arial" w:hAnsi="Arial"/>
                <w:sz w:val="18"/>
                <w:szCs w:val="18"/>
                <w:u w:val="single" w:color="auto"/>
                <w:color w:val="auto"/>
                <w:w w:val="79"/>
              </w:rPr>
              <w:t>$</w:t>
            </w: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w w:val="86"/>
              </w:rPr>
              <w:t>205,767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39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4660" w:type="dxa"/>
            <w:vAlign w:val="bottom"/>
          </w:tcPr>
          <w:p>
            <w:pPr>
              <w:spacing w:after="0"/>
              <w:rPr>
                <w:sz w:val="8"/>
                <w:szCs w:val="8"/>
                <w:color w:val="auto"/>
              </w:rPr>
            </w:pPr>
          </w:p>
        </w:tc>
        <w:tc>
          <w:tcPr>
            <w:tcW w:w="396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4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rPr>
              <w:t>0.23</w:t>
            </w:r>
          </w:p>
        </w:tc>
        <w:tc>
          <w:tcPr>
            <w:tcW w:w="24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0.34</w:t>
            </w:r>
          </w:p>
        </w:tc>
        <w:tc>
          <w:tcPr>
            <w:tcW w:w="300" w:type="dxa"/>
            <w:vAlign w:val="bottom"/>
            <w:shd w:val="clear" w:color="auto" w:fill="CCEEFF"/>
          </w:tcPr>
          <w:p>
            <w:pPr>
              <w:spacing w:after="0"/>
              <w:rPr>
                <w:sz w:val="18"/>
                <w:szCs w:val="18"/>
                <w:color w:val="auto"/>
              </w:rPr>
            </w:pPr>
          </w:p>
        </w:tc>
        <w:tc>
          <w:tcPr>
            <w:tcW w:w="1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79"/>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0.32</w:t>
            </w:r>
          </w:p>
        </w:tc>
        <w:tc>
          <w:tcPr>
            <w:tcW w:w="0" w:type="dxa"/>
            <w:vAlign w:val="bottom"/>
          </w:tcPr>
          <w:p>
            <w:pPr>
              <w:spacing w:after="0"/>
              <w:rPr>
                <w:sz w:val="1"/>
                <w:szCs w:val="1"/>
                <w:color w:val="auto"/>
              </w:rPr>
            </w:pPr>
          </w:p>
        </w:tc>
      </w:tr>
      <w:tr>
        <w:trPr>
          <w:trHeight w:val="20"/>
        </w:trPr>
        <w:tc>
          <w:tcPr>
            <w:tcW w:w="468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per share</w:t>
            </w:r>
          </w:p>
        </w:tc>
        <w:tc>
          <w:tcPr>
            <w:tcW w:w="39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680" w:type="dxa"/>
            <w:vAlign w:val="bottom"/>
            <w:gridSpan w:val="2"/>
            <w:vMerge w:val="continue"/>
          </w:tcPr>
          <w:p>
            <w:pPr>
              <w:spacing w:after="0"/>
              <w:rPr>
                <w:sz w:val="18"/>
                <w:szCs w:val="18"/>
                <w:color w:val="auto"/>
              </w:rPr>
            </w:pPr>
          </w:p>
        </w:tc>
        <w:tc>
          <w:tcPr>
            <w:tcW w:w="40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60" w:type="dxa"/>
            <w:vAlign w:val="bottom"/>
            <w:gridSpan w:val="2"/>
          </w:tcPr>
          <w:p>
            <w:pPr>
              <w:jc w:val="right"/>
              <w:ind w:right="112"/>
              <w:spacing w:after="0"/>
              <w:rPr>
                <w:sz w:val="20"/>
                <w:szCs w:val="20"/>
                <w:color w:val="auto"/>
              </w:rPr>
            </w:pPr>
            <w:r>
              <w:rPr>
                <w:rFonts w:ascii="Arial" w:cs="Arial" w:eastAsia="Arial" w:hAnsi="Arial"/>
                <w:sz w:val="18"/>
                <w:szCs w:val="18"/>
                <w:color w:val="auto"/>
              </w:rPr>
              <w:t>0.22</w:t>
            </w:r>
          </w:p>
        </w:tc>
        <w:tc>
          <w:tcPr>
            <w:tcW w:w="240" w:type="dxa"/>
            <w:vAlign w:val="bottom"/>
            <w:gridSpan w:val="2"/>
          </w:tcPr>
          <w:p>
            <w:pPr>
              <w:ind w:left="14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0.33</w:t>
            </w:r>
          </w:p>
        </w:tc>
        <w:tc>
          <w:tcPr>
            <w:tcW w:w="300" w:type="dxa"/>
            <w:vAlign w:val="bottom"/>
          </w:tcPr>
          <w:p>
            <w:pPr>
              <w:spacing w:after="0"/>
              <w:rPr>
                <w:sz w:val="18"/>
                <w:szCs w:val="18"/>
                <w:color w:val="auto"/>
              </w:rPr>
            </w:pPr>
          </w:p>
        </w:tc>
        <w:tc>
          <w:tcPr>
            <w:tcW w:w="120" w:type="dxa"/>
            <w:vAlign w:val="bottom"/>
            <w:gridSpan w:val="2"/>
          </w:tcPr>
          <w:p>
            <w:pPr>
              <w:jc w:val="right"/>
              <w:ind w:right="20"/>
              <w:spacing w:after="0"/>
              <w:rPr>
                <w:sz w:val="20"/>
                <w:szCs w:val="20"/>
                <w:color w:val="auto"/>
              </w:rPr>
            </w:pPr>
            <w:r>
              <w:rPr>
                <w:rFonts w:ascii="Arial" w:cs="Arial" w:eastAsia="Arial" w:hAnsi="Arial"/>
                <w:sz w:val="18"/>
                <w:szCs w:val="18"/>
                <w:color w:val="auto"/>
                <w:w w:val="79"/>
              </w:rPr>
              <w:t>$</w:t>
            </w: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0.30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39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4660" w:type="dxa"/>
            <w:vAlign w:val="bottom"/>
          </w:tcPr>
          <w:p>
            <w:pPr>
              <w:spacing w:after="0"/>
              <w:rPr>
                <w:sz w:val="8"/>
                <w:szCs w:val="8"/>
                <w:color w:val="auto"/>
              </w:rPr>
            </w:pPr>
          </w:p>
        </w:tc>
        <w:tc>
          <w:tcPr>
            <w:tcW w:w="396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per share</w:t>
            </w:r>
          </w:p>
        </w:tc>
        <w:tc>
          <w:tcPr>
            <w:tcW w:w="3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w w:val="86"/>
              </w:rPr>
              <w:t>638,946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654,650</w:t>
            </w:r>
          </w:p>
        </w:tc>
        <w:tc>
          <w:tcPr>
            <w:tcW w:w="3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640,926</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Shares used in computing diluted earnings per share</w:t>
            </w:r>
          </w:p>
        </w:tc>
        <w:tc>
          <w:tcPr>
            <w:tcW w:w="39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60" w:type="dxa"/>
            <w:vAlign w:val="bottom"/>
            <w:gridSpan w:val="2"/>
          </w:tcPr>
          <w:p>
            <w:pPr>
              <w:jc w:val="right"/>
              <w:ind w:right="112"/>
              <w:spacing w:after="0"/>
              <w:rPr>
                <w:sz w:val="20"/>
                <w:szCs w:val="20"/>
                <w:color w:val="auto"/>
              </w:rPr>
            </w:pPr>
            <w:r>
              <w:rPr>
                <w:rFonts w:ascii="Arial" w:cs="Arial" w:eastAsia="Arial" w:hAnsi="Arial"/>
                <w:sz w:val="18"/>
                <w:szCs w:val="18"/>
                <w:color w:val="auto"/>
                <w:w w:val="86"/>
              </w:rPr>
              <w:t>657,140</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679,445</w:t>
            </w:r>
          </w:p>
        </w:tc>
        <w:tc>
          <w:tcPr>
            <w:tcW w:w="3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w w:val="86"/>
              </w:rPr>
              <w:t>678,059</w:t>
            </w:r>
          </w:p>
        </w:tc>
        <w:tc>
          <w:tcPr>
            <w:tcW w:w="0" w:type="dxa"/>
            <w:vAlign w:val="bottom"/>
          </w:tcPr>
          <w:p>
            <w:pPr>
              <w:spacing w:after="0"/>
              <w:rPr>
                <w:sz w:val="1"/>
                <w:szCs w:val="1"/>
                <w:color w:val="auto"/>
              </w:rPr>
            </w:pPr>
          </w:p>
        </w:tc>
      </w:tr>
      <w:tr>
        <w:trPr>
          <w:trHeight w:val="356"/>
        </w:trPr>
        <w:tc>
          <w:tcPr>
            <w:tcW w:w="20" w:type="dxa"/>
            <w:vAlign w:val="bottom"/>
          </w:tcPr>
          <w:p>
            <w:pPr>
              <w:spacing w:after="0"/>
              <w:rPr>
                <w:sz w:val="24"/>
                <w:szCs w:val="24"/>
                <w:color w:val="auto"/>
              </w:rPr>
            </w:pPr>
          </w:p>
        </w:tc>
        <w:tc>
          <w:tcPr>
            <w:tcW w:w="4660" w:type="dxa"/>
            <w:vAlign w:val="bottom"/>
          </w:tcPr>
          <w:p>
            <w:pPr>
              <w:spacing w:after="0"/>
              <w:rPr>
                <w:sz w:val="24"/>
                <w:szCs w:val="24"/>
                <w:color w:val="auto"/>
              </w:rPr>
            </w:pPr>
          </w:p>
        </w:tc>
        <w:tc>
          <w:tcPr>
            <w:tcW w:w="3960" w:type="dxa"/>
            <w:vAlign w:val="bottom"/>
          </w:tcPr>
          <w:p>
            <w:pPr>
              <w:jc w:val="right"/>
              <w:ind w:right="2792"/>
              <w:spacing w:after="0"/>
              <w:rPr>
                <w:sz w:val="20"/>
                <w:szCs w:val="20"/>
                <w:color w:val="auto"/>
              </w:rPr>
            </w:pPr>
            <w:r>
              <w:rPr>
                <w:rFonts w:ascii="Arial" w:cs="Arial" w:eastAsia="Arial" w:hAnsi="Arial"/>
                <w:sz w:val="18"/>
                <w:szCs w:val="18"/>
                <w:color w:val="auto"/>
              </w:rPr>
              <w:t>5</w:t>
            </w: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 of GAAP Net Income to Non-GAAP Net Income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74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520" w:type="dxa"/>
            <w:vAlign w:val="bottom"/>
            <w:tcBorders>
              <w:bottom w:val="single" w:sz="8" w:color="auto"/>
            </w:tcBorders>
            <w:gridSpan w:val="4"/>
          </w:tcPr>
          <w:p>
            <w:pPr>
              <w:jc w:val="center"/>
              <w:ind w:right="180"/>
              <w:spacing w:after="0"/>
              <w:rPr>
                <w:sz w:val="20"/>
                <w:szCs w:val="20"/>
                <w:color w:val="auto"/>
              </w:rPr>
            </w:pPr>
            <w:r>
              <w:rPr>
                <w:rFonts w:ascii="Arial" w:cs="Arial" w:eastAsia="Arial" w:hAnsi="Arial"/>
                <w:sz w:val="14"/>
                <w:szCs w:val="14"/>
                <w:b w:val="1"/>
                <w:bCs w:val="1"/>
                <w:color w:val="auto"/>
                <w:w w:val="88"/>
              </w:rPr>
              <w:t>Three Months Ended</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740" w:type="dxa"/>
            <w:vAlign w:val="bottom"/>
          </w:tcPr>
          <w:p>
            <w:pPr>
              <w:spacing w:after="0"/>
              <w:rPr>
                <w:sz w:val="11"/>
                <w:szCs w:val="11"/>
                <w:color w:val="auto"/>
              </w:rPr>
            </w:pPr>
          </w:p>
        </w:tc>
        <w:tc>
          <w:tcPr>
            <w:tcW w:w="2400" w:type="dxa"/>
            <w:vAlign w:val="bottom"/>
          </w:tcPr>
          <w:p>
            <w:pPr>
              <w:spacing w:after="0"/>
              <w:rPr>
                <w:sz w:val="11"/>
                <w:szCs w:val="11"/>
                <w:color w:val="auto"/>
              </w:rPr>
            </w:pPr>
          </w:p>
        </w:tc>
        <w:tc>
          <w:tcPr>
            <w:tcW w:w="860" w:type="dxa"/>
            <w:vAlign w:val="bottom"/>
            <w:gridSpan w:val="3"/>
          </w:tcPr>
          <w:p>
            <w:pPr>
              <w:jc w:val="right"/>
              <w:ind w:right="280"/>
              <w:spacing w:after="0" w:line="129" w:lineRule="exact"/>
              <w:rPr>
                <w:sz w:val="20"/>
                <w:szCs w:val="20"/>
                <w:color w:val="auto"/>
              </w:rPr>
            </w:pPr>
            <w:r>
              <w:rPr>
                <w:rFonts w:ascii="Arial" w:cs="Arial" w:eastAsia="Arial" w:hAnsi="Arial"/>
                <w:sz w:val="14"/>
                <w:szCs w:val="14"/>
                <w:b w:val="1"/>
                <w:bCs w:val="1"/>
                <w:color w:val="auto"/>
              </w:rPr>
              <w:t>April 30,</w:t>
            </w:r>
          </w:p>
        </w:tc>
        <w:tc>
          <w:tcPr>
            <w:tcW w:w="320" w:type="dxa"/>
            <w:vAlign w:val="bottom"/>
          </w:tcPr>
          <w:p>
            <w:pPr>
              <w:spacing w:after="0"/>
              <w:rPr>
                <w:sz w:val="11"/>
                <w:szCs w:val="11"/>
                <w:color w:val="auto"/>
              </w:rPr>
            </w:pPr>
          </w:p>
        </w:tc>
        <w:tc>
          <w:tcPr>
            <w:tcW w:w="12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29,</w:t>
            </w:r>
          </w:p>
        </w:tc>
        <w:tc>
          <w:tcPr>
            <w:tcW w:w="100" w:type="dxa"/>
            <w:vAlign w:val="bottom"/>
          </w:tcPr>
          <w:p>
            <w:pPr>
              <w:spacing w:after="0"/>
              <w:rPr>
                <w:sz w:val="11"/>
                <w:szCs w:val="11"/>
                <w:color w:val="auto"/>
              </w:rPr>
            </w:pPr>
          </w:p>
        </w:tc>
        <w:tc>
          <w:tcPr>
            <w:tcW w:w="580" w:type="dxa"/>
            <w:vAlign w:val="bottom"/>
          </w:tcPr>
          <w:p>
            <w:pPr>
              <w:jc w:val="right"/>
              <w:ind w:right="53"/>
              <w:spacing w:after="0" w:line="129" w:lineRule="exact"/>
              <w:rPr>
                <w:sz w:val="20"/>
                <w:szCs w:val="20"/>
                <w:color w:val="auto"/>
              </w:rPr>
            </w:pPr>
            <w:r>
              <w:rPr>
                <w:rFonts w:ascii="Arial" w:cs="Arial" w:eastAsia="Arial" w:hAnsi="Arial"/>
                <w:sz w:val="14"/>
                <w:szCs w:val="14"/>
                <w:b w:val="1"/>
                <w:bCs w:val="1"/>
                <w:color w:val="auto"/>
                <w:w w:val="98"/>
              </w:rPr>
              <w:t>May 1,</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74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2011</w:t>
            </w: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2011</w:t>
            </w:r>
          </w:p>
        </w:tc>
        <w:tc>
          <w:tcPr>
            <w:tcW w:w="5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2010</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GAAP net income</w:t>
            </w:r>
          </w:p>
        </w:tc>
        <w:tc>
          <w:tcPr>
            <w:tcW w:w="2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146,861</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86"/>
              </w:rPr>
              <w:t>222,853</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205,767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spacing w:after="0"/>
              <w:rPr>
                <w:sz w:val="20"/>
                <w:szCs w:val="20"/>
                <w:color w:val="auto"/>
              </w:rPr>
            </w:pPr>
            <w:r>
              <w:rPr>
                <w:rFonts w:ascii="Arial" w:cs="Arial" w:eastAsia="Arial" w:hAnsi="Arial"/>
                <w:sz w:val="18"/>
                <w:szCs w:val="18"/>
                <w:color w:val="auto"/>
              </w:rPr>
              <w:t>Stock-based compensation</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27,480</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31,279</w:t>
            </w: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26,896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14,341</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14,005</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22,549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spacing w:after="0"/>
              <w:rPr>
                <w:sz w:val="20"/>
                <w:szCs w:val="20"/>
                <w:color w:val="auto"/>
              </w:rPr>
            </w:pPr>
            <w:r>
              <w:rPr>
                <w:rFonts w:ascii="Arial" w:cs="Arial" w:eastAsia="Arial" w:hAnsi="Arial"/>
                <w:sz w:val="18"/>
                <w:szCs w:val="18"/>
                <w:color w:val="auto"/>
              </w:rPr>
              <w:t>Restructuring</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619</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679</w:t>
            </w: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586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(a)</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4,062</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4,373</w:t>
            </w:r>
          </w:p>
        </w:tc>
        <w:tc>
          <w:tcPr>
            <w:tcW w:w="0" w:type="dxa"/>
            <w:vAlign w:val="bottom"/>
          </w:tcPr>
          <w:p>
            <w:pPr>
              <w:spacing w:after="0"/>
              <w:rPr>
                <w:sz w:val="1"/>
                <w:szCs w:val="1"/>
                <w:color w:val="auto"/>
              </w:rPr>
            </w:pPr>
          </w:p>
        </w:tc>
      </w:tr>
      <w:tr>
        <w:trPr>
          <w:trHeight w:val="20"/>
        </w:trPr>
        <w:tc>
          <w:tcPr>
            <w:tcW w:w="5760" w:type="dxa"/>
            <w:vAlign w:val="bottom"/>
            <w:gridSpan w:val="2"/>
            <w:vMerge w:val="restart"/>
          </w:tcPr>
          <w:p>
            <w:pPr>
              <w:spacing w:after="0"/>
              <w:rPr>
                <w:sz w:val="20"/>
                <w:szCs w:val="20"/>
                <w:color w:val="auto"/>
              </w:rPr>
            </w:pPr>
            <w:r>
              <w:rPr>
                <w:rFonts w:ascii="Arial" w:cs="Arial" w:eastAsia="Arial" w:hAnsi="Arial"/>
                <w:sz w:val="18"/>
                <w:szCs w:val="18"/>
                <w:color w:val="auto"/>
              </w:rPr>
              <w:t>Non-GAAP net income</w:t>
            </w:r>
          </w:p>
        </w:tc>
        <w:tc>
          <w:tcPr>
            <w:tcW w:w="24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760" w:type="dxa"/>
            <w:vAlign w:val="bottom"/>
            <w:gridSpan w:val="2"/>
            <w:vMerge w:val="continue"/>
          </w:tcPr>
          <w:p>
            <w:pPr>
              <w:spacing w:after="0"/>
              <w:rPr>
                <w:sz w:val="19"/>
                <w:szCs w:val="19"/>
                <w:color w:val="auto"/>
              </w:rPr>
            </w:pPr>
          </w:p>
        </w:tc>
        <w:tc>
          <w:tcPr>
            <w:tcW w:w="24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189,301</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w w:val="86"/>
              </w:rPr>
              <w:t>272,878</w:t>
            </w: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260,171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740" w:type="dxa"/>
            <w:vAlign w:val="bottom"/>
          </w:tcPr>
          <w:p>
            <w:pPr>
              <w:spacing w:after="0" w:line="20" w:lineRule="exact"/>
              <w:rPr>
                <w:sz w:val="1"/>
                <w:szCs w:val="1"/>
                <w:color w:val="auto"/>
              </w:rPr>
            </w:pP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GAAP weighted average shares - diluted</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657,140</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86"/>
              </w:rPr>
              <w:t>679,445</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678,059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ind w:left="420"/>
              <w:spacing w:after="0"/>
              <w:rPr>
                <w:sz w:val="20"/>
                <w:szCs w:val="20"/>
                <w:color w:val="auto"/>
              </w:rPr>
            </w:pPr>
            <w:r>
              <w:rPr>
                <w:rFonts w:ascii="Arial" w:cs="Arial" w:eastAsia="Arial" w:hAnsi="Arial"/>
                <w:sz w:val="18"/>
                <w:szCs w:val="18"/>
                <w:color w:val="auto"/>
              </w:rPr>
              <w:t>Non-GAAP adjustment</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5,808</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5,760</w:t>
            </w: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3,310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740" w:type="dxa"/>
            <w:vAlign w:val="bottom"/>
          </w:tcPr>
          <w:p>
            <w:pPr>
              <w:spacing w:after="0"/>
              <w:rPr>
                <w:sz w:val="2"/>
                <w:szCs w:val="2"/>
                <w:color w:val="auto"/>
              </w:rPr>
            </w:pPr>
          </w:p>
        </w:tc>
        <w:tc>
          <w:tcPr>
            <w:tcW w:w="2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(b)</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662,948</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86"/>
              </w:rPr>
              <w:t>685,205</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681,369</w:t>
            </w:r>
          </w:p>
        </w:tc>
        <w:tc>
          <w:tcPr>
            <w:tcW w:w="0" w:type="dxa"/>
            <w:vAlign w:val="bottom"/>
          </w:tcPr>
          <w:p>
            <w:pPr>
              <w:spacing w:after="0"/>
              <w:rPr>
                <w:sz w:val="1"/>
                <w:szCs w:val="1"/>
                <w:color w:val="auto"/>
              </w:rPr>
            </w:pPr>
          </w:p>
        </w:tc>
      </w:tr>
      <w:tr>
        <w:trPr>
          <w:trHeight w:val="20"/>
        </w:trPr>
        <w:tc>
          <w:tcPr>
            <w:tcW w:w="5760" w:type="dxa"/>
            <w:vAlign w:val="bottom"/>
            <w:gridSpan w:val="2"/>
            <w:vMerge w:val="restart"/>
          </w:tcPr>
          <w:p>
            <w:pPr>
              <w:spacing w:after="0"/>
              <w:rPr>
                <w:sz w:val="20"/>
                <w:szCs w:val="20"/>
                <w:color w:val="auto"/>
              </w:rPr>
            </w:pPr>
            <w:r>
              <w:rPr>
                <w:rFonts w:ascii="Arial" w:cs="Arial" w:eastAsia="Arial" w:hAnsi="Arial"/>
                <w:sz w:val="18"/>
                <w:szCs w:val="18"/>
                <w:color w:val="auto"/>
              </w:rPr>
              <w:t>GAAP diluted net income per share</w:t>
            </w: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760" w:type="dxa"/>
            <w:vAlign w:val="bottom"/>
            <w:gridSpan w:val="2"/>
            <w:vMerge w:val="continue"/>
          </w:tcPr>
          <w:p>
            <w:pPr>
              <w:spacing w:after="0"/>
              <w:rPr>
                <w:sz w:val="18"/>
                <w:szCs w:val="18"/>
                <w:color w:val="auto"/>
              </w:rPr>
            </w:pPr>
          </w:p>
        </w:tc>
        <w:tc>
          <w:tcPr>
            <w:tcW w:w="2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0.22</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0.33</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0.30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740" w:type="dxa"/>
            <w:vAlign w:val="bottom"/>
          </w:tcPr>
          <w:p>
            <w:pPr>
              <w:spacing w:after="0" w:line="20" w:lineRule="exact"/>
              <w:rPr>
                <w:sz w:val="1"/>
                <w:szCs w:val="1"/>
                <w:color w:val="auto"/>
              </w:rPr>
            </w:pP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Non-GAAP diluted net income per share</w:t>
            </w:r>
          </w:p>
        </w:tc>
        <w:tc>
          <w:tcPr>
            <w:tcW w:w="2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0.29</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0.40</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0.38</w:t>
            </w:r>
          </w:p>
        </w:tc>
        <w:tc>
          <w:tcPr>
            <w:tcW w:w="0" w:type="dxa"/>
            <w:vAlign w:val="bottom"/>
          </w:tcPr>
          <w:p>
            <w:pPr>
              <w:spacing w:after="0"/>
              <w:rPr>
                <w:sz w:val="1"/>
                <w:szCs w:val="1"/>
                <w:color w:val="auto"/>
              </w:rPr>
            </w:pPr>
          </w:p>
        </w:tc>
      </w:tr>
      <w:tr>
        <w:trPr>
          <w:trHeight w:val="20"/>
        </w:trPr>
        <w:tc>
          <w:tcPr>
            <w:tcW w:w="5760" w:type="dxa"/>
            <w:vAlign w:val="bottom"/>
            <w:gridSpan w:val="2"/>
            <w:vMerge w:val="restart"/>
          </w:tcPr>
          <w:p>
            <w:pPr>
              <w:spacing w:after="0"/>
              <w:rPr>
                <w:sz w:val="20"/>
                <w:szCs w:val="20"/>
                <w:color w:val="auto"/>
              </w:rPr>
            </w:pPr>
            <w:r>
              <w:rPr>
                <w:rFonts w:ascii="Arial" w:cs="Arial" w:eastAsia="Arial" w:hAnsi="Arial"/>
                <w:sz w:val="18"/>
                <w:szCs w:val="18"/>
                <w:color w:val="auto"/>
              </w:rPr>
              <w:t>GAAP gross profit:</w:t>
            </w: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760" w:type="dxa"/>
            <w:vAlign w:val="bottom"/>
            <w:gridSpan w:val="2"/>
            <w:vMerge w:val="continue"/>
          </w:tcPr>
          <w:p>
            <w:pPr>
              <w:spacing w:after="0"/>
              <w:rPr>
                <w:sz w:val="18"/>
                <w:szCs w:val="18"/>
                <w:color w:val="auto"/>
              </w:rPr>
            </w:pPr>
          </w:p>
        </w:tc>
        <w:tc>
          <w:tcPr>
            <w:tcW w:w="2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467,927</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w w:val="86"/>
              </w:rPr>
              <w:t>528,714</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511,594</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7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1,695</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1,776</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2,236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ind w:left="420"/>
              <w:spacing w:after="0"/>
              <w:rPr>
                <w:sz w:val="20"/>
                <w:szCs w:val="20"/>
                <w:color w:val="auto"/>
              </w:rPr>
            </w:pPr>
            <w:r>
              <w:rPr>
                <w:rFonts w:ascii="Arial" w:cs="Arial" w:eastAsia="Arial" w:hAnsi="Arial"/>
                <w:sz w:val="18"/>
                <w:szCs w:val="18"/>
                <w:color w:val="auto"/>
              </w:rPr>
              <w:t>Other</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4,062</w:t>
            </w: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4,373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740" w:type="dxa"/>
            <w:vAlign w:val="bottom"/>
          </w:tcPr>
          <w:p>
            <w:pPr>
              <w:spacing w:after="0"/>
              <w:rPr>
                <w:sz w:val="2"/>
                <w:szCs w:val="2"/>
                <w:color w:val="auto"/>
              </w:rPr>
            </w:pPr>
          </w:p>
        </w:tc>
        <w:tc>
          <w:tcPr>
            <w:tcW w:w="2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Non-GAAP gross profit</w:t>
            </w:r>
          </w:p>
        </w:tc>
        <w:tc>
          <w:tcPr>
            <w:tcW w:w="24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469,622</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86"/>
              </w:rPr>
              <w:t>534,552</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518,203</w:t>
            </w:r>
          </w:p>
        </w:tc>
        <w:tc>
          <w:tcPr>
            <w:tcW w:w="0" w:type="dxa"/>
            <w:vAlign w:val="bottom"/>
          </w:tcPr>
          <w:p>
            <w:pPr>
              <w:spacing w:after="0"/>
              <w:rPr>
                <w:sz w:val="1"/>
                <w:szCs w:val="1"/>
                <w:color w:val="auto"/>
              </w:rPr>
            </w:pPr>
          </w:p>
        </w:tc>
      </w:tr>
      <w:tr>
        <w:trPr>
          <w:trHeight w:val="20"/>
        </w:trPr>
        <w:tc>
          <w:tcPr>
            <w:tcW w:w="5760" w:type="dxa"/>
            <w:vAlign w:val="bottom"/>
            <w:gridSpan w:val="2"/>
            <w:vMerge w:val="restart"/>
          </w:tcPr>
          <w:p>
            <w:pPr>
              <w:spacing w:after="0"/>
              <w:rPr>
                <w:sz w:val="20"/>
                <w:szCs w:val="20"/>
                <w:color w:val="auto"/>
              </w:rPr>
            </w:pPr>
            <w:r>
              <w:rPr>
                <w:rFonts w:ascii="Arial" w:cs="Arial" w:eastAsia="Arial" w:hAnsi="Arial"/>
                <w:sz w:val="18"/>
                <w:szCs w:val="18"/>
                <w:color w:val="auto"/>
              </w:rPr>
              <w:t>GAAP gross profit as a % of revenue</w:t>
            </w: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760" w:type="dxa"/>
            <w:vAlign w:val="bottom"/>
            <w:gridSpan w:val="2"/>
            <w:vMerge w:val="continue"/>
          </w:tcPr>
          <w:p>
            <w:pPr>
              <w:spacing w:after="0"/>
              <w:rPr>
                <w:sz w:val="18"/>
                <w:szCs w:val="18"/>
                <w:color w:val="auto"/>
              </w:rPr>
            </w:pP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40"/>
              <w:spacing w:after="0"/>
              <w:rPr>
                <w:sz w:val="20"/>
                <w:szCs w:val="20"/>
                <w:color w:val="auto"/>
              </w:rPr>
            </w:pPr>
            <w:r>
              <w:rPr>
                <w:rFonts w:ascii="Arial" w:cs="Arial" w:eastAsia="Arial" w:hAnsi="Arial"/>
                <w:sz w:val="18"/>
                <w:szCs w:val="18"/>
                <w:color w:val="auto"/>
              </w:rPr>
              <w:t>58.3%</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360"/>
              <w:spacing w:after="0"/>
              <w:rPr>
                <w:sz w:val="20"/>
                <w:szCs w:val="20"/>
                <w:color w:val="auto"/>
              </w:rPr>
            </w:pPr>
            <w:r>
              <w:rPr>
                <w:rFonts w:ascii="Arial" w:cs="Arial" w:eastAsia="Arial" w:hAnsi="Arial"/>
                <w:sz w:val="18"/>
                <w:szCs w:val="18"/>
                <w:color w:val="auto"/>
              </w:rPr>
              <w:t>58.7%</w:t>
            </w:r>
          </w:p>
        </w:tc>
        <w:tc>
          <w:tcPr>
            <w:tcW w:w="10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59.8%</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7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0.2%</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ind w:left="420"/>
              <w:spacing w:after="0"/>
              <w:rPr>
                <w:sz w:val="20"/>
                <w:szCs w:val="20"/>
                <w:color w:val="auto"/>
              </w:rPr>
            </w:pPr>
            <w:r>
              <w:rPr>
                <w:rFonts w:ascii="Arial" w:cs="Arial" w:eastAsia="Arial" w:hAnsi="Arial"/>
                <w:sz w:val="18"/>
                <w:szCs w:val="18"/>
                <w:color w:val="auto"/>
              </w:rPr>
              <w:t>Other</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40"/>
              <w:spacing w:after="0"/>
              <w:rPr>
                <w:sz w:val="20"/>
                <w:szCs w:val="20"/>
                <w:color w:val="auto"/>
              </w:rPr>
            </w:pPr>
            <w:r>
              <w:rPr>
                <w:rFonts w:ascii="Arial" w:cs="Arial" w:eastAsia="Arial" w:hAnsi="Arial"/>
                <w:sz w:val="18"/>
                <w:szCs w:val="18"/>
                <w:color w:val="auto"/>
              </w:rPr>
              <w:t>0.0%</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360"/>
              <w:spacing w:after="0"/>
              <w:rPr>
                <w:sz w:val="20"/>
                <w:szCs w:val="20"/>
                <w:color w:val="auto"/>
              </w:rPr>
            </w:pPr>
            <w:r>
              <w:rPr>
                <w:rFonts w:ascii="Arial" w:cs="Arial" w:eastAsia="Arial" w:hAnsi="Arial"/>
                <w:sz w:val="18"/>
                <w:szCs w:val="18"/>
                <w:color w:val="auto"/>
              </w:rPr>
              <w:t>0.5%</w:t>
            </w:r>
          </w:p>
        </w:tc>
        <w:tc>
          <w:tcPr>
            <w:tcW w:w="10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0.5%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740" w:type="dxa"/>
            <w:vAlign w:val="bottom"/>
          </w:tcPr>
          <w:p>
            <w:pPr>
              <w:spacing w:after="0"/>
              <w:rPr>
                <w:sz w:val="2"/>
                <w:szCs w:val="2"/>
                <w:color w:val="auto"/>
              </w:rPr>
            </w:pPr>
          </w:p>
        </w:tc>
        <w:tc>
          <w:tcPr>
            <w:tcW w:w="2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Non-GAAP gross profit</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58.5%</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59.4%</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60.6%</w:t>
            </w:r>
          </w:p>
        </w:tc>
        <w:tc>
          <w:tcPr>
            <w:tcW w:w="0" w:type="dxa"/>
            <w:vAlign w:val="bottom"/>
          </w:tcPr>
          <w:p>
            <w:pPr>
              <w:spacing w:after="0"/>
              <w:rPr>
                <w:sz w:val="1"/>
                <w:szCs w:val="1"/>
                <w:color w:val="auto"/>
              </w:rPr>
            </w:pPr>
          </w:p>
        </w:tc>
      </w:tr>
      <w:tr>
        <w:trPr>
          <w:trHeight w:val="20"/>
        </w:trPr>
        <w:tc>
          <w:tcPr>
            <w:tcW w:w="5760" w:type="dxa"/>
            <w:vAlign w:val="bottom"/>
            <w:gridSpan w:val="2"/>
            <w:vMerge w:val="restart"/>
          </w:tcPr>
          <w:p>
            <w:pPr>
              <w:spacing w:after="0"/>
              <w:rPr>
                <w:sz w:val="20"/>
                <w:szCs w:val="20"/>
                <w:color w:val="auto"/>
              </w:rPr>
            </w:pPr>
            <w:r>
              <w:rPr>
                <w:rFonts w:ascii="Arial" w:cs="Arial" w:eastAsia="Arial" w:hAnsi="Arial"/>
                <w:sz w:val="18"/>
                <w:szCs w:val="18"/>
                <w:color w:val="auto"/>
              </w:rPr>
              <w:t>GAAP research and development:</w:t>
            </w: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760" w:type="dxa"/>
            <w:vAlign w:val="bottom"/>
            <w:gridSpan w:val="2"/>
            <w:vMerge w:val="continue"/>
          </w:tcPr>
          <w:p>
            <w:pPr>
              <w:spacing w:after="0"/>
              <w:rPr>
                <w:sz w:val="18"/>
                <w:szCs w:val="18"/>
                <w:color w:val="auto"/>
              </w:rPr>
            </w:pPr>
          </w:p>
        </w:tc>
        <w:tc>
          <w:tcPr>
            <w:tcW w:w="2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242,537</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w w:val="86"/>
              </w:rPr>
              <w:t>231,836</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219,111</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7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2"/>
              </w:rPr>
              <w:t>(19,593)</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w w:val="92"/>
              </w:rPr>
              <w:t>(21,789)</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2"/>
              </w:rPr>
              <w:t>(18,851)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(168)</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460"/>
              <w:spacing w:after="0"/>
              <w:rPr>
                <w:sz w:val="20"/>
                <w:szCs w:val="20"/>
                <w:color w:val="auto"/>
              </w:rPr>
            </w:pPr>
            <w:r>
              <w:rPr>
                <w:rFonts w:ascii="Arial" w:cs="Arial" w:eastAsia="Arial" w:hAnsi="Arial"/>
                <w:sz w:val="18"/>
                <w:szCs w:val="18"/>
                <w:color w:val="auto"/>
              </w:rPr>
              <w:t>(280)</w:t>
            </w:r>
          </w:p>
        </w:tc>
        <w:tc>
          <w:tcPr>
            <w:tcW w:w="10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(129)</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740" w:type="dxa"/>
            <w:vAlign w:val="bottom"/>
          </w:tcPr>
          <w:p>
            <w:pPr>
              <w:spacing w:after="0"/>
              <w:rPr>
                <w:sz w:val="2"/>
                <w:szCs w:val="2"/>
                <w:color w:val="auto"/>
              </w:rPr>
            </w:pPr>
          </w:p>
        </w:tc>
        <w:tc>
          <w:tcPr>
            <w:tcW w:w="2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Non-GAAP research and development</w:t>
            </w:r>
          </w:p>
        </w:tc>
        <w:tc>
          <w:tcPr>
            <w:tcW w:w="24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222,776</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86"/>
              </w:rPr>
              <w:t>209,767</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200,131</w:t>
            </w:r>
          </w:p>
        </w:tc>
        <w:tc>
          <w:tcPr>
            <w:tcW w:w="0" w:type="dxa"/>
            <w:vAlign w:val="bottom"/>
          </w:tcPr>
          <w:p>
            <w:pPr>
              <w:spacing w:after="0"/>
              <w:rPr>
                <w:sz w:val="1"/>
                <w:szCs w:val="1"/>
                <w:color w:val="auto"/>
              </w:rPr>
            </w:pPr>
          </w:p>
        </w:tc>
      </w:tr>
      <w:tr>
        <w:trPr>
          <w:trHeight w:val="20"/>
        </w:trPr>
        <w:tc>
          <w:tcPr>
            <w:tcW w:w="5760" w:type="dxa"/>
            <w:vAlign w:val="bottom"/>
            <w:gridSpan w:val="2"/>
            <w:vMerge w:val="restart"/>
          </w:tcPr>
          <w:p>
            <w:pPr>
              <w:spacing w:after="0"/>
              <w:rPr>
                <w:sz w:val="20"/>
                <w:szCs w:val="20"/>
                <w:color w:val="auto"/>
              </w:rPr>
            </w:pPr>
            <w:r>
              <w:rPr>
                <w:rFonts w:ascii="Arial" w:cs="Arial" w:eastAsia="Arial" w:hAnsi="Arial"/>
                <w:sz w:val="18"/>
                <w:szCs w:val="18"/>
                <w:color w:val="auto"/>
              </w:rPr>
              <w:t>GAAP selling and marketing:</w:t>
            </w: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760" w:type="dxa"/>
            <w:vAlign w:val="bottom"/>
            <w:gridSpan w:val="2"/>
            <w:vMerge w:val="continue"/>
          </w:tcPr>
          <w:p>
            <w:pPr>
              <w:spacing w:after="0"/>
              <w:rPr>
                <w:sz w:val="18"/>
                <w:szCs w:val="18"/>
                <w:color w:val="auto"/>
              </w:rPr>
            </w:pPr>
          </w:p>
        </w:tc>
        <w:tc>
          <w:tcPr>
            <w:tcW w:w="2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38,152</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40,444</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38,423</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7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(2,654)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(2,991)</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(3,173)</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74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240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ind w:left="320"/>
              <w:spacing w:after="0"/>
              <w:rPr>
                <w:sz w:val="20"/>
                <w:szCs w:val="20"/>
                <w:color w:val="auto"/>
              </w:rPr>
            </w:pPr>
            <w:r>
              <w:rPr>
                <w:rFonts w:ascii="Arial" w:cs="Arial" w:eastAsia="Arial" w:hAnsi="Arial"/>
                <w:sz w:val="18"/>
                <w:szCs w:val="18"/>
                <w:color w:val="auto"/>
              </w:rPr>
              <w:t>—</w:t>
            </w:r>
          </w:p>
        </w:tc>
        <w:tc>
          <w:tcPr>
            <w:tcW w:w="5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Non-GAAP selling and marketing</w:t>
            </w:r>
          </w:p>
        </w:tc>
        <w:tc>
          <w:tcPr>
            <w:tcW w:w="2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35,498</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37,453</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35,250</w:t>
            </w:r>
          </w:p>
        </w:tc>
        <w:tc>
          <w:tcPr>
            <w:tcW w:w="0" w:type="dxa"/>
            <w:vAlign w:val="bottom"/>
          </w:tcPr>
          <w:p>
            <w:pPr>
              <w:spacing w:after="0"/>
              <w:rPr>
                <w:sz w:val="1"/>
                <w:szCs w:val="1"/>
                <w:color w:val="auto"/>
              </w:rPr>
            </w:pPr>
          </w:p>
        </w:tc>
      </w:tr>
      <w:tr>
        <w:trPr>
          <w:trHeight w:val="20"/>
        </w:trPr>
        <w:tc>
          <w:tcPr>
            <w:tcW w:w="5760" w:type="dxa"/>
            <w:vAlign w:val="bottom"/>
            <w:gridSpan w:val="2"/>
            <w:vMerge w:val="restart"/>
          </w:tcPr>
          <w:p>
            <w:pPr>
              <w:spacing w:after="0"/>
              <w:rPr>
                <w:sz w:val="20"/>
                <w:szCs w:val="20"/>
                <w:color w:val="auto"/>
              </w:rPr>
            </w:pPr>
            <w:r>
              <w:rPr>
                <w:rFonts w:ascii="Arial" w:cs="Arial" w:eastAsia="Arial" w:hAnsi="Arial"/>
                <w:sz w:val="18"/>
                <w:szCs w:val="18"/>
                <w:color w:val="auto"/>
              </w:rPr>
              <w:t>GAAP general and administrative:</w:t>
            </w: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760" w:type="dxa"/>
            <w:vAlign w:val="bottom"/>
            <w:gridSpan w:val="2"/>
            <w:vMerge w:val="continue"/>
          </w:tcPr>
          <w:p>
            <w:pPr>
              <w:spacing w:after="0"/>
              <w:rPr>
                <w:sz w:val="18"/>
                <w:szCs w:val="18"/>
                <w:color w:val="auto"/>
              </w:rPr>
            </w:pPr>
          </w:p>
        </w:tc>
        <w:tc>
          <w:tcPr>
            <w:tcW w:w="2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24,784</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26,706</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23,108</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7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2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(3,538)</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(4,723)</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(2,636)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2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(451)</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460"/>
              <w:spacing w:after="0"/>
              <w:rPr>
                <w:sz w:val="20"/>
                <w:szCs w:val="20"/>
                <w:color w:val="auto"/>
              </w:rPr>
            </w:pPr>
            <w:r>
              <w:rPr>
                <w:rFonts w:ascii="Arial" w:cs="Arial" w:eastAsia="Arial" w:hAnsi="Arial"/>
                <w:sz w:val="18"/>
                <w:szCs w:val="18"/>
                <w:color w:val="auto"/>
              </w:rPr>
              <w:t>(399)</w:t>
            </w:r>
          </w:p>
        </w:tc>
        <w:tc>
          <w:tcPr>
            <w:tcW w:w="10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(457)</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740" w:type="dxa"/>
            <w:vAlign w:val="bottom"/>
          </w:tcPr>
          <w:p>
            <w:pPr>
              <w:spacing w:after="0"/>
              <w:rPr>
                <w:sz w:val="2"/>
                <w:szCs w:val="2"/>
                <w:color w:val="auto"/>
              </w:rPr>
            </w:pPr>
          </w:p>
        </w:tc>
        <w:tc>
          <w:tcPr>
            <w:tcW w:w="2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Non-GAAP general and administrative</w:t>
            </w:r>
          </w:p>
        </w:tc>
        <w:tc>
          <w:tcPr>
            <w:tcW w:w="2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20,795</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21,584</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20,015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740" w:type="dxa"/>
            <w:vAlign w:val="bottom"/>
          </w:tcPr>
          <w:p>
            <w:pPr>
              <w:spacing w:after="0" w:line="20" w:lineRule="exact"/>
              <w:rPr>
                <w:sz w:val="1"/>
                <w:szCs w:val="1"/>
                <w:color w:val="auto"/>
              </w:rPr>
            </w:pPr>
          </w:p>
        </w:tc>
        <w:tc>
          <w:tcPr>
            <w:tcW w:w="2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8" w:lineRule="exact"/>
        <w:rPr>
          <w:sz w:val="20"/>
          <w:szCs w:val="20"/>
          <w:color w:val="auto"/>
        </w:rPr>
      </w:pPr>
    </w:p>
    <w:p>
      <w:pPr>
        <w:ind w:left="460" w:hanging="452"/>
        <w:spacing w:after="0"/>
        <w:tabs>
          <w:tab w:leader="none" w:pos="460" w:val="left"/>
        </w:tabs>
        <w:numPr>
          <w:ilvl w:val="0"/>
          <w:numId w:val="7"/>
        </w:numPr>
        <w:rPr>
          <w:rFonts w:ascii="Arial" w:cs="Arial" w:eastAsia="Arial" w:hAnsi="Arial"/>
          <w:sz w:val="16"/>
          <w:szCs w:val="16"/>
          <w:i w:val="1"/>
          <w:iCs w:val="1"/>
          <w:color w:val="auto"/>
        </w:rPr>
      </w:pPr>
      <w:r>
        <w:rPr>
          <w:rFonts w:ascii="Arial" w:cs="Arial" w:eastAsia="Arial" w:hAnsi="Arial"/>
          <w:sz w:val="16"/>
          <w:szCs w:val="16"/>
          <w:color w:val="auto"/>
        </w:rPr>
        <w:t>The three months ended January 29, 2011 and the three months ended May 1, 2010 include portions of litigation settlements related to previous periods.</w:t>
      </w:r>
    </w:p>
    <w:p>
      <w:pPr>
        <w:spacing w:after="0" w:line="38" w:lineRule="exact"/>
        <w:rPr>
          <w:rFonts w:ascii="Arial" w:cs="Arial" w:eastAsia="Arial" w:hAnsi="Arial"/>
          <w:sz w:val="16"/>
          <w:szCs w:val="16"/>
          <w:i w:val="1"/>
          <w:iCs w:val="1"/>
          <w:color w:val="auto"/>
        </w:rPr>
      </w:pPr>
    </w:p>
    <w:p>
      <w:pPr>
        <w:ind w:left="460" w:right="380" w:hanging="452"/>
        <w:spacing w:after="0" w:line="323" w:lineRule="auto"/>
        <w:tabs>
          <w:tab w:leader="none" w:pos="460" w:val="left"/>
        </w:tabs>
        <w:numPr>
          <w:ilvl w:val="0"/>
          <w:numId w:val="7"/>
        </w:numPr>
        <w:rPr>
          <w:rFonts w:ascii="Arial" w:cs="Arial" w:eastAsia="Arial" w:hAnsi="Arial"/>
          <w:sz w:val="16"/>
          <w:szCs w:val="16"/>
          <w:i w:val="1"/>
          <w:iCs w:val="1"/>
          <w:color w:val="auto"/>
        </w:rPr>
      </w:pPr>
      <w:r>
        <w:rPr>
          <w:rFonts w:ascii="Arial" w:cs="Arial" w:eastAsia="Arial" w:hAnsi="Arial"/>
          <w:sz w:val="16"/>
          <w:szCs w:val="16"/>
          <w:color w:val="auto"/>
        </w:rPr>
        <w:t>For purposes of calculating non-GAAP diluted net income per share, the GAAP diluted weighted average shares outstanding is adjusted to exclude the benefits of stock compensation costs attributable to future services and not yet recognized in the financial statements.</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274" w:right="2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4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ind w:left="40"/>
              <w:spacing w:after="0"/>
              <w:rPr>
                <w:sz w:val="20"/>
                <w:szCs w:val="20"/>
                <w:color w:val="auto"/>
              </w:rPr>
            </w:pPr>
            <w:r>
              <w:rPr>
                <w:rFonts w:ascii="Arial" w:cs="Arial" w:eastAsia="Arial" w:hAnsi="Arial"/>
                <w:sz w:val="14"/>
                <w:szCs w:val="14"/>
                <w:b w:val="1"/>
                <w:bCs w:val="1"/>
                <w:color w:val="auto"/>
              </w:rPr>
              <w:t>April 30,</w:t>
            </w:r>
          </w:p>
        </w:tc>
        <w:tc>
          <w:tcPr>
            <w:tcW w:w="140" w:type="dxa"/>
            <w:vAlign w:val="bottom"/>
          </w:tcPr>
          <w:p>
            <w:pPr>
              <w:spacing w:after="0"/>
              <w:rPr>
                <w:sz w:val="14"/>
                <w:szCs w:val="14"/>
                <w:color w:val="auto"/>
              </w:rPr>
            </w:pPr>
          </w:p>
        </w:tc>
        <w:tc>
          <w:tcPr>
            <w:tcW w:w="900" w:type="dxa"/>
            <w:vAlign w:val="bottom"/>
            <w:gridSpan w:val="3"/>
          </w:tcPr>
          <w:p>
            <w:pPr>
              <w:ind w:left="60"/>
              <w:spacing w:after="0"/>
              <w:rPr>
                <w:sz w:val="20"/>
                <w:szCs w:val="20"/>
                <w:color w:val="auto"/>
              </w:rPr>
            </w:pPr>
            <w:r>
              <w:rPr>
                <w:rFonts w:ascii="Arial" w:cs="Arial" w:eastAsia="Arial" w:hAnsi="Arial"/>
                <w:sz w:val="14"/>
                <w:szCs w:val="14"/>
                <w:b w:val="1"/>
                <w:bCs w:val="1"/>
                <w:color w:val="auto"/>
              </w:rPr>
              <w:t>January 29,</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84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2011</w:t>
            </w: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2011</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Assets</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Current assets:</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cash equivalents, and short-term investments</w:t>
            </w:r>
          </w:p>
        </w:tc>
        <w:tc>
          <w:tcPr>
            <w:tcW w:w="4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2,267,839</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2,930,030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Accounts receivable, net</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425,468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459,406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Inventories</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299,108</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245,448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Prepaid expenses and other current assets</w:t>
            </w:r>
          </w:p>
        </w:tc>
        <w:tc>
          <w:tcPr>
            <w:tcW w:w="45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80,154</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77,763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current assets</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3,072,569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3,712,647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354,483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358,440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26,070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26,226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2,130,342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2,129,464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4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109,143</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111,380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assets</w:t>
            </w:r>
          </w:p>
        </w:tc>
        <w:tc>
          <w:tcPr>
            <w:tcW w:w="4660" w:type="dxa"/>
            <w:vAlign w:val="bottom"/>
            <w:gridSpan w:val="2"/>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5,692,607</w:t>
            </w:r>
          </w:p>
        </w:tc>
        <w:tc>
          <w:tcPr>
            <w:tcW w:w="2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6,338,157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45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4840" w:type="dxa"/>
            <w:vAlign w:val="bottom"/>
          </w:tcPr>
          <w:p>
            <w:pPr>
              <w:spacing w:after="0"/>
              <w:rPr>
                <w:sz w:val="8"/>
                <w:szCs w:val="8"/>
                <w:color w:val="auto"/>
              </w:rPr>
            </w:pPr>
          </w:p>
        </w:tc>
        <w:tc>
          <w:tcPr>
            <w:tcW w:w="456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Current liabilities:</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Accounts payable</w:t>
            </w:r>
          </w:p>
        </w:tc>
        <w:tc>
          <w:tcPr>
            <w:tcW w:w="4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321,687</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332,007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Accrued liabilities</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210,837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232,518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Deferred income</w:t>
            </w:r>
          </w:p>
        </w:tc>
        <w:tc>
          <w:tcPr>
            <w:tcW w:w="4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80,890</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76,161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current liabilities</w:t>
            </w:r>
          </w:p>
        </w:tc>
        <w:tc>
          <w:tcPr>
            <w:tcW w:w="45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613,414</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640,686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4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175,789</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175,602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liabilities</w:t>
            </w:r>
          </w:p>
        </w:tc>
        <w:tc>
          <w:tcPr>
            <w:tcW w:w="45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789,203</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816,288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6"/>
        </w:trPr>
        <w:tc>
          <w:tcPr>
            <w:tcW w:w="20" w:type="dxa"/>
            <w:vAlign w:val="bottom"/>
            <w:vMerge w:val="restart"/>
          </w:tcPr>
          <w:p>
            <w:pPr>
              <w:spacing w:after="0"/>
              <w:rPr>
                <w:sz w:val="10"/>
                <w:szCs w:val="10"/>
                <w:color w:val="auto"/>
              </w:rPr>
            </w:pPr>
          </w:p>
        </w:tc>
        <w:tc>
          <w:tcPr>
            <w:tcW w:w="4840" w:type="dxa"/>
            <w:vAlign w:val="bottom"/>
          </w:tcPr>
          <w:p>
            <w:pPr>
              <w:spacing w:after="0"/>
              <w:rPr>
                <w:sz w:val="10"/>
                <w:szCs w:val="10"/>
                <w:color w:val="auto"/>
              </w:rPr>
            </w:pPr>
          </w:p>
        </w:tc>
        <w:tc>
          <w:tcPr>
            <w:tcW w:w="456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700" w:type="dxa"/>
            <w:vAlign w:val="bottom"/>
            <w:tcBorders>
              <w:top w:val="single" w:sz="8" w:color="auto"/>
            </w:tcBorders>
          </w:tcPr>
          <w:p>
            <w:pPr>
              <w:spacing w:after="0"/>
              <w:rPr>
                <w:sz w:val="10"/>
                <w:szCs w:val="10"/>
                <w:color w:val="auto"/>
              </w:rPr>
            </w:pPr>
          </w:p>
        </w:tc>
        <w:tc>
          <w:tcPr>
            <w:tcW w:w="1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700" w:type="dxa"/>
            <w:vAlign w:val="bottom"/>
            <w:tcBorders>
              <w:top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Common stock</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1,218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1,317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Additional paid-in capital</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4,034,873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4,805,588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Accumulated other comprehensive income</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6,580</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1,092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Retained earnings</w:t>
            </w:r>
          </w:p>
        </w:tc>
        <w:tc>
          <w:tcPr>
            <w:tcW w:w="4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860,733</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713,872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shareholders’ equity</w:t>
            </w:r>
          </w:p>
        </w:tc>
        <w:tc>
          <w:tcPr>
            <w:tcW w:w="456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4,903,404</w:t>
            </w:r>
          </w:p>
        </w:tc>
        <w:tc>
          <w:tcPr>
            <w:tcW w:w="1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5,521,869</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liabilities and shareholders’ equity</w:t>
            </w:r>
          </w:p>
        </w:tc>
        <w:tc>
          <w:tcPr>
            <w:tcW w:w="4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5,692,607</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6,338,157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70"/>
        </w:trPr>
        <w:tc>
          <w:tcPr>
            <w:tcW w:w="20" w:type="dxa"/>
            <w:vAlign w:val="bottom"/>
          </w:tcPr>
          <w:p>
            <w:pPr>
              <w:spacing w:after="0"/>
              <w:rPr>
                <w:sz w:val="24"/>
                <w:szCs w:val="24"/>
                <w:color w:val="auto"/>
              </w:rPr>
            </w:pPr>
          </w:p>
        </w:tc>
        <w:tc>
          <w:tcPr>
            <w:tcW w:w="4840" w:type="dxa"/>
            <w:vAlign w:val="bottom"/>
          </w:tcPr>
          <w:p>
            <w:pPr>
              <w:spacing w:after="0"/>
              <w:rPr>
                <w:sz w:val="24"/>
                <w:szCs w:val="24"/>
                <w:color w:val="auto"/>
              </w:rPr>
            </w:pPr>
          </w:p>
        </w:tc>
        <w:tc>
          <w:tcPr>
            <w:tcW w:w="4560" w:type="dxa"/>
            <w:vAlign w:val="bottom"/>
          </w:tcPr>
          <w:p>
            <w:pPr>
              <w:jc w:val="right"/>
              <w:ind w:right="3572"/>
              <w:spacing w:after="0"/>
              <w:rPr>
                <w:sz w:val="20"/>
                <w:szCs w:val="20"/>
                <w:color w:val="auto"/>
              </w:rPr>
            </w:pPr>
            <w:r>
              <w:rPr>
                <w:rFonts w:ascii="Arial" w:cs="Arial" w:eastAsia="Arial" w:hAnsi="Arial"/>
                <w:sz w:val="18"/>
                <w:szCs w:val="18"/>
                <w:color w:val="auto"/>
              </w:rPr>
              <w:t>7</w:t>
            </w:r>
          </w:p>
        </w:tc>
        <w:tc>
          <w:tcPr>
            <w:tcW w:w="100" w:type="dxa"/>
            <w:vAlign w:val="bottom"/>
            <w:tcBorders>
              <w:top w:val="single" w:sz="8" w:color="auto"/>
            </w:tcBorders>
          </w:tcPr>
          <w:p>
            <w:pPr>
              <w:spacing w:after="0"/>
              <w:rPr>
                <w:sz w:val="24"/>
                <w:szCs w:val="24"/>
                <w:color w:val="auto"/>
              </w:rPr>
            </w:pPr>
          </w:p>
        </w:tc>
        <w:tc>
          <w:tcPr>
            <w:tcW w:w="700" w:type="dxa"/>
            <w:vAlign w:val="bottom"/>
            <w:tcBorders>
              <w:top w:val="single" w:sz="8" w:color="auto"/>
            </w:tcBorders>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70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46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100" w:type="dxa"/>
            <w:vAlign w:val="bottom"/>
            <w:gridSpan w:val="5"/>
          </w:tcPr>
          <w:p>
            <w:pPr>
              <w:jc w:val="right"/>
              <w:ind w:right="54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46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200" w:type="dxa"/>
            <w:vAlign w:val="bottom"/>
            <w:tcBorders>
              <w:top w:val="single" w:sz="8" w:color="auto"/>
            </w:tcBorders>
            <w:gridSpan w:val="2"/>
          </w:tcPr>
          <w:p>
            <w:pPr>
              <w:jc w:val="right"/>
              <w:ind w:right="620"/>
              <w:spacing w:after="0" w:line="129" w:lineRule="exact"/>
              <w:rPr>
                <w:sz w:val="20"/>
                <w:szCs w:val="20"/>
                <w:color w:val="auto"/>
              </w:rPr>
            </w:pPr>
            <w:r>
              <w:rPr>
                <w:rFonts w:ascii="Arial" w:cs="Arial" w:eastAsia="Arial" w:hAnsi="Arial"/>
                <w:sz w:val="14"/>
                <w:szCs w:val="14"/>
                <w:b w:val="1"/>
                <w:bCs w:val="1"/>
                <w:color w:val="auto"/>
              </w:rPr>
              <w:t>April 30,</w:t>
            </w: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113"/>
              <w:spacing w:after="0" w:line="129" w:lineRule="exact"/>
              <w:rPr>
                <w:sz w:val="20"/>
                <w:szCs w:val="20"/>
                <w:color w:val="auto"/>
              </w:rPr>
            </w:pPr>
            <w:r>
              <w:rPr>
                <w:rFonts w:ascii="Arial" w:cs="Arial" w:eastAsia="Arial" w:hAnsi="Arial"/>
                <w:sz w:val="14"/>
                <w:szCs w:val="14"/>
                <w:b w:val="1"/>
                <w:bCs w:val="1"/>
                <w:color w:val="auto"/>
              </w:rPr>
              <w:t>May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46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right"/>
              <w:ind w:right="214"/>
              <w:spacing w:after="0"/>
              <w:rPr>
                <w:sz w:val="20"/>
                <w:szCs w:val="20"/>
                <w:color w:val="auto"/>
              </w:rPr>
            </w:pPr>
            <w:r>
              <w:rPr>
                <w:rFonts w:ascii="Arial" w:cs="Arial" w:eastAsia="Arial" w:hAnsi="Arial"/>
                <w:sz w:val="14"/>
                <w:szCs w:val="14"/>
                <w:b w:val="1"/>
                <w:bCs w:val="1"/>
                <w:color w:val="auto"/>
              </w:rPr>
              <w:t>2011</w:t>
            </w:r>
          </w:p>
        </w:tc>
        <w:tc>
          <w:tcPr>
            <w:tcW w:w="4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46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operating activities:</w:t>
            </w:r>
          </w:p>
        </w:tc>
        <w:tc>
          <w:tcPr>
            <w:tcW w:w="1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60" w:type="dxa"/>
            <w:vAlign w:val="bottom"/>
          </w:tcPr>
          <w:p>
            <w:pPr>
              <w:spacing w:after="0"/>
              <w:rPr>
                <w:sz w:val="20"/>
                <w:szCs w:val="20"/>
                <w:color w:val="auto"/>
              </w:rPr>
            </w:pPr>
            <w:r>
              <w:rPr>
                <w:rFonts w:ascii="Arial" w:cs="Arial" w:eastAsia="Arial" w:hAnsi="Arial"/>
                <w:sz w:val="18"/>
                <w:szCs w:val="18"/>
                <w:color w:val="auto"/>
              </w:rPr>
              <w:t>Net income</w:t>
            </w:r>
          </w:p>
        </w:tc>
        <w:tc>
          <w:tcPr>
            <w:tcW w:w="18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440"/>
              <w:spacing w:after="0"/>
              <w:rPr>
                <w:sz w:val="20"/>
                <w:szCs w:val="20"/>
                <w:color w:val="auto"/>
              </w:rPr>
            </w:pPr>
            <w:r>
              <w:rPr>
                <w:rFonts w:ascii="Arial" w:cs="Arial" w:eastAsia="Arial" w:hAnsi="Arial"/>
                <w:sz w:val="18"/>
                <w:szCs w:val="18"/>
                <w:color w:val="auto"/>
              </w:rPr>
              <w:t>146,861</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205,767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6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60" w:type="dxa"/>
            <w:vAlign w:val="bottom"/>
          </w:tcPr>
          <w:p>
            <w:pPr>
              <w:ind w:left="420"/>
              <w:spacing w:after="0"/>
              <w:rPr>
                <w:sz w:val="20"/>
                <w:szCs w:val="20"/>
                <w:color w:val="auto"/>
              </w:rPr>
            </w:pPr>
            <w:r>
              <w:rPr>
                <w:rFonts w:ascii="Arial" w:cs="Arial" w:eastAsia="Arial" w:hAnsi="Arial"/>
                <w:sz w:val="18"/>
                <w:szCs w:val="18"/>
                <w:color w:val="auto"/>
              </w:rPr>
              <w:t>Depreciation and amortization</w:t>
            </w:r>
          </w:p>
        </w:tc>
        <w:tc>
          <w:tcPr>
            <w:tcW w:w="1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40"/>
              <w:spacing w:after="0"/>
              <w:rPr>
                <w:sz w:val="20"/>
                <w:szCs w:val="20"/>
                <w:color w:val="auto"/>
              </w:rPr>
            </w:pPr>
            <w:r>
              <w:rPr>
                <w:rFonts w:ascii="Arial" w:cs="Arial" w:eastAsia="Arial" w:hAnsi="Arial"/>
                <w:sz w:val="18"/>
                <w:szCs w:val="18"/>
                <w:color w:val="auto"/>
              </w:rPr>
              <w:t>24,037</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23,078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27,480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26,896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60" w:type="dxa"/>
            <w:vAlign w:val="bottom"/>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1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40"/>
              <w:spacing w:after="0"/>
              <w:rPr>
                <w:sz w:val="20"/>
                <w:szCs w:val="20"/>
                <w:color w:val="auto"/>
              </w:rPr>
            </w:pPr>
            <w:r>
              <w:rPr>
                <w:rFonts w:ascii="Arial" w:cs="Arial" w:eastAsia="Arial" w:hAnsi="Arial"/>
                <w:sz w:val="18"/>
                <w:szCs w:val="18"/>
                <w:color w:val="auto"/>
              </w:rPr>
              <w:t>14,341</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22,549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Other (income) expense, net</w:t>
            </w:r>
          </w:p>
        </w:tc>
        <w:tc>
          <w:tcPr>
            <w:tcW w:w="1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3,854</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2,035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60" w:type="dxa"/>
            <w:vAlign w:val="bottom"/>
          </w:tcPr>
          <w:p>
            <w:pPr>
              <w:ind w:left="420"/>
              <w:spacing w:after="0"/>
              <w:rPr>
                <w:sz w:val="20"/>
                <w:szCs w:val="20"/>
                <w:color w:val="auto"/>
              </w:rPr>
            </w:pPr>
            <w:r>
              <w:rPr>
                <w:rFonts w:ascii="Arial" w:cs="Arial" w:eastAsia="Arial" w:hAnsi="Arial"/>
                <w:sz w:val="18"/>
                <w:szCs w:val="18"/>
                <w:color w:val="auto"/>
              </w:rPr>
              <w:t>Fair market value adjustment to acquired inventory sold</w:t>
            </w:r>
          </w:p>
        </w:tc>
        <w:tc>
          <w:tcPr>
            <w:tcW w:w="1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(942)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1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60" w:type="dxa"/>
            <w:vAlign w:val="bottom"/>
          </w:tcPr>
          <w:p>
            <w:pPr>
              <w:ind w:left="420"/>
              <w:spacing w:after="0"/>
              <w:rPr>
                <w:sz w:val="20"/>
                <w:szCs w:val="20"/>
                <w:color w:val="auto"/>
              </w:rPr>
            </w:pPr>
            <w:r>
              <w:rPr>
                <w:rFonts w:ascii="Arial" w:cs="Arial" w:eastAsia="Arial" w:hAnsi="Arial"/>
                <w:sz w:val="18"/>
                <w:szCs w:val="18"/>
                <w:color w:val="auto"/>
              </w:rPr>
              <w:t>Changes in assets and liabilities:</w:t>
            </w:r>
          </w:p>
        </w:tc>
        <w:tc>
          <w:tcPr>
            <w:tcW w:w="1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Accounts receivable</w:t>
            </w:r>
          </w:p>
        </w:tc>
        <w:tc>
          <w:tcPr>
            <w:tcW w:w="1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33,938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(91,897)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60" w:type="dxa"/>
            <w:vAlign w:val="bottom"/>
          </w:tcPr>
          <w:p>
            <w:pPr>
              <w:ind w:left="860"/>
              <w:spacing w:after="0"/>
              <w:rPr>
                <w:sz w:val="20"/>
                <w:szCs w:val="20"/>
                <w:color w:val="auto"/>
              </w:rPr>
            </w:pPr>
            <w:r>
              <w:rPr>
                <w:rFonts w:ascii="Arial" w:cs="Arial" w:eastAsia="Arial" w:hAnsi="Arial"/>
                <w:sz w:val="18"/>
                <w:szCs w:val="18"/>
                <w:color w:val="auto"/>
              </w:rPr>
              <w:t>Inventories</w:t>
            </w:r>
          </w:p>
        </w:tc>
        <w:tc>
          <w:tcPr>
            <w:tcW w:w="1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(53,107)</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35,417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Prepaid expenses and other assets</w:t>
            </w:r>
          </w:p>
        </w:tc>
        <w:tc>
          <w:tcPr>
            <w:tcW w:w="1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644</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10,381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60" w:type="dxa"/>
            <w:vAlign w:val="bottom"/>
          </w:tcPr>
          <w:p>
            <w:pPr>
              <w:ind w:left="860"/>
              <w:spacing w:after="0"/>
              <w:rPr>
                <w:sz w:val="20"/>
                <w:szCs w:val="20"/>
                <w:color w:val="auto"/>
              </w:rPr>
            </w:pPr>
            <w:r>
              <w:rPr>
                <w:rFonts w:ascii="Arial" w:cs="Arial" w:eastAsia="Arial" w:hAnsi="Arial"/>
                <w:sz w:val="18"/>
                <w:szCs w:val="18"/>
                <w:color w:val="auto"/>
              </w:rPr>
              <w:t>Accounts payable</w:t>
            </w:r>
          </w:p>
        </w:tc>
        <w:tc>
          <w:tcPr>
            <w:tcW w:w="1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(5,295)</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6,703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Accrued liabilities and other</w:t>
            </w:r>
          </w:p>
        </w:tc>
        <w:tc>
          <w:tcPr>
            <w:tcW w:w="1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(5,450)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2,362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60" w:type="dxa"/>
            <w:vAlign w:val="bottom"/>
          </w:tcPr>
          <w:p>
            <w:pPr>
              <w:ind w:left="860"/>
              <w:spacing w:after="0"/>
              <w:rPr>
                <w:sz w:val="20"/>
                <w:szCs w:val="20"/>
                <w:color w:val="auto"/>
              </w:rPr>
            </w:pPr>
            <w:r>
              <w:rPr>
                <w:rFonts w:ascii="Arial" w:cs="Arial" w:eastAsia="Arial" w:hAnsi="Arial"/>
                <w:sz w:val="18"/>
                <w:szCs w:val="18"/>
                <w:color w:val="auto"/>
              </w:rPr>
              <w:t>Accrued employee compensation</w:t>
            </w:r>
          </w:p>
        </w:tc>
        <w:tc>
          <w:tcPr>
            <w:tcW w:w="1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(14,880)</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(10,506)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Deferred income</w:t>
            </w:r>
          </w:p>
        </w:tc>
        <w:tc>
          <w:tcPr>
            <w:tcW w:w="1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4,729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23,933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60" w:type="dxa"/>
            <w:vAlign w:val="bottom"/>
            <w:vMerge w:val="restart"/>
          </w:tcPr>
          <w:p>
            <w:pPr>
              <w:ind w:left="1280"/>
              <w:spacing w:after="0"/>
              <w:rPr>
                <w:sz w:val="20"/>
                <w:szCs w:val="20"/>
                <w:color w:val="auto"/>
              </w:rPr>
            </w:pPr>
            <w:r>
              <w:rPr>
                <w:rFonts w:ascii="Arial" w:cs="Arial" w:eastAsia="Arial" w:hAnsi="Arial"/>
                <w:sz w:val="18"/>
                <w:szCs w:val="18"/>
                <w:color w:val="auto"/>
              </w:rPr>
              <w:t>Net cash provided by operating activities</w:t>
            </w:r>
          </w:p>
        </w:tc>
        <w:tc>
          <w:tcPr>
            <w:tcW w:w="17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20" w:type="dxa"/>
            <w:vAlign w:val="bottom"/>
          </w:tcPr>
          <w:p>
            <w:pPr>
              <w:spacing w:after="0"/>
              <w:rPr>
                <w:sz w:val="19"/>
                <w:szCs w:val="19"/>
                <w:color w:val="auto"/>
              </w:rPr>
            </w:pPr>
          </w:p>
        </w:tc>
        <w:tc>
          <w:tcPr>
            <w:tcW w:w="7460" w:type="dxa"/>
            <w:vAlign w:val="bottom"/>
            <w:vMerge w:val="continue"/>
          </w:tcPr>
          <w:p>
            <w:pPr>
              <w:spacing w:after="0"/>
              <w:rPr>
                <w:sz w:val="19"/>
                <w:szCs w:val="19"/>
                <w:color w:val="auto"/>
              </w:rPr>
            </w:pPr>
          </w:p>
        </w:tc>
        <w:tc>
          <w:tcPr>
            <w:tcW w:w="17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0" w:type="dxa"/>
            <w:vAlign w:val="bottom"/>
            <w:gridSpan w:val="2"/>
          </w:tcPr>
          <w:p>
            <w:pPr>
              <w:jc w:val="right"/>
              <w:ind w:right="440"/>
              <w:spacing w:after="0"/>
              <w:rPr>
                <w:sz w:val="20"/>
                <w:szCs w:val="20"/>
                <w:color w:val="auto"/>
              </w:rPr>
            </w:pPr>
            <w:r>
              <w:rPr>
                <w:rFonts w:ascii="Arial" w:cs="Arial" w:eastAsia="Arial" w:hAnsi="Arial"/>
                <w:sz w:val="18"/>
                <w:szCs w:val="18"/>
                <w:color w:val="auto"/>
              </w:rPr>
              <w:t>177,149</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255,591</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46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investing activities:</w:t>
            </w:r>
          </w:p>
        </w:tc>
        <w:tc>
          <w:tcPr>
            <w:tcW w:w="1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60" w:type="dxa"/>
            <w:vAlign w:val="bottom"/>
          </w:tcPr>
          <w:p>
            <w:pPr>
              <w:ind w:left="420"/>
              <w:spacing w:after="0"/>
              <w:rPr>
                <w:sz w:val="20"/>
                <w:szCs w:val="20"/>
                <w:color w:val="auto"/>
              </w:rPr>
            </w:pPr>
            <w:r>
              <w:rPr>
                <w:rFonts w:ascii="Arial" w:cs="Arial" w:eastAsia="Arial" w:hAnsi="Arial"/>
                <w:sz w:val="18"/>
                <w:szCs w:val="18"/>
                <w:color w:val="auto"/>
              </w:rPr>
              <w:t>Purchases of marketable securities</w:t>
            </w:r>
          </w:p>
        </w:tc>
        <w:tc>
          <w:tcPr>
            <w:tcW w:w="1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(677,179)</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(186,878)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strategic investments</w:t>
            </w:r>
          </w:p>
        </w:tc>
        <w:tc>
          <w:tcPr>
            <w:tcW w:w="1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(1,750)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60" w:type="dxa"/>
            <w:vAlign w:val="bottom"/>
          </w:tcPr>
          <w:p>
            <w:pPr>
              <w:ind w:left="420"/>
              <w:spacing w:after="0"/>
              <w:rPr>
                <w:sz w:val="20"/>
                <w:szCs w:val="20"/>
                <w:color w:val="auto"/>
              </w:rPr>
            </w:pPr>
            <w:r>
              <w:rPr>
                <w:rFonts w:ascii="Arial" w:cs="Arial" w:eastAsia="Arial" w:hAnsi="Arial"/>
                <w:sz w:val="18"/>
                <w:szCs w:val="18"/>
                <w:color w:val="auto"/>
              </w:rPr>
              <w:t>Sales and maturities of investments</w:t>
            </w:r>
          </w:p>
        </w:tc>
        <w:tc>
          <w:tcPr>
            <w:tcW w:w="1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40"/>
              <w:spacing w:after="0"/>
              <w:rPr>
                <w:sz w:val="20"/>
                <w:szCs w:val="20"/>
                <w:color w:val="auto"/>
              </w:rPr>
            </w:pPr>
            <w:r>
              <w:rPr>
                <w:rFonts w:ascii="Arial" w:cs="Arial" w:eastAsia="Arial" w:hAnsi="Arial"/>
                <w:sz w:val="18"/>
                <w:szCs w:val="18"/>
                <w:color w:val="auto"/>
              </w:rPr>
              <w:t>272,547</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149,440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paid for acquisitions, net</w:t>
            </w:r>
          </w:p>
        </w:tc>
        <w:tc>
          <w:tcPr>
            <w:tcW w:w="1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(16,330)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60" w:type="dxa"/>
            <w:vAlign w:val="bottom"/>
          </w:tcPr>
          <w:p>
            <w:pPr>
              <w:ind w:left="420"/>
              <w:spacing w:after="0"/>
              <w:rPr>
                <w:sz w:val="20"/>
                <w:szCs w:val="20"/>
                <w:color w:val="auto"/>
              </w:rPr>
            </w:pPr>
            <w:r>
              <w:rPr>
                <w:rFonts w:ascii="Arial" w:cs="Arial" w:eastAsia="Arial" w:hAnsi="Arial"/>
                <w:sz w:val="18"/>
                <w:szCs w:val="18"/>
                <w:color w:val="auto"/>
              </w:rPr>
              <w:t>Purchases of technology licenses</w:t>
            </w:r>
          </w:p>
        </w:tc>
        <w:tc>
          <w:tcPr>
            <w:tcW w:w="1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(3,290)</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(2,250)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property and equipment</w:t>
            </w:r>
          </w:p>
        </w:tc>
        <w:tc>
          <w:tcPr>
            <w:tcW w:w="1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(17,018)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(16,395)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60" w:type="dxa"/>
            <w:vAlign w:val="bottom"/>
            <w:vMerge w:val="restart"/>
          </w:tcPr>
          <w:p>
            <w:pPr>
              <w:ind w:left="1280"/>
              <w:spacing w:after="0"/>
              <w:rPr>
                <w:sz w:val="20"/>
                <w:szCs w:val="20"/>
                <w:color w:val="auto"/>
              </w:rPr>
            </w:pPr>
            <w:r>
              <w:rPr>
                <w:rFonts w:ascii="Arial" w:cs="Arial" w:eastAsia="Arial" w:hAnsi="Arial"/>
                <w:sz w:val="18"/>
                <w:szCs w:val="18"/>
                <w:color w:val="auto"/>
              </w:rPr>
              <w:t>Net cash used in investing activities</w:t>
            </w:r>
          </w:p>
        </w:tc>
        <w:tc>
          <w:tcPr>
            <w:tcW w:w="17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20" w:type="dxa"/>
            <w:vAlign w:val="bottom"/>
          </w:tcPr>
          <w:p>
            <w:pPr>
              <w:spacing w:after="0"/>
              <w:rPr>
                <w:sz w:val="19"/>
                <w:szCs w:val="19"/>
                <w:color w:val="auto"/>
              </w:rPr>
            </w:pPr>
          </w:p>
        </w:tc>
        <w:tc>
          <w:tcPr>
            <w:tcW w:w="7460" w:type="dxa"/>
            <w:vAlign w:val="bottom"/>
            <w:vMerge w:val="continue"/>
          </w:tcPr>
          <w:p>
            <w:pPr>
              <w:spacing w:after="0"/>
              <w:rPr>
                <w:sz w:val="19"/>
                <w:szCs w:val="19"/>
                <w:color w:val="auto"/>
              </w:rPr>
            </w:pPr>
          </w:p>
        </w:tc>
        <w:tc>
          <w:tcPr>
            <w:tcW w:w="17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(443,020)</w:t>
            </w:r>
          </w:p>
        </w:tc>
        <w:tc>
          <w:tcPr>
            <w:tcW w:w="80" w:type="dxa"/>
            <w:vAlign w:val="bottom"/>
          </w:tcPr>
          <w:p>
            <w:pPr>
              <w:spacing w:after="0"/>
              <w:rPr>
                <w:sz w:val="19"/>
                <w:szCs w:val="19"/>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(57,083)</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46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financing activities:</w:t>
            </w:r>
          </w:p>
        </w:tc>
        <w:tc>
          <w:tcPr>
            <w:tcW w:w="1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23"/>
        </w:trPr>
        <w:tc>
          <w:tcPr>
            <w:tcW w:w="20" w:type="dxa"/>
            <w:vAlign w:val="bottom"/>
          </w:tcPr>
          <w:p>
            <w:pPr>
              <w:spacing w:after="0"/>
              <w:rPr>
                <w:sz w:val="24"/>
                <w:szCs w:val="24"/>
                <w:color w:val="auto"/>
              </w:rPr>
            </w:pPr>
          </w:p>
        </w:tc>
        <w:tc>
          <w:tcPr>
            <w:tcW w:w="7460" w:type="dxa"/>
            <w:vAlign w:val="bottom"/>
          </w:tcPr>
          <w:p>
            <w:pPr>
              <w:ind w:left="420"/>
              <w:spacing w:after="0"/>
              <w:rPr>
                <w:sz w:val="20"/>
                <w:szCs w:val="20"/>
                <w:color w:val="auto"/>
              </w:rPr>
            </w:pPr>
            <w:r>
              <w:rPr>
                <w:rFonts w:ascii="Arial" w:cs="Arial" w:eastAsia="Arial" w:hAnsi="Arial"/>
                <w:sz w:val="18"/>
                <w:szCs w:val="18"/>
                <w:color w:val="auto"/>
              </w:rPr>
              <w:t>Repurchase of common stock</w:t>
            </w:r>
          </w:p>
        </w:tc>
        <w:tc>
          <w:tcPr>
            <w:tcW w:w="17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(803,501)</w:t>
            </w:r>
          </w:p>
        </w:tc>
        <w:tc>
          <w:tcPr>
            <w:tcW w:w="80" w:type="dxa"/>
            <w:vAlign w:val="bottom"/>
          </w:tcPr>
          <w:p>
            <w:pPr>
              <w:spacing w:after="0"/>
              <w:rPr>
                <w:sz w:val="24"/>
                <w:szCs w:val="24"/>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Proceeds from employee stock plans</w:t>
            </w:r>
          </w:p>
        </w:tc>
        <w:tc>
          <w:tcPr>
            <w:tcW w:w="1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5,207</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48,688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60" w:type="dxa"/>
            <w:vAlign w:val="bottom"/>
          </w:tcPr>
          <w:p>
            <w:pPr>
              <w:ind w:left="420"/>
              <w:spacing w:after="0"/>
              <w:rPr>
                <w:sz w:val="20"/>
                <w:szCs w:val="20"/>
                <w:color w:val="auto"/>
              </w:rPr>
            </w:pPr>
            <w:r>
              <w:rPr>
                <w:rFonts w:ascii="Arial" w:cs="Arial" w:eastAsia="Arial" w:hAnsi="Arial"/>
                <w:sz w:val="18"/>
                <w:szCs w:val="18"/>
                <w:color w:val="auto"/>
              </w:rPr>
              <w:t>Principal payments on capital lease and term loan obligations</w:t>
            </w:r>
          </w:p>
        </w:tc>
        <w:tc>
          <w:tcPr>
            <w:tcW w:w="1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(511)</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(470)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1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185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60" w:type="dxa"/>
            <w:vAlign w:val="bottom"/>
            <w:vMerge w:val="restart"/>
          </w:tcPr>
          <w:p>
            <w:pPr>
              <w:ind w:left="1280"/>
              <w:spacing w:after="0"/>
              <w:rPr>
                <w:sz w:val="20"/>
                <w:szCs w:val="20"/>
                <w:color w:val="auto"/>
              </w:rPr>
            </w:pPr>
            <w:r>
              <w:rPr>
                <w:rFonts w:ascii="Arial" w:cs="Arial" w:eastAsia="Arial" w:hAnsi="Arial"/>
                <w:sz w:val="18"/>
                <w:szCs w:val="18"/>
                <w:color w:val="auto"/>
              </w:rPr>
              <w:t>Net cash (used in) provided by financing activities</w:t>
            </w:r>
          </w:p>
        </w:tc>
        <w:tc>
          <w:tcPr>
            <w:tcW w:w="17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7460" w:type="dxa"/>
            <w:vAlign w:val="bottom"/>
            <w:vMerge w:val="continue"/>
          </w:tcPr>
          <w:p>
            <w:pPr>
              <w:spacing w:after="0"/>
              <w:rPr>
                <w:sz w:val="19"/>
                <w:szCs w:val="19"/>
                <w:color w:val="auto"/>
              </w:rPr>
            </w:pPr>
          </w:p>
        </w:tc>
        <w:tc>
          <w:tcPr>
            <w:tcW w:w="17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(798,802)</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48,403</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74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460" w:type="dxa"/>
            <w:vAlign w:val="bottom"/>
            <w:shd w:val="clear" w:color="auto" w:fill="CCEEFF"/>
          </w:tcPr>
          <w:p>
            <w:pPr>
              <w:spacing w:after="0"/>
              <w:rPr>
                <w:sz w:val="20"/>
                <w:szCs w:val="20"/>
                <w:color w:val="auto"/>
              </w:rPr>
            </w:pPr>
            <w:r>
              <w:rPr>
                <w:rFonts w:ascii="Arial" w:cs="Arial" w:eastAsia="Arial" w:hAnsi="Arial"/>
                <w:sz w:val="18"/>
                <w:szCs w:val="18"/>
                <w:color w:val="auto"/>
              </w:rPr>
              <w:t>Net increase (decrease) in cash and cash equivalents</w:t>
            </w:r>
          </w:p>
        </w:tc>
        <w:tc>
          <w:tcPr>
            <w:tcW w:w="1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6"/>
              </w:rPr>
              <w:t>(1,064,673)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246,911</w:t>
            </w:r>
          </w:p>
        </w:tc>
        <w:tc>
          <w:tcPr>
            <w:tcW w:w="0" w:type="dxa"/>
            <w:vAlign w:val="bottom"/>
          </w:tcPr>
          <w:p>
            <w:pPr>
              <w:spacing w:after="0"/>
              <w:rPr>
                <w:sz w:val="1"/>
                <w:szCs w:val="1"/>
                <w:color w:val="auto"/>
              </w:rPr>
            </w:pPr>
          </w:p>
        </w:tc>
      </w:tr>
      <w:tr>
        <w:trPr>
          <w:trHeight w:val="20"/>
        </w:trPr>
        <w:tc>
          <w:tcPr>
            <w:tcW w:w="7480" w:type="dxa"/>
            <w:vAlign w:val="bottom"/>
            <w:gridSpan w:val="2"/>
            <w:vMerge w:val="restart"/>
          </w:tcPr>
          <w:p>
            <w:pPr>
              <w:spacing w:after="0"/>
              <w:rPr>
                <w:sz w:val="20"/>
                <w:szCs w:val="20"/>
                <w:color w:val="auto"/>
              </w:rPr>
            </w:pPr>
            <w:r>
              <w:rPr>
                <w:rFonts w:ascii="Arial" w:cs="Arial" w:eastAsia="Arial" w:hAnsi="Arial"/>
                <w:sz w:val="18"/>
                <w:szCs w:val="18"/>
                <w:color w:val="auto"/>
              </w:rPr>
              <w:t>Cash and cash equivalents at beginning of period</w:t>
            </w:r>
          </w:p>
        </w:tc>
        <w:tc>
          <w:tcPr>
            <w:tcW w:w="17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480" w:type="dxa"/>
            <w:vAlign w:val="bottom"/>
            <w:gridSpan w:val="2"/>
            <w:vMerge w:val="continue"/>
          </w:tcPr>
          <w:p>
            <w:pPr>
              <w:spacing w:after="0"/>
              <w:rPr>
                <w:sz w:val="19"/>
                <w:szCs w:val="19"/>
                <w:color w:val="auto"/>
              </w:rPr>
            </w:pPr>
          </w:p>
        </w:tc>
        <w:tc>
          <w:tcPr>
            <w:tcW w:w="17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0" w:type="dxa"/>
            <w:vAlign w:val="bottom"/>
            <w:gridSpan w:val="2"/>
          </w:tcPr>
          <w:p>
            <w:pPr>
              <w:jc w:val="right"/>
              <w:ind w:right="440"/>
              <w:spacing w:after="0"/>
              <w:rPr>
                <w:sz w:val="20"/>
                <w:szCs w:val="20"/>
                <w:color w:val="auto"/>
              </w:rPr>
            </w:pPr>
            <w:r>
              <w:rPr>
                <w:rFonts w:ascii="Arial" w:cs="Arial" w:eastAsia="Arial" w:hAnsi="Arial"/>
                <w:sz w:val="18"/>
                <w:szCs w:val="18"/>
                <w:color w:val="auto"/>
                <w:w w:val="92"/>
              </w:rPr>
              <w:t>1,847,074</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1,105,428</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74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46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end of period</w:t>
            </w:r>
          </w:p>
        </w:tc>
        <w:tc>
          <w:tcPr>
            <w:tcW w:w="1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782,401</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1,352,339</w:t>
            </w:r>
          </w:p>
        </w:tc>
        <w:tc>
          <w:tcPr>
            <w:tcW w:w="0" w:type="dxa"/>
            <w:vAlign w:val="bottom"/>
          </w:tcPr>
          <w:p>
            <w:pPr>
              <w:spacing w:after="0"/>
              <w:rPr>
                <w:sz w:val="1"/>
                <w:szCs w:val="1"/>
                <w:color w:val="auto"/>
              </w:rPr>
            </w:pPr>
          </w:p>
        </w:tc>
      </w:tr>
      <w:tr>
        <w:trPr>
          <w:trHeight w:val="370"/>
        </w:trPr>
        <w:tc>
          <w:tcPr>
            <w:tcW w:w="7480" w:type="dxa"/>
            <w:vAlign w:val="bottom"/>
            <w:gridSpan w:val="2"/>
          </w:tcPr>
          <w:p>
            <w:pPr>
              <w:jc w:val="right"/>
              <w:ind w:right="1632"/>
              <w:spacing w:after="0"/>
              <w:rPr>
                <w:sz w:val="20"/>
                <w:szCs w:val="20"/>
                <w:color w:val="auto"/>
              </w:rPr>
            </w:pPr>
            <w:r>
              <w:rPr>
                <w:rFonts w:ascii="Arial" w:cs="Arial" w:eastAsia="Arial" w:hAnsi="Arial"/>
                <w:sz w:val="18"/>
                <w:szCs w:val="18"/>
                <w:color w:val="auto"/>
              </w:rPr>
              <w:t>8</w:t>
            </w:r>
          </w:p>
        </w:tc>
        <w:tc>
          <w:tcPr>
            <w:tcW w:w="1740" w:type="dxa"/>
            <w:vAlign w:val="bottom"/>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760" w:type="dxa"/>
            <w:vAlign w:val="bottom"/>
            <w:tcBorders>
              <w:top w:val="single" w:sz="8" w:color="auto"/>
            </w:tcBorders>
          </w:tcPr>
          <w:p>
            <w:pPr>
              <w:spacing w:after="0"/>
              <w:rPr>
                <w:sz w:val="24"/>
                <w:szCs w:val="24"/>
                <w:color w:val="auto"/>
              </w:rPr>
            </w:pPr>
          </w:p>
        </w:tc>
        <w:tc>
          <w:tcPr>
            <w:tcW w:w="440" w:type="dxa"/>
            <w:vAlign w:val="bottom"/>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72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sectPr>
      <w:pgSz w:w="11900" w:h="16838" w:orient="portrait"/>
      <w:cols w:equalWidth="0" w:num="1">
        <w:col w:w="11420"/>
      </w:cols>
      <w:pgMar w:left="240"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lowerLetter"/>
      <w:start w:val="4"/>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2019-12-10T16:59:57Z</dcterms:created>
  <dcterms:modified xsi:type="dcterms:W3CDTF">2019-12-10T16:59:57Z</dcterms:modified>
</cp:coreProperties>
</file>