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Date of Report (Date of earliest event reported): April 11, 2011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139700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ind w:right="100"/>
        <w:spacing w:after="0" w:line="275"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45" w:lineRule="exact"/>
        <w:rPr>
          <w:sz w:val="20"/>
          <w:szCs w:val="20"/>
          <w:color w:val="auto"/>
        </w:rPr>
      </w:pPr>
    </w:p>
    <w:p>
      <w:pPr>
        <w:ind w:right="340" w:firstLine="456"/>
        <w:spacing w:after="0" w:line="259" w:lineRule="auto"/>
        <w:rPr>
          <w:sz w:val="20"/>
          <w:szCs w:val="20"/>
          <w:color w:val="auto"/>
        </w:rPr>
      </w:pPr>
      <w:r>
        <w:rPr>
          <w:rFonts w:ascii="Arial" w:cs="Arial" w:eastAsia="Arial" w:hAnsi="Arial"/>
          <w:sz w:val="18"/>
          <w:szCs w:val="18"/>
          <w:color w:val="auto"/>
        </w:rPr>
        <w:t>On April 11, 2011, the Executive Compensation Committee of the Board of Directors (the “Committee”) of Marvell Technology Group Ltd. (the “Company”), with the advice and counsel of the Committee’s independent compensation consultants, approved the following bonuses to its named executive officers for the year ended January 29, 2011:</w:t>
      </w:r>
    </w:p>
    <w:p>
      <w:pPr>
        <w:spacing w:after="0" w:line="59" w:lineRule="exact"/>
        <w:rPr>
          <w:sz w:val="20"/>
          <w:szCs w:val="20"/>
          <w:color w:val="auto"/>
        </w:rPr>
      </w:pPr>
    </w:p>
    <w:p>
      <w:pPr>
        <w:ind w:left="900" w:hanging="325"/>
        <w:spacing w:after="0"/>
        <w:tabs>
          <w:tab w:leader="none" w:pos="900" w:val="left"/>
        </w:tabs>
        <w:numPr>
          <w:ilvl w:val="0"/>
          <w:numId w:val="2"/>
        </w:numPr>
        <w:rPr>
          <w:rFonts w:ascii="Arial" w:cs="Arial" w:eastAsia="Arial" w:hAnsi="Arial"/>
          <w:sz w:val="16"/>
          <w:szCs w:val="16"/>
          <w:color w:val="auto"/>
        </w:rPr>
      </w:pPr>
      <w:r>
        <w:rPr>
          <w:rFonts w:ascii="Arial" w:cs="Arial" w:eastAsia="Arial" w:hAnsi="Arial"/>
          <w:sz w:val="16"/>
          <w:szCs w:val="16"/>
          <w:color w:val="auto"/>
        </w:rPr>
        <w:t>The Committee awarded Dr. Sehat Sutardja, the Company’s President and Chief Executive Officer, a bonus of an aggregate value of $1,200,000.</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2"/>
        </w:numPr>
        <w:rPr>
          <w:rFonts w:ascii="Arial" w:cs="Arial" w:eastAsia="Arial" w:hAnsi="Arial"/>
          <w:sz w:val="16"/>
          <w:szCs w:val="16"/>
          <w:color w:val="auto"/>
        </w:rPr>
      </w:pPr>
      <w:r>
        <w:rPr>
          <w:rFonts w:ascii="Arial" w:cs="Arial" w:eastAsia="Arial" w:hAnsi="Arial"/>
          <w:sz w:val="16"/>
          <w:szCs w:val="16"/>
          <w:color w:val="auto"/>
        </w:rPr>
        <w:t>The Committee awarded Clyde Hosein, the Company’s Chief Financial Officer and Secretary, a bonus of an aggregate value of $337,500.</w:t>
      </w:r>
    </w:p>
    <w:p>
      <w:pPr>
        <w:spacing w:after="0" w:line="113" w:lineRule="exact"/>
        <w:rPr>
          <w:rFonts w:ascii="Arial" w:cs="Arial" w:eastAsia="Arial" w:hAnsi="Arial"/>
          <w:sz w:val="16"/>
          <w:szCs w:val="16"/>
          <w:color w:val="auto"/>
        </w:rPr>
      </w:pPr>
    </w:p>
    <w:p>
      <w:pPr>
        <w:ind w:left="900" w:hanging="325"/>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Committee awarded Dr. Pantas Sutardja, the Company’s Vice President, Chief Technology Officer and Chief Research and Development Officer a bonus of an aggregate value of $180,000.</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4" w:right="27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April 15, 2011</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 and Secretary</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2019-12-10T17:30:30Z</dcterms:created>
  <dcterms:modified xsi:type="dcterms:W3CDTF">2019-12-10T17:30:30Z</dcterms:modified>
</cp:coreProperties>
</file>