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1161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11619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HOSEIN CLYDE</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60" w:type="dxa"/>
            <w:vAlign w:val="bottom"/>
          </w:tcPr>
          <w:p>
            <w:pPr>
              <w:spacing w:after="0"/>
              <w:rPr>
                <w:sz w:val="18"/>
                <w:szCs w:val="18"/>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vMerge w:val="restart"/>
          </w:tcPr>
          <w:p>
            <w:pPr>
              <w:spacing w:after="0"/>
              <w:rPr>
                <w:sz w:val="11"/>
                <w:szCs w:val="11"/>
                <w:color w:val="auto"/>
              </w:rPr>
            </w:pPr>
          </w:p>
        </w:tc>
        <w:tc>
          <w:tcPr>
            <w:tcW w:w="372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0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vMerge w:val="continue"/>
          </w:tcPr>
          <w:p>
            <w:pPr>
              <w:spacing w:after="0"/>
              <w:rPr>
                <w:sz w:val="12"/>
                <w:szCs w:val="12"/>
                <w:color w:val="auto"/>
              </w:rPr>
            </w:pPr>
          </w:p>
        </w:tc>
        <w:tc>
          <w:tcPr>
            <w:tcW w:w="3720" w:type="dxa"/>
            <w:vAlign w:val="bottom"/>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2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398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560"/>
              <w:spacing w:after="0"/>
              <w:rPr>
                <w:sz w:val="20"/>
                <w:szCs w:val="20"/>
                <w:color w:val="auto"/>
              </w:rPr>
            </w:pPr>
            <w:r>
              <w:rPr>
                <w:rFonts w:ascii="Arial" w:cs="Arial" w:eastAsia="Arial" w:hAnsi="Arial"/>
                <w:sz w:val="17"/>
                <w:szCs w:val="17"/>
                <w:color w:val="0000FF"/>
              </w:rPr>
              <w:t>CFO and Secretary</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04/29/2011</w:t>
            </w: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00" w:space="100"/>
            <w:col w:w="752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00"/>
              <w:spacing w:after="0" w:line="133"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6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7"/>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7"/>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6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15.43</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04/29/2011</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A</w:t>
            </w:r>
          </w:p>
        </w:tc>
        <w:tc>
          <w:tcPr>
            <w:tcW w:w="660" w:type="dxa"/>
            <w:vAlign w:val="bottom"/>
          </w:tcPr>
          <w:p>
            <w:pPr>
              <w:ind w:left="100"/>
              <w:spacing w:after="0" w:line="128" w:lineRule="exact"/>
              <w:rPr>
                <w:sz w:val="20"/>
                <w:szCs w:val="20"/>
                <w:color w:val="auto"/>
              </w:rPr>
            </w:pPr>
            <w:r>
              <w:rPr>
                <w:rFonts w:ascii="Arial" w:cs="Arial" w:eastAsia="Arial" w:hAnsi="Arial"/>
                <w:sz w:val="13"/>
                <w:szCs w:val="13"/>
                <w:color w:val="0000FF"/>
              </w:rPr>
              <w:t>300,000</w:t>
            </w:r>
          </w:p>
        </w:tc>
        <w:tc>
          <w:tcPr>
            <w:tcW w:w="2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04/29/2021</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280"/>
              <w:spacing w:after="0" w:line="128" w:lineRule="exact"/>
              <w:rPr>
                <w:sz w:val="20"/>
                <w:szCs w:val="20"/>
                <w:color w:val="auto"/>
              </w:rPr>
            </w:pPr>
            <w:r>
              <w:rPr>
                <w:rFonts w:ascii="Arial" w:cs="Arial" w:eastAsia="Arial" w:hAnsi="Arial"/>
                <w:sz w:val="13"/>
                <w:szCs w:val="13"/>
                <w:color w:val="0000FF"/>
              </w:rPr>
              <w:t>300,000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15.43</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04/29/2011</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A</w:t>
            </w:r>
          </w:p>
        </w:tc>
        <w:tc>
          <w:tcPr>
            <w:tcW w:w="660" w:type="dxa"/>
            <w:vAlign w:val="bottom"/>
          </w:tcPr>
          <w:p>
            <w:pPr>
              <w:ind w:left="100"/>
              <w:spacing w:after="0" w:line="128" w:lineRule="exact"/>
              <w:rPr>
                <w:sz w:val="20"/>
                <w:szCs w:val="20"/>
                <w:color w:val="auto"/>
              </w:rPr>
            </w:pPr>
            <w:r>
              <w:rPr>
                <w:rFonts w:ascii="Arial" w:cs="Arial" w:eastAsia="Arial" w:hAnsi="Arial"/>
                <w:sz w:val="13"/>
                <w:szCs w:val="13"/>
                <w:color w:val="0000FF"/>
              </w:rPr>
              <w:t>150,000</w:t>
            </w:r>
          </w:p>
        </w:tc>
        <w:tc>
          <w:tcPr>
            <w:tcW w:w="2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04/29/2021</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280"/>
              <w:spacing w:after="0" w:line="128" w:lineRule="exact"/>
              <w:rPr>
                <w:sz w:val="20"/>
                <w:szCs w:val="20"/>
                <w:color w:val="auto"/>
              </w:rPr>
            </w:pPr>
            <w:r>
              <w:rPr>
                <w:rFonts w:ascii="Arial" w:cs="Arial" w:eastAsia="Arial" w:hAnsi="Arial"/>
                <w:sz w:val="13"/>
                <w:szCs w:val="13"/>
                <w:color w:val="0000FF"/>
              </w:rPr>
              <w:t>150,000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ind w:left="40" w:right="160" w:firstLine="6"/>
        <w:spacing w:after="0" w:line="242"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above listed stock option award is subject to market-based vesting and will only vest if the Trigger Event (defined below) has occurred prior to the 5th anniversary of the date of grant; if the trigger event does not occur by such date, the stock option will immediately expire. If the closing price per common share of Marvell Technology Group Ltd. as reported by the NASDAQ Global Select Market equals or exceeds an average of $24.70 for a period of 200 trading days prior to the 5th anniversary of the date of grant (the "Trigger Event"), then 100% of the shares subject to the option will vest on the date of the Trigger Event, subject to continued service through both the date of the Trigger Event and April 1, 2013.</w:t>
      </w:r>
    </w:p>
    <w:p>
      <w:pPr>
        <w:spacing w:after="0" w:line="32"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Options vest in four equal annual installments beginning on the first anniversary of April 1, 2011, the vesting commencement date.</w:t>
      </w:r>
    </w:p>
    <w:p>
      <w:pPr>
        <w:spacing w:after="0" w:line="6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2"/>
          </w:tcPr>
          <w:p>
            <w:pPr>
              <w:spacing w:after="0"/>
              <w:rPr>
                <w:sz w:val="20"/>
                <w:szCs w:val="20"/>
                <w:color w:val="auto"/>
              </w:rPr>
            </w:pPr>
            <w:r>
              <w:rPr>
                <w:rFonts w:ascii="Arial" w:cs="Arial" w:eastAsia="Arial" w:hAnsi="Arial"/>
                <w:sz w:val="17"/>
                <w:szCs w:val="17"/>
                <w:color w:val="0000FF"/>
              </w:rPr>
              <w:t>/s/ Clyde R. Hosein</w:t>
            </w:r>
          </w:p>
        </w:tc>
        <w:tc>
          <w:tcPr>
            <w:tcW w:w="960" w:type="dxa"/>
            <w:vAlign w:val="bottom"/>
            <w:gridSpan w:val="2"/>
          </w:tcPr>
          <w:p>
            <w:pPr>
              <w:ind w:left="180"/>
              <w:spacing w:after="0"/>
              <w:rPr>
                <w:sz w:val="20"/>
                <w:szCs w:val="20"/>
                <w:color w:val="auto"/>
              </w:rPr>
            </w:pPr>
            <w:r>
              <w:rPr>
                <w:rFonts w:ascii="Arial" w:cs="Arial" w:eastAsia="Arial" w:hAnsi="Arial"/>
                <w:sz w:val="17"/>
                <w:szCs w:val="17"/>
                <w:color w:val="0000FF"/>
                <w:w w:val="89"/>
              </w:rPr>
              <w:t>05/03/2011</w:t>
            </w:r>
          </w:p>
        </w:tc>
      </w:tr>
      <w:tr>
        <w:trPr>
          <w:trHeight w:val="20"/>
        </w:trPr>
        <w:tc>
          <w:tcPr>
            <w:tcW w:w="134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0"/>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301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2019-12-17T15:21:55Z</dcterms:created>
  <dcterms:modified xsi:type="dcterms:W3CDTF">2019-12-17T15:21:55Z</dcterms:modified>
</cp:coreProperties>
</file>