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5"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2" w:lineRule="exact"/>
        <w:rPr>
          <w:sz w:val="24"/>
          <w:szCs w:val="24"/>
          <w:color w:val="auto"/>
        </w:rPr>
      </w:pPr>
    </w:p>
    <w:p>
      <w:pPr>
        <w:ind w:left="380"/>
        <w:spacing w:after="0" w:line="232"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36195</wp:posOffset>
            </wp:positionH>
            <wp:positionV relativeFrom="paragraph">
              <wp:posOffset>-236855</wp:posOffset>
            </wp:positionV>
            <wp:extent cx="133350" cy="133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350" cy="13335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8"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8"/>
        </w:trPr>
        <w:tc>
          <w:tcPr>
            <w:tcW w:w="6500" w:type="dxa"/>
            <w:vAlign w:val="bottom"/>
          </w:tcPr>
          <w:p>
            <w:pPr>
              <w:jc w:val="center"/>
              <w:ind w:right="255"/>
              <w:spacing w:after="0"/>
              <w:rPr>
                <w:sz w:val="20"/>
                <w:szCs w:val="20"/>
                <w:color w:val="auto"/>
              </w:rPr>
            </w:pPr>
            <w:r>
              <w:rPr>
                <w:rFonts w:ascii="Arial" w:cs="Arial" w:eastAsia="Arial" w:hAnsi="Arial"/>
                <w:sz w:val="21"/>
                <w:szCs w:val="21"/>
                <w:b w:val="1"/>
                <w:bCs w:val="1"/>
                <w:color w:val="auto"/>
                <w:w w:val="99"/>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80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35"/>
              <w:spacing w:after="0" w:line="137"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00" w:type="dxa"/>
            <w:vAlign w:val="bottom"/>
            <w:vMerge w:val="restart"/>
          </w:tcPr>
          <w:p>
            <w:pPr>
              <w:jc w:val="center"/>
              <w:ind w:right="235"/>
              <w:spacing w:after="0" w:line="193"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1"/>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ind w:right="2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0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80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4"/>
        </w:trPr>
        <w:tc>
          <w:tcPr>
            <w:tcW w:w="65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4"/>
        </w:trPr>
        <w:tc>
          <w:tcPr>
            <w:tcW w:w="6500" w:type="dxa"/>
            <w:vAlign w:val="bottom"/>
            <w:vMerge w:val="restart"/>
          </w:tcPr>
          <w:p>
            <w:pPr>
              <w:jc w:val="center"/>
              <w:ind w:right="23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5"/>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5447030</wp:posOffset>
            </wp:positionH>
            <wp:positionV relativeFrom="paragraph">
              <wp:posOffset>-636905</wp:posOffset>
            </wp:positionV>
            <wp:extent cx="58420" cy="6502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50240"/>
                    </a:xfrm>
                    <a:prstGeom prst="rect">
                      <a:avLst/>
                    </a:prstGeom>
                    <a:noFill/>
                  </pic:spPr>
                </pic:pic>
              </a:graphicData>
            </a:graphic>
          </wp:anchor>
        </w:drawing>
        <w:drawing>
          <wp:anchor simplePos="0" relativeHeight="251657728" behindDoc="1" locked="0" layoutInCell="0" allowOverlap="1">
            <wp:simplePos x="0" y="0"/>
            <wp:positionH relativeFrom="column">
              <wp:posOffset>4113530</wp:posOffset>
            </wp:positionH>
            <wp:positionV relativeFrom="paragraph">
              <wp:posOffset>-636905</wp:posOffset>
            </wp:positionV>
            <wp:extent cx="58420" cy="6502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50240"/>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-1736090</wp:posOffset>
            </wp:positionH>
            <wp:positionV relativeFrom="paragraph">
              <wp:posOffset>17780</wp:posOffset>
            </wp:positionV>
            <wp:extent cx="7324725" cy="46170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4617085"/>
                    </a:xfrm>
                    <a:prstGeom prst="rect">
                      <a:avLst/>
                    </a:prstGeom>
                    <a:noFill/>
                  </pic:spPr>
                </pic:pic>
              </a:graphicData>
            </a:graphic>
          </wp:anchor>
        </w:drawing>
      </w:r>
    </w:p>
    <w:p>
      <w:pPr>
        <w:spacing w:after="0" w:line="100" w:lineRule="exact"/>
        <w:rPr>
          <w:sz w:val="24"/>
          <w:szCs w:val="24"/>
          <w:color w:val="auto"/>
        </w:rPr>
      </w:pPr>
    </w:p>
    <w:p>
      <w:pPr>
        <w:sectPr>
          <w:pgSz w:w="11900" w:h="16838" w:orient="portrait"/>
          <w:cols w:equalWidth="0" w:num="2">
            <w:col w:w="2300" w:space="420"/>
            <w:col w:w="8800"/>
          </w:cols>
          <w:pgMar w:left="240" w:top="223" w:right="139" w:bottom="1440" w:gutter="0" w:footer="0" w:header="0"/>
        </w:sectPr>
      </w:pPr>
    </w:p>
    <w:p>
      <w:pPr>
        <w:spacing w:after="0" w:line="5"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HOSEIN CLYDE</w:t>
        </w:r>
      </w:hyperlink>
    </w:p>
    <w:p>
      <w:pPr>
        <w:spacing w:after="0" w:line="312" w:lineRule="exact"/>
        <w:rPr>
          <w:sz w:val="24"/>
          <w:szCs w:val="24"/>
          <w:color w:val="auto"/>
        </w:rPr>
      </w:pPr>
    </w:p>
    <w:tbl>
      <w:tblPr>
        <w:tblLayout w:type="fixed"/>
        <w:tblInd w:w="80" w:type="dxa"/>
        <w:tblCellMar>
          <w:top w:w="0" w:type="dxa"/>
          <w:left w:w="0" w:type="dxa"/>
          <w:bottom w:w="0" w:type="dxa"/>
          <w:right w:w="0" w:type="dxa"/>
        </w:tblCellMar>
      </w:tblPr>
      <w:tr>
        <w:trPr>
          <w:trHeight w:val="157"/>
        </w:trPr>
        <w:tc>
          <w:tcPr>
            <w:tcW w:w="20" w:type="dxa"/>
            <w:vAlign w:val="bottom"/>
          </w:tcPr>
          <w:p>
            <w:pPr>
              <w:spacing w:after="0"/>
              <w:rPr>
                <w:sz w:val="13"/>
                <w:szCs w:val="13"/>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4"/>
        </w:trPr>
        <w:tc>
          <w:tcPr>
            <w:tcW w:w="20" w:type="dxa"/>
            <w:vAlign w:val="bottom"/>
          </w:tcPr>
          <w:p>
            <w:pPr>
              <w:spacing w:after="0"/>
              <w:rPr>
                <w:sz w:val="23"/>
                <w:szCs w:val="23"/>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3"/>
                <w:szCs w:val="23"/>
                <w:color w:val="auto"/>
              </w:rPr>
            </w:pPr>
          </w:p>
        </w:tc>
      </w:tr>
      <w:tr>
        <w:trPr>
          <w:trHeight w:val="206"/>
        </w:trPr>
        <w:tc>
          <w:tcPr>
            <w:tcW w:w="20" w:type="dxa"/>
            <w:vAlign w:val="bottom"/>
          </w:tcPr>
          <w:p>
            <w:pPr>
              <w:spacing w:after="0"/>
              <w:rPr>
                <w:sz w:val="17"/>
                <w:szCs w:val="17"/>
                <w:color w:val="auto"/>
              </w:rPr>
            </w:pPr>
          </w:p>
        </w:tc>
        <w:tc>
          <w:tcPr>
            <w:tcW w:w="860" w:type="dxa"/>
            <w:vAlign w:val="bottom"/>
            <w:tcBorders>
              <w:bottom w:val="single" w:sz="8" w:color="9A9A9A"/>
            </w:tcBorders>
          </w:tcPr>
          <w:p>
            <w:pPr>
              <w:spacing w:after="0"/>
              <w:rPr>
                <w:sz w:val="17"/>
                <w:szCs w:val="17"/>
                <w:color w:val="auto"/>
              </w:rPr>
            </w:pPr>
          </w:p>
        </w:tc>
        <w:tc>
          <w:tcPr>
            <w:tcW w:w="1280" w:type="dxa"/>
            <w:vAlign w:val="bottom"/>
            <w:tcBorders>
              <w:bottom w:val="single" w:sz="8" w:color="9A9A9A"/>
            </w:tcBorders>
          </w:tcPr>
          <w:p>
            <w:pPr>
              <w:spacing w:after="0"/>
              <w:rPr>
                <w:sz w:val="17"/>
                <w:szCs w:val="17"/>
                <w:color w:val="auto"/>
              </w:rPr>
            </w:pPr>
          </w:p>
        </w:tc>
        <w:tc>
          <w:tcPr>
            <w:tcW w:w="1660" w:type="dxa"/>
            <w:vAlign w:val="bottom"/>
            <w:tcBorders>
              <w:bottom w:val="single" w:sz="8" w:color="9A9A9A"/>
            </w:tcBorders>
          </w:tcPr>
          <w:p>
            <w:pPr>
              <w:spacing w:after="0"/>
              <w:rPr>
                <w:sz w:val="17"/>
                <w:szCs w:val="17"/>
                <w:color w:val="auto"/>
              </w:rPr>
            </w:pPr>
          </w:p>
        </w:tc>
      </w:tr>
      <w:tr>
        <w:trPr>
          <w:trHeight w:val="261"/>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60" w:type="dxa"/>
            <w:vAlign w:val="bottom"/>
          </w:tcPr>
          <w:p>
            <w:pPr>
              <w:spacing w:after="0"/>
              <w:rPr>
                <w:sz w:val="22"/>
                <w:szCs w:val="22"/>
                <w:color w:val="auto"/>
              </w:rPr>
            </w:pPr>
          </w:p>
        </w:tc>
      </w:tr>
      <w:tr>
        <w:trPr>
          <w:trHeight w:val="235"/>
        </w:trPr>
        <w:tc>
          <w:tcPr>
            <w:tcW w:w="20" w:type="dxa"/>
            <w:vAlign w:val="bottom"/>
          </w:tcPr>
          <w:p>
            <w:pPr>
              <w:spacing w:after="0"/>
              <w:rPr>
                <w:sz w:val="20"/>
                <w:szCs w:val="20"/>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3"/>
        </w:trPr>
        <w:tc>
          <w:tcPr>
            <w:tcW w:w="20" w:type="dxa"/>
            <w:vAlign w:val="bottom"/>
          </w:tcPr>
          <w:p>
            <w:pPr>
              <w:spacing w:after="0"/>
              <w:rPr>
                <w:sz w:val="13"/>
                <w:szCs w:val="13"/>
                <w:color w:val="auto"/>
              </w:rPr>
            </w:pPr>
          </w:p>
        </w:tc>
        <w:tc>
          <w:tcPr>
            <w:tcW w:w="86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0"/>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1"/>
        </w:trPr>
        <w:tc>
          <w:tcPr>
            <w:tcW w:w="60" w:type="dxa"/>
            <w:vAlign w:val="bottom"/>
          </w:tcPr>
          <w:p>
            <w:pPr>
              <w:spacing w:after="0"/>
              <w:rPr>
                <w:sz w:val="18"/>
                <w:szCs w:val="18"/>
                <w:color w:val="auto"/>
              </w:rPr>
            </w:pPr>
          </w:p>
        </w:tc>
        <w:tc>
          <w:tcPr>
            <w:tcW w:w="3920" w:type="dxa"/>
            <w:vAlign w:val="bottom"/>
            <w:gridSpan w:val="2"/>
          </w:tcPr>
          <w:p>
            <w:pPr>
              <w:spacing w:after="0" w:line="205"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1"/>
        </w:trPr>
        <w:tc>
          <w:tcPr>
            <w:tcW w:w="60" w:type="dxa"/>
            <w:vAlign w:val="bottom"/>
          </w:tcPr>
          <w:p>
            <w:pPr>
              <w:spacing w:after="0"/>
              <w:rPr>
                <w:sz w:val="11"/>
                <w:szCs w:val="11"/>
                <w:color w:val="auto"/>
              </w:rPr>
            </w:pPr>
          </w:p>
        </w:tc>
        <w:tc>
          <w:tcPr>
            <w:tcW w:w="3700" w:type="dxa"/>
            <w:vAlign w:val="bottom"/>
            <w:tcBorders>
              <w:top w:val="single" w:sz="8" w:color="0000EE"/>
            </w:tcBorders>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0"/>
                <w:szCs w:val="20"/>
                <w:color w:val="000000"/>
              </w:rPr>
              <w:t>]</w:t>
            </w:r>
          </w:p>
        </w:tc>
        <w:tc>
          <w:tcPr>
            <w:tcW w:w="220" w:type="dxa"/>
            <w:vAlign w:val="bottom"/>
            <w:vMerge w:val="restart"/>
          </w:tcPr>
          <w:p>
            <w:pPr>
              <w:spacing w:after="0"/>
              <w:rPr>
                <w:sz w:val="11"/>
                <w:szCs w:val="11"/>
                <w:color w:val="auto"/>
              </w:rPr>
            </w:pPr>
          </w:p>
        </w:tc>
        <w:tc>
          <w:tcPr>
            <w:tcW w:w="500" w:type="dxa"/>
            <w:vAlign w:val="bottom"/>
          </w:tcPr>
          <w:p>
            <w:pPr>
              <w:spacing w:after="0"/>
              <w:rPr>
                <w:sz w:val="11"/>
                <w:szCs w:val="11"/>
                <w:color w:val="auto"/>
              </w:rPr>
            </w:pPr>
          </w:p>
        </w:tc>
        <w:tc>
          <w:tcPr>
            <w:tcW w:w="1400" w:type="dxa"/>
            <w:vAlign w:val="bottom"/>
          </w:tcPr>
          <w:p>
            <w:pPr>
              <w:ind w:left="100"/>
              <w:spacing w:after="0" w:line="131" w:lineRule="exact"/>
              <w:rPr>
                <w:sz w:val="20"/>
                <w:szCs w:val="20"/>
                <w:color w:val="auto"/>
              </w:rPr>
            </w:pPr>
            <w:r>
              <w:rPr>
                <w:rFonts w:ascii="Arial" w:cs="Arial" w:eastAsia="Arial" w:hAnsi="Arial"/>
                <w:sz w:val="13"/>
                <w:szCs w:val="13"/>
                <w:color w:val="auto"/>
              </w:rPr>
              <w:t>Director</w:t>
            </w:r>
          </w:p>
        </w:tc>
        <w:tc>
          <w:tcPr>
            <w:tcW w:w="1520" w:type="dxa"/>
            <w:vAlign w:val="bottom"/>
          </w:tcPr>
          <w:p>
            <w:pPr>
              <w:ind w:left="340"/>
              <w:spacing w:after="0" w:line="131"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41"/>
        </w:trPr>
        <w:tc>
          <w:tcPr>
            <w:tcW w:w="60" w:type="dxa"/>
            <w:vAlign w:val="bottom"/>
          </w:tcPr>
          <w:p>
            <w:pPr>
              <w:spacing w:after="0"/>
              <w:rPr>
                <w:sz w:val="12"/>
                <w:szCs w:val="12"/>
                <w:color w:val="auto"/>
              </w:rPr>
            </w:pPr>
          </w:p>
        </w:tc>
        <w:tc>
          <w:tcPr>
            <w:tcW w:w="3700" w:type="dxa"/>
            <w:vAlign w:val="bottom"/>
            <w:vMerge w:val="continue"/>
          </w:tcPr>
          <w:p>
            <w:pPr>
              <w:spacing w:after="0"/>
              <w:rPr>
                <w:sz w:val="12"/>
                <w:szCs w:val="12"/>
                <w:color w:val="auto"/>
              </w:rPr>
            </w:pPr>
          </w:p>
        </w:tc>
        <w:tc>
          <w:tcPr>
            <w:tcW w:w="220" w:type="dxa"/>
            <w:vAlign w:val="bottom"/>
            <w:vMerge w:val="continue"/>
          </w:tcPr>
          <w:p>
            <w:pPr>
              <w:spacing w:after="0"/>
              <w:rPr>
                <w:sz w:val="12"/>
                <w:szCs w:val="12"/>
                <w:color w:val="auto"/>
              </w:rPr>
            </w:pPr>
          </w:p>
        </w:tc>
        <w:tc>
          <w:tcPr>
            <w:tcW w:w="500" w:type="dxa"/>
            <w:vAlign w:val="bottom"/>
            <w:vMerge w:val="restart"/>
          </w:tcPr>
          <w:p>
            <w:pPr>
              <w:ind w:left="260"/>
              <w:spacing w:after="0"/>
              <w:rPr>
                <w:sz w:val="20"/>
                <w:szCs w:val="20"/>
                <w:color w:val="auto"/>
              </w:rPr>
            </w:pPr>
            <w:r>
              <w:rPr>
                <w:rFonts w:ascii="Arial" w:cs="Arial" w:eastAsia="Arial" w:hAnsi="Arial"/>
                <w:sz w:val="17"/>
                <w:szCs w:val="17"/>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520" w:type="dxa"/>
            <w:vAlign w:val="bottom"/>
            <w:vMerge w:val="restart"/>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2"/>
        </w:trPr>
        <w:tc>
          <w:tcPr>
            <w:tcW w:w="60" w:type="dxa"/>
            <w:vAlign w:val="bottom"/>
          </w:tcPr>
          <w:p>
            <w:pPr>
              <w:spacing w:after="0"/>
              <w:rPr>
                <w:sz w:val="3"/>
                <w:szCs w:val="3"/>
                <w:color w:val="auto"/>
              </w:rPr>
            </w:pPr>
          </w:p>
        </w:tc>
        <w:tc>
          <w:tcPr>
            <w:tcW w:w="3700" w:type="dxa"/>
            <w:vAlign w:val="bottom"/>
          </w:tcPr>
          <w:p>
            <w:pPr>
              <w:spacing w:after="0"/>
              <w:rPr>
                <w:sz w:val="3"/>
                <w:szCs w:val="3"/>
                <w:color w:val="auto"/>
              </w:rPr>
            </w:pPr>
          </w:p>
        </w:tc>
        <w:tc>
          <w:tcPr>
            <w:tcW w:w="220" w:type="dxa"/>
            <w:vAlign w:val="bottom"/>
          </w:tcPr>
          <w:p>
            <w:pPr>
              <w:spacing w:after="0"/>
              <w:rPr>
                <w:sz w:val="3"/>
                <w:szCs w:val="3"/>
                <w:color w:val="auto"/>
              </w:rPr>
            </w:pPr>
          </w:p>
        </w:tc>
        <w:tc>
          <w:tcPr>
            <w:tcW w:w="500" w:type="dxa"/>
            <w:vAlign w:val="bottom"/>
            <w:vMerge w:val="continue"/>
          </w:tcPr>
          <w:p>
            <w:pPr>
              <w:spacing w:after="0"/>
              <w:rPr>
                <w:sz w:val="3"/>
                <w:szCs w:val="3"/>
                <w:color w:val="auto"/>
              </w:rPr>
            </w:pPr>
          </w:p>
        </w:tc>
        <w:tc>
          <w:tcPr>
            <w:tcW w:w="1400" w:type="dxa"/>
            <w:vAlign w:val="bottom"/>
            <w:vMerge w:val="continue"/>
          </w:tcPr>
          <w:p>
            <w:pPr>
              <w:spacing w:after="0"/>
              <w:rPr>
                <w:sz w:val="3"/>
                <w:szCs w:val="3"/>
                <w:color w:val="auto"/>
              </w:rPr>
            </w:pPr>
          </w:p>
        </w:tc>
        <w:tc>
          <w:tcPr>
            <w:tcW w:w="152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6"/>
        </w:trPr>
        <w:tc>
          <w:tcPr>
            <w:tcW w:w="60" w:type="dxa"/>
            <w:vAlign w:val="bottom"/>
            <w:tcBorders>
              <w:bottom w:val="single" w:sz="8" w:color="2C2C2C"/>
            </w:tcBorders>
          </w:tcPr>
          <w:p>
            <w:pPr>
              <w:spacing w:after="0"/>
              <w:rPr>
                <w:sz w:val="7"/>
                <w:szCs w:val="7"/>
                <w:color w:val="auto"/>
              </w:rPr>
            </w:pPr>
          </w:p>
        </w:tc>
        <w:tc>
          <w:tcPr>
            <w:tcW w:w="3700" w:type="dxa"/>
            <w:vAlign w:val="bottom"/>
            <w:tcBorders>
              <w:bottom w:val="single" w:sz="8" w:color="2C2C2C"/>
            </w:tcBorders>
          </w:tcPr>
          <w:p>
            <w:pPr>
              <w:spacing w:after="0"/>
              <w:rPr>
                <w:sz w:val="7"/>
                <w:szCs w:val="7"/>
                <w:color w:val="auto"/>
              </w:rPr>
            </w:pPr>
          </w:p>
        </w:tc>
        <w:tc>
          <w:tcPr>
            <w:tcW w:w="220" w:type="dxa"/>
            <w:vAlign w:val="bottom"/>
            <w:tcBorders>
              <w:bottom w:val="single" w:sz="8" w:color="2C2C2C"/>
            </w:tcBorders>
          </w:tcPr>
          <w:p>
            <w:pPr>
              <w:spacing w:after="0"/>
              <w:rPr>
                <w:sz w:val="7"/>
                <w:szCs w:val="7"/>
                <w:color w:val="auto"/>
              </w:rPr>
            </w:pPr>
          </w:p>
        </w:tc>
        <w:tc>
          <w:tcPr>
            <w:tcW w:w="500" w:type="dxa"/>
            <w:vAlign w:val="bottom"/>
            <w:vMerge w:val="continue"/>
          </w:tcPr>
          <w:p>
            <w:pPr>
              <w:spacing w:after="0"/>
              <w:rPr>
                <w:sz w:val="7"/>
                <w:szCs w:val="7"/>
                <w:color w:val="auto"/>
              </w:rPr>
            </w:pP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520" w:type="dxa"/>
            <w:vAlign w:val="bottom"/>
            <w:vMerge w:val="restart"/>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60" w:type="dxa"/>
            <w:vAlign w:val="bottom"/>
          </w:tcPr>
          <w:p>
            <w:pPr>
              <w:spacing w:after="0"/>
              <w:rPr>
                <w:sz w:val="4"/>
                <w:szCs w:val="4"/>
                <w:color w:val="auto"/>
              </w:rPr>
            </w:pPr>
          </w:p>
        </w:tc>
        <w:tc>
          <w:tcPr>
            <w:tcW w:w="392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4"/>
                <w:szCs w:val="4"/>
                <w:color w:val="auto"/>
              </w:rPr>
            </w:pPr>
          </w:p>
        </w:tc>
        <w:tc>
          <w:tcPr>
            <w:tcW w:w="1400" w:type="dxa"/>
            <w:vAlign w:val="bottom"/>
            <w:vMerge w:val="continue"/>
          </w:tcPr>
          <w:p>
            <w:pPr>
              <w:spacing w:after="0"/>
              <w:rPr>
                <w:sz w:val="4"/>
                <w:szCs w:val="4"/>
                <w:color w:val="auto"/>
              </w:rPr>
            </w:pPr>
          </w:p>
        </w:tc>
        <w:tc>
          <w:tcPr>
            <w:tcW w:w="15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7"/>
        </w:trPr>
        <w:tc>
          <w:tcPr>
            <w:tcW w:w="60" w:type="dxa"/>
            <w:vAlign w:val="bottom"/>
          </w:tcPr>
          <w:p>
            <w:pPr>
              <w:spacing w:after="0"/>
              <w:rPr>
                <w:sz w:val="11"/>
                <w:szCs w:val="11"/>
                <w:color w:val="auto"/>
              </w:rPr>
            </w:pPr>
          </w:p>
        </w:tc>
        <w:tc>
          <w:tcPr>
            <w:tcW w:w="3920" w:type="dxa"/>
            <w:vAlign w:val="bottom"/>
            <w:gridSpan w:val="2"/>
            <w:vMerge w:val="continue"/>
          </w:tcPr>
          <w:p>
            <w:pPr>
              <w:spacing w:after="0"/>
              <w:rPr>
                <w:sz w:val="11"/>
                <w:szCs w:val="11"/>
                <w:color w:val="auto"/>
              </w:rPr>
            </w:pPr>
          </w:p>
        </w:tc>
        <w:tc>
          <w:tcPr>
            <w:tcW w:w="500" w:type="dxa"/>
            <w:vAlign w:val="bottom"/>
          </w:tcPr>
          <w:p>
            <w:pPr>
              <w:spacing w:after="0"/>
              <w:rPr>
                <w:sz w:val="11"/>
                <w:szCs w:val="11"/>
                <w:color w:val="auto"/>
              </w:rPr>
            </w:pPr>
          </w:p>
        </w:tc>
        <w:tc>
          <w:tcPr>
            <w:tcW w:w="2920" w:type="dxa"/>
            <w:vAlign w:val="bottom"/>
            <w:gridSpan w:val="2"/>
            <w:vMerge w:val="restart"/>
          </w:tcPr>
          <w:p>
            <w:pPr>
              <w:ind w:left="560"/>
              <w:spacing w:after="0"/>
              <w:rPr>
                <w:sz w:val="20"/>
                <w:szCs w:val="20"/>
                <w:color w:val="auto"/>
              </w:rPr>
            </w:pPr>
            <w:r>
              <w:rPr>
                <w:rFonts w:ascii="Arial" w:cs="Arial" w:eastAsia="Arial" w:hAnsi="Arial"/>
                <w:sz w:val="17"/>
                <w:szCs w:val="17"/>
                <w:color w:val="0000FF"/>
              </w:rPr>
              <w:t>CFO and Secretary</w:t>
            </w:r>
          </w:p>
        </w:tc>
        <w:tc>
          <w:tcPr>
            <w:tcW w:w="0" w:type="dxa"/>
            <w:vAlign w:val="bottom"/>
          </w:tcPr>
          <w:p>
            <w:pPr>
              <w:spacing w:after="0"/>
              <w:rPr>
                <w:sz w:val="1"/>
                <w:szCs w:val="1"/>
                <w:color w:val="auto"/>
              </w:rPr>
            </w:pPr>
          </w:p>
        </w:tc>
      </w:tr>
      <w:tr>
        <w:trPr>
          <w:trHeight w:val="111"/>
        </w:trPr>
        <w:tc>
          <w:tcPr>
            <w:tcW w:w="3760" w:type="dxa"/>
            <w:vAlign w:val="bottom"/>
            <w:gridSpan w:val="2"/>
            <w:vMerge w:val="restart"/>
          </w:tcPr>
          <w:p>
            <w:pPr>
              <w:ind w:left="60"/>
              <w:spacing w:after="0"/>
              <w:rPr>
                <w:sz w:val="20"/>
                <w:szCs w:val="20"/>
                <w:color w:val="auto"/>
              </w:rPr>
            </w:pPr>
            <w:r>
              <w:rPr>
                <w:rFonts w:ascii="Arial" w:cs="Arial" w:eastAsia="Arial" w:hAnsi="Arial"/>
                <w:sz w:val="17"/>
                <w:szCs w:val="17"/>
                <w:color w:val="0000FF"/>
              </w:rPr>
              <w:t>08/29/2011</w:t>
            </w:r>
          </w:p>
        </w:tc>
        <w:tc>
          <w:tcPr>
            <w:tcW w:w="220" w:type="dxa"/>
            <w:vAlign w:val="bottom"/>
          </w:tcPr>
          <w:p>
            <w:pPr>
              <w:spacing w:after="0"/>
              <w:rPr>
                <w:sz w:val="9"/>
                <w:szCs w:val="9"/>
                <w:color w:val="auto"/>
              </w:rPr>
            </w:pPr>
          </w:p>
        </w:tc>
        <w:tc>
          <w:tcPr>
            <w:tcW w:w="500" w:type="dxa"/>
            <w:vAlign w:val="bottom"/>
          </w:tcPr>
          <w:p>
            <w:pPr>
              <w:spacing w:after="0"/>
              <w:rPr>
                <w:sz w:val="9"/>
                <w:szCs w:val="9"/>
                <w:color w:val="auto"/>
              </w:rPr>
            </w:pPr>
          </w:p>
        </w:tc>
        <w:tc>
          <w:tcPr>
            <w:tcW w:w="29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5"/>
        </w:trPr>
        <w:tc>
          <w:tcPr>
            <w:tcW w:w="3760" w:type="dxa"/>
            <w:vAlign w:val="bottom"/>
            <w:gridSpan w:val="2"/>
            <w:vMerge w:val="continue"/>
          </w:tcPr>
          <w:p>
            <w:pPr>
              <w:spacing w:after="0"/>
              <w:rPr>
                <w:sz w:val="9"/>
                <w:szCs w:val="9"/>
                <w:color w:val="auto"/>
              </w:rPr>
            </w:pPr>
          </w:p>
        </w:tc>
        <w:tc>
          <w:tcPr>
            <w:tcW w:w="220" w:type="dxa"/>
            <w:vAlign w:val="bottom"/>
          </w:tcPr>
          <w:p>
            <w:pPr>
              <w:spacing w:after="0"/>
              <w:rPr>
                <w:sz w:val="9"/>
                <w:szCs w:val="9"/>
                <w:color w:val="auto"/>
              </w:rPr>
            </w:pPr>
          </w:p>
        </w:tc>
        <w:tc>
          <w:tcPr>
            <w:tcW w:w="500" w:type="dxa"/>
            <w:vAlign w:val="bottom"/>
          </w:tcPr>
          <w:p>
            <w:pPr>
              <w:spacing w:after="0"/>
              <w:rPr>
                <w:sz w:val="9"/>
                <w:szCs w:val="9"/>
                <w:color w:val="auto"/>
              </w:rPr>
            </w:pPr>
          </w:p>
        </w:tc>
        <w:tc>
          <w:tcPr>
            <w:tcW w:w="1400" w:type="dxa"/>
            <w:vAlign w:val="bottom"/>
          </w:tcPr>
          <w:p>
            <w:pPr>
              <w:spacing w:after="0"/>
              <w:rPr>
                <w:sz w:val="9"/>
                <w:szCs w:val="9"/>
                <w:color w:val="auto"/>
              </w:rPr>
            </w:pPr>
          </w:p>
        </w:tc>
        <w:tc>
          <w:tcPr>
            <w:tcW w:w="15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7"/>
        </w:trPr>
        <w:tc>
          <w:tcPr>
            <w:tcW w:w="60" w:type="dxa"/>
            <w:vAlign w:val="bottom"/>
            <w:tcBorders>
              <w:bottom w:val="single" w:sz="8" w:color="2C2C2C"/>
            </w:tcBorders>
          </w:tcPr>
          <w:p>
            <w:pPr>
              <w:spacing w:after="0"/>
              <w:rPr>
                <w:sz w:val="11"/>
                <w:szCs w:val="11"/>
                <w:color w:val="auto"/>
              </w:rPr>
            </w:pPr>
          </w:p>
        </w:tc>
        <w:tc>
          <w:tcPr>
            <w:tcW w:w="3700" w:type="dxa"/>
            <w:vAlign w:val="bottom"/>
            <w:tcBorders>
              <w:bottom w:val="single" w:sz="8" w:color="2C2C2C"/>
            </w:tcBorders>
          </w:tcPr>
          <w:p>
            <w:pPr>
              <w:spacing w:after="0"/>
              <w:rPr>
                <w:sz w:val="11"/>
                <w:szCs w:val="11"/>
                <w:color w:val="auto"/>
              </w:rPr>
            </w:pPr>
          </w:p>
        </w:tc>
        <w:tc>
          <w:tcPr>
            <w:tcW w:w="220" w:type="dxa"/>
            <w:vAlign w:val="bottom"/>
            <w:tcBorders>
              <w:bottom w:val="single" w:sz="8" w:color="2C2C2C"/>
            </w:tcBorders>
          </w:tcPr>
          <w:p>
            <w:pPr>
              <w:spacing w:after="0"/>
              <w:rPr>
                <w:sz w:val="11"/>
                <w:szCs w:val="11"/>
                <w:color w:val="auto"/>
              </w:rPr>
            </w:pPr>
          </w:p>
        </w:tc>
        <w:tc>
          <w:tcPr>
            <w:tcW w:w="34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6"/>
        </w:trPr>
        <w:tc>
          <w:tcPr>
            <w:tcW w:w="60" w:type="dxa"/>
            <w:vAlign w:val="bottom"/>
          </w:tcPr>
          <w:p>
            <w:pPr>
              <w:spacing w:after="0"/>
              <w:rPr>
                <w:sz w:val="17"/>
                <w:szCs w:val="17"/>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40"/>
        <w:spacing w:after="0" w:line="224" w:lineRule="auto"/>
        <w:tabs>
          <w:tab w:leader="none" w:pos="456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9" w:lineRule="exact"/>
        <w:rPr>
          <w:sz w:val="24"/>
          <w:szCs w:val="24"/>
          <w:color w:val="auto"/>
        </w:rPr>
      </w:pPr>
    </w:p>
    <w:p>
      <w:pPr>
        <w:ind w:left="4580"/>
        <w:spacing w:after="0"/>
        <w:rPr>
          <w:sz w:val="20"/>
          <w:szCs w:val="20"/>
          <w:color w:val="auto"/>
        </w:rPr>
      </w:pPr>
      <w:r>
        <w:rPr>
          <w:rFonts w:ascii="Arial" w:cs="Arial" w:eastAsia="Arial" w:hAnsi="Arial"/>
          <w:sz w:val="13"/>
          <w:szCs w:val="13"/>
          <w:color w:val="auto"/>
        </w:rPr>
        <w:t>Form filed by More than One Reporting</w:t>
      </w:r>
    </w:p>
    <w:p>
      <w:pPr>
        <w:ind w:left="4580"/>
        <w:spacing w:after="0"/>
        <w:rPr>
          <w:sz w:val="20"/>
          <w:szCs w:val="20"/>
          <w:color w:val="auto"/>
        </w:rPr>
      </w:pPr>
      <w:r>
        <w:rPr>
          <w:rFonts w:ascii="Arial" w:cs="Arial" w:eastAsia="Arial" w:hAnsi="Arial"/>
          <w:sz w:val="13"/>
          <w:szCs w:val="13"/>
          <w:color w:val="auto"/>
        </w:rPr>
        <w:t>Person</w:t>
      </w:r>
    </w:p>
    <w:p>
      <w:pPr>
        <w:spacing w:after="0" w:line="306" w:lineRule="exact"/>
        <w:rPr>
          <w:sz w:val="24"/>
          <w:szCs w:val="24"/>
          <w:color w:val="auto"/>
        </w:rPr>
      </w:pPr>
    </w:p>
    <w:p>
      <w:pPr>
        <w:sectPr>
          <w:pgSz w:w="11900" w:h="16838" w:orient="portrait"/>
          <w:cols w:equalWidth="0" w:num="2">
            <w:col w:w="3900" w:space="100"/>
            <w:col w:w="7520"/>
          </w:cols>
          <w:pgMar w:left="240" w:top="223"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8"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tcPr>
          <w:p>
            <w:pPr>
              <w:ind w:left="86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1000" w:type="dxa"/>
            <w:vAlign w:val="bottom"/>
          </w:tcPr>
          <w:p>
            <w:pPr>
              <w:ind w:left="1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ind w:left="860"/>
              <w:spacing w:after="0" w:line="129"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Disposed Of (D) (Instr. 3, 4 and 5)</w:t>
            </w:r>
          </w:p>
        </w:tc>
        <w:tc>
          <w:tcPr>
            <w:tcW w:w="114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Securities</w:t>
            </w:r>
          </w:p>
        </w:tc>
        <w:tc>
          <w:tcPr>
            <w:tcW w:w="100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100"/>
              <w:spacing w:after="0" w:line="129" w:lineRule="exact"/>
              <w:rPr>
                <w:sz w:val="20"/>
                <w:szCs w:val="20"/>
                <w:color w:val="auto"/>
              </w:rPr>
            </w:pPr>
            <w:r>
              <w:rPr>
                <w:rFonts w:ascii="Arial" w:cs="Arial" w:eastAsia="Arial" w:hAnsi="Arial"/>
                <w:sz w:val="12"/>
                <w:szCs w:val="12"/>
                <w:b w:val="1"/>
                <w:bCs w:val="1"/>
                <w:color w:val="auto"/>
              </w:rPr>
              <w:t>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ind w:left="86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1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Beneficially</w:t>
            </w:r>
          </w:p>
        </w:tc>
        <w:tc>
          <w:tcPr>
            <w:tcW w:w="100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1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Owned Following</w:t>
            </w:r>
          </w:p>
        </w:tc>
        <w:tc>
          <w:tcPr>
            <w:tcW w:w="100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2600" w:type="dxa"/>
            <w:vAlign w:val="bottom"/>
          </w:tcPr>
          <w:p>
            <w:pPr>
              <w:spacing w:after="0"/>
              <w:rPr>
                <w:sz w:val="6"/>
                <w:szCs w:val="6"/>
                <w:color w:val="auto"/>
              </w:rPr>
            </w:pPr>
          </w:p>
        </w:tc>
        <w:tc>
          <w:tcPr>
            <w:tcW w:w="19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1140" w:type="dxa"/>
            <w:vAlign w:val="bottom"/>
            <w:vMerge w:val="restart"/>
          </w:tcPr>
          <w:p>
            <w:pPr>
              <w:ind w:left="60"/>
              <w:spacing w:after="0" w:line="132" w:lineRule="exact"/>
              <w:rPr>
                <w:sz w:val="20"/>
                <w:szCs w:val="20"/>
                <w:color w:val="auto"/>
              </w:rPr>
            </w:pPr>
            <w:r>
              <w:rPr>
                <w:rFonts w:ascii="Arial" w:cs="Arial" w:eastAsia="Arial" w:hAnsi="Arial"/>
                <w:sz w:val="12"/>
                <w:szCs w:val="12"/>
                <w:b w:val="1"/>
                <w:bCs w:val="1"/>
                <w:color w:val="auto"/>
              </w:rPr>
              <w:t>Reported</w:t>
            </w:r>
          </w:p>
        </w:tc>
        <w:tc>
          <w:tcPr>
            <w:tcW w:w="1000" w:type="dxa"/>
            <w:vAlign w:val="bottom"/>
          </w:tcPr>
          <w:p>
            <w:pPr>
              <w:spacing w:after="0"/>
              <w:rPr>
                <w:sz w:val="6"/>
                <w:szCs w:val="6"/>
                <w:color w:val="auto"/>
              </w:rPr>
            </w:pPr>
          </w:p>
        </w:tc>
        <w:tc>
          <w:tcPr>
            <w:tcW w:w="840" w:type="dxa"/>
            <w:vAlign w:val="bottom"/>
            <w:vMerge w:val="restart"/>
          </w:tcPr>
          <w:p>
            <w:pPr>
              <w:ind w:left="100"/>
              <w:spacing w:after="0" w:line="132"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2600" w:type="dxa"/>
            <w:vAlign w:val="bottom"/>
          </w:tcPr>
          <w:p>
            <w:pPr>
              <w:spacing w:after="0"/>
              <w:rPr>
                <w:sz w:val="3"/>
                <w:szCs w:val="3"/>
                <w:color w:val="auto"/>
              </w:rPr>
            </w:pPr>
          </w:p>
        </w:tc>
        <w:tc>
          <w:tcPr>
            <w:tcW w:w="19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00" w:type="dxa"/>
            <w:vAlign w:val="bottom"/>
          </w:tcPr>
          <w:p>
            <w:pPr>
              <w:spacing w:after="0"/>
              <w:rPr>
                <w:sz w:val="3"/>
                <w:szCs w:val="3"/>
                <w:color w:val="auto"/>
              </w:rPr>
            </w:pPr>
          </w:p>
        </w:tc>
        <w:tc>
          <w:tcPr>
            <w:tcW w:w="620" w:type="dxa"/>
            <w:vAlign w:val="bottom"/>
          </w:tcPr>
          <w:p>
            <w:pPr>
              <w:spacing w:after="0"/>
              <w:rPr>
                <w:sz w:val="3"/>
                <w:szCs w:val="3"/>
                <w:color w:val="auto"/>
              </w:rPr>
            </w:pPr>
          </w:p>
        </w:tc>
        <w:tc>
          <w:tcPr>
            <w:tcW w:w="700" w:type="dxa"/>
            <w:vAlign w:val="bottom"/>
          </w:tcPr>
          <w:p>
            <w:pPr>
              <w:spacing w:after="0"/>
              <w:rPr>
                <w:sz w:val="3"/>
                <w:szCs w:val="3"/>
                <w:color w:val="auto"/>
              </w:rPr>
            </w:pPr>
          </w:p>
        </w:tc>
        <w:tc>
          <w:tcPr>
            <w:tcW w:w="1140" w:type="dxa"/>
            <w:vAlign w:val="bottom"/>
            <w:vMerge w:val="continue"/>
          </w:tcPr>
          <w:p>
            <w:pPr>
              <w:spacing w:after="0"/>
              <w:rPr>
                <w:sz w:val="3"/>
                <w:szCs w:val="3"/>
                <w:color w:val="auto"/>
              </w:rPr>
            </w:pPr>
          </w:p>
        </w:tc>
        <w:tc>
          <w:tcPr>
            <w:tcW w:w="100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ind w:left="200"/>
              <w:spacing w:after="0" w:line="132" w:lineRule="exact"/>
              <w:rPr>
                <w:sz w:val="20"/>
                <w:szCs w:val="20"/>
                <w:color w:val="auto"/>
              </w:rPr>
            </w:pPr>
            <w:r>
              <w:rPr>
                <w:rFonts w:ascii="Arial" w:cs="Arial" w:eastAsia="Arial" w:hAnsi="Arial"/>
                <w:sz w:val="12"/>
                <w:szCs w:val="12"/>
                <w:b w:val="1"/>
                <w:bCs w:val="1"/>
                <w:color w:val="auto"/>
              </w:rPr>
              <w:t>(A) or</w:t>
            </w:r>
          </w:p>
        </w:tc>
        <w:tc>
          <w:tcPr>
            <w:tcW w:w="70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Price</w:t>
            </w:r>
          </w:p>
        </w:tc>
        <w:tc>
          <w:tcPr>
            <w:tcW w:w="11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Transaction(s)</w:t>
            </w:r>
          </w:p>
        </w:tc>
        <w:tc>
          <w:tcPr>
            <w:tcW w:w="10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600" w:type="dxa"/>
            <w:vAlign w:val="bottom"/>
          </w:tcPr>
          <w:p>
            <w:pPr>
              <w:spacing w:after="0"/>
              <w:rPr>
                <w:sz w:val="7"/>
                <w:szCs w:val="7"/>
                <w:color w:val="auto"/>
              </w:rPr>
            </w:pPr>
          </w:p>
        </w:tc>
        <w:tc>
          <w:tcPr>
            <w:tcW w:w="19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700" w:type="dxa"/>
            <w:vAlign w:val="bottom"/>
            <w:vMerge w:val="continue"/>
          </w:tcPr>
          <w:p>
            <w:pPr>
              <w:spacing w:after="0"/>
              <w:rPr>
                <w:sz w:val="7"/>
                <w:szCs w:val="7"/>
                <w:color w:val="auto"/>
              </w:rPr>
            </w:pPr>
          </w:p>
        </w:tc>
        <w:tc>
          <w:tcPr>
            <w:tcW w:w="11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1000" w:type="dxa"/>
            <w:vAlign w:val="bottom"/>
          </w:tcPr>
          <w:p>
            <w:pPr>
              <w:spacing w:after="0"/>
              <w:rPr>
                <w:sz w:val="7"/>
                <w:szCs w:val="7"/>
                <w:color w:val="auto"/>
              </w:rPr>
            </w:pPr>
          </w:p>
        </w:tc>
        <w:tc>
          <w:tcPr>
            <w:tcW w:w="8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2600" w:type="dxa"/>
            <w:vAlign w:val="bottom"/>
          </w:tcPr>
          <w:p>
            <w:pPr>
              <w:spacing w:after="0"/>
              <w:rPr>
                <w:sz w:val="5"/>
                <w:szCs w:val="5"/>
                <w:color w:val="auto"/>
              </w:rPr>
            </w:pPr>
          </w:p>
        </w:tc>
        <w:tc>
          <w:tcPr>
            <w:tcW w:w="19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0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1140" w:type="dxa"/>
            <w:vAlign w:val="bottom"/>
            <w:vMerge w:val="continue"/>
          </w:tcPr>
          <w:p>
            <w:pPr>
              <w:spacing w:after="0"/>
              <w:rPr>
                <w:sz w:val="5"/>
                <w:szCs w:val="5"/>
                <w:color w:val="auto"/>
              </w:rPr>
            </w:pPr>
          </w:p>
        </w:tc>
        <w:tc>
          <w:tcPr>
            <w:tcW w:w="1000" w:type="dxa"/>
            <w:vAlign w:val="bottom"/>
          </w:tcPr>
          <w:p>
            <w:pPr>
              <w:spacing w:after="0"/>
              <w:rPr>
                <w:sz w:val="5"/>
                <w:szCs w:val="5"/>
                <w:color w:val="auto"/>
              </w:rPr>
            </w:pPr>
          </w:p>
        </w:tc>
        <w:tc>
          <w:tcPr>
            <w:tcW w:w="8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1"/>
        </w:trPr>
        <w:tc>
          <w:tcPr>
            <w:tcW w:w="20" w:type="dxa"/>
            <w:vAlign w:val="bottom"/>
            <w:tcBorders>
              <w:bottom w:val="single" w:sz="8" w:color="2C2C2C"/>
            </w:tcBorders>
          </w:tcPr>
          <w:p>
            <w:pPr>
              <w:spacing w:after="0"/>
              <w:rPr>
                <w:sz w:val="6"/>
                <w:szCs w:val="6"/>
                <w:color w:val="auto"/>
              </w:rPr>
            </w:pPr>
          </w:p>
        </w:tc>
        <w:tc>
          <w:tcPr>
            <w:tcW w:w="2600" w:type="dxa"/>
            <w:vAlign w:val="bottom"/>
            <w:tcBorders>
              <w:bottom w:val="single" w:sz="8" w:color="2C2C2C"/>
            </w:tcBorders>
          </w:tcPr>
          <w:p>
            <w:pPr>
              <w:spacing w:after="0"/>
              <w:rPr>
                <w:sz w:val="6"/>
                <w:szCs w:val="6"/>
                <w:color w:val="auto"/>
              </w:rPr>
            </w:pPr>
          </w:p>
        </w:tc>
        <w:tc>
          <w:tcPr>
            <w:tcW w:w="1900" w:type="dxa"/>
            <w:vAlign w:val="bottom"/>
            <w:tcBorders>
              <w:bottom w:val="single" w:sz="8" w:color="2C2C2C"/>
            </w:tcBorders>
          </w:tcPr>
          <w:p>
            <w:pPr>
              <w:spacing w:after="0"/>
              <w:rPr>
                <w:sz w:val="6"/>
                <w:szCs w:val="6"/>
                <w:color w:val="auto"/>
              </w:rPr>
            </w:pPr>
          </w:p>
        </w:tc>
        <w:tc>
          <w:tcPr>
            <w:tcW w:w="11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1140" w:type="dxa"/>
            <w:vAlign w:val="bottom"/>
            <w:tcBorders>
              <w:bottom w:val="single" w:sz="8" w:color="2C2C2C"/>
            </w:tcBorders>
          </w:tcPr>
          <w:p>
            <w:pPr>
              <w:spacing w:after="0"/>
              <w:rPr>
                <w:sz w:val="6"/>
                <w:szCs w:val="6"/>
                <w:color w:val="auto"/>
              </w:rPr>
            </w:pPr>
          </w:p>
        </w:tc>
        <w:tc>
          <w:tcPr>
            <w:tcW w:w="100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00" w:type="dxa"/>
            <w:vAlign w:val="bottom"/>
            <w:tcBorders>
              <w:top w:val="single" w:sz="8" w:color="808080"/>
            </w:tcBorders>
            <w:shd w:val="clear" w:color="auto" w:fill="2C2C2C"/>
          </w:tcPr>
          <w:p>
            <w:pPr>
              <w:spacing w:after="0" w:line="20" w:lineRule="exact"/>
              <w:rPr>
                <w:sz w:val="1"/>
                <w:szCs w:val="1"/>
                <w:color w:val="auto"/>
              </w:rPr>
            </w:pPr>
          </w:p>
        </w:tc>
        <w:tc>
          <w:tcPr>
            <w:tcW w:w="1900" w:type="dxa"/>
            <w:vAlign w:val="bottom"/>
            <w:tcBorders>
              <w:top w:val="single" w:sz="8" w:color="808080"/>
            </w:tcBorders>
            <w:shd w:val="clear" w:color="auto" w:fill="2C2C2C"/>
          </w:tcPr>
          <w:p>
            <w:pPr>
              <w:spacing w:after="0" w:line="20" w:lineRule="exact"/>
              <w:rPr>
                <w:sz w:val="1"/>
                <w:szCs w:val="1"/>
                <w:color w:val="auto"/>
              </w:rPr>
            </w:pPr>
          </w:p>
        </w:tc>
        <w:tc>
          <w:tcPr>
            <w:tcW w:w="110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0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700" w:type="dxa"/>
            <w:vAlign w:val="bottom"/>
            <w:tcBorders>
              <w:top w:val="single" w:sz="8" w:color="808080"/>
            </w:tcBorders>
            <w:shd w:val="clear" w:color="auto" w:fill="2C2C2C"/>
          </w:tcPr>
          <w:p>
            <w:pPr>
              <w:spacing w:after="0" w:line="20" w:lineRule="exact"/>
              <w:rPr>
                <w:sz w:val="1"/>
                <w:szCs w:val="1"/>
                <w:color w:val="auto"/>
              </w:rPr>
            </w:pPr>
          </w:p>
        </w:tc>
        <w:tc>
          <w:tcPr>
            <w:tcW w:w="1140" w:type="dxa"/>
            <w:vAlign w:val="bottom"/>
            <w:tcBorders>
              <w:top w:val="single" w:sz="8" w:color="808080"/>
            </w:tcBorders>
            <w:shd w:val="clear" w:color="auto" w:fill="2C2C2C"/>
          </w:tcPr>
          <w:p>
            <w:pPr>
              <w:spacing w:after="0" w:line="20" w:lineRule="exact"/>
              <w:rPr>
                <w:sz w:val="1"/>
                <w:szCs w:val="1"/>
                <w:color w:val="auto"/>
              </w:rPr>
            </w:pPr>
          </w:p>
        </w:tc>
        <w:tc>
          <w:tcPr>
            <w:tcW w:w="1000" w:type="dxa"/>
            <w:vAlign w:val="bottom"/>
            <w:tcBorders>
              <w:top w:val="single" w:sz="8" w:color="808080"/>
            </w:tcBorders>
            <w:shd w:val="clear" w:color="auto" w:fill="2C2C2C"/>
          </w:tcPr>
          <w:p>
            <w:pPr>
              <w:spacing w:after="0" w:line="20" w:lineRule="exact"/>
              <w:rPr>
                <w:sz w:val="1"/>
                <w:szCs w:val="1"/>
                <w:color w:val="auto"/>
              </w:rPr>
            </w:pPr>
          </w:p>
        </w:tc>
        <w:tc>
          <w:tcPr>
            <w:tcW w:w="84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6"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7"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20" w:type="dxa"/>
            <w:vAlign w:val="bottom"/>
          </w:tcPr>
          <w:p>
            <w:pPr>
              <w:ind w:left="100"/>
              <w:spacing w:after="0"/>
              <w:rPr>
                <w:sz w:val="20"/>
                <w:szCs w:val="20"/>
                <w:color w:val="auto"/>
              </w:rPr>
            </w:pPr>
            <w:r>
              <w:rPr>
                <w:rFonts w:ascii="Arial" w:cs="Arial" w:eastAsia="Arial" w:hAnsi="Arial"/>
                <w:sz w:val="12"/>
                <w:szCs w:val="12"/>
                <w:b w:val="1"/>
                <w:bCs w:val="1"/>
                <w:color w:val="auto"/>
                <w:w w:val="95"/>
              </w:rPr>
              <w:t>5. Number of</w:t>
            </w:r>
          </w:p>
        </w:tc>
        <w:tc>
          <w:tcPr>
            <w:tcW w:w="260" w:type="dxa"/>
            <w:vAlign w:val="bottom"/>
          </w:tcPr>
          <w:p>
            <w:pPr>
              <w:spacing w:after="0"/>
              <w:rPr>
                <w:sz w:val="12"/>
                <w:szCs w:val="12"/>
                <w:color w:val="auto"/>
              </w:rPr>
            </w:pPr>
          </w:p>
        </w:tc>
        <w:tc>
          <w:tcPr>
            <w:tcW w:w="152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2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1"/>
        </w:trPr>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Derivative</w:t>
            </w:r>
          </w:p>
        </w:tc>
        <w:tc>
          <w:tcPr>
            <w:tcW w:w="260" w:type="dxa"/>
            <w:vAlign w:val="bottom"/>
          </w:tcPr>
          <w:p>
            <w:pPr>
              <w:spacing w:after="0"/>
              <w:rPr>
                <w:sz w:val="11"/>
                <w:szCs w:val="11"/>
                <w:color w:val="auto"/>
              </w:rPr>
            </w:pPr>
          </w:p>
        </w:tc>
        <w:tc>
          <w:tcPr>
            <w:tcW w:w="15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Expiration Date</w:t>
            </w:r>
          </w:p>
        </w:tc>
        <w:tc>
          <w:tcPr>
            <w:tcW w:w="12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1"/>
        </w:trPr>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Securities</w:t>
            </w:r>
          </w:p>
        </w:tc>
        <w:tc>
          <w:tcPr>
            <w:tcW w:w="260" w:type="dxa"/>
            <w:vAlign w:val="bottom"/>
          </w:tcPr>
          <w:p>
            <w:pPr>
              <w:spacing w:after="0"/>
              <w:rPr>
                <w:sz w:val="11"/>
                <w:szCs w:val="11"/>
                <w:color w:val="auto"/>
              </w:rPr>
            </w:pPr>
          </w:p>
        </w:tc>
        <w:tc>
          <w:tcPr>
            <w:tcW w:w="15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5"/>
              </w:rPr>
              <w:t>Underlying</w:t>
            </w:r>
          </w:p>
        </w:tc>
        <w:tc>
          <w:tcPr>
            <w:tcW w:w="540" w:type="dxa"/>
            <w:vAlign w:val="bottom"/>
          </w:tcPr>
          <w:p>
            <w:pPr>
              <w:spacing w:after="0"/>
              <w:rPr>
                <w:sz w:val="11"/>
                <w:szCs w:val="11"/>
                <w:color w:val="auto"/>
              </w:rPr>
            </w:pP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1080" w:type="dxa"/>
            <w:vAlign w:val="bottom"/>
            <w:gridSpan w:val="2"/>
          </w:tcPr>
          <w:p>
            <w:pPr>
              <w:ind w:left="100"/>
              <w:spacing w:after="0" w:line="132" w:lineRule="exact"/>
              <w:rPr>
                <w:sz w:val="20"/>
                <w:szCs w:val="20"/>
                <w:color w:val="auto"/>
              </w:rPr>
            </w:pPr>
            <w:r>
              <w:rPr>
                <w:rFonts w:ascii="Arial" w:cs="Arial" w:eastAsia="Arial" w:hAnsi="Arial"/>
                <w:sz w:val="12"/>
                <w:szCs w:val="12"/>
                <w:b w:val="1"/>
                <w:bCs w:val="1"/>
                <w:color w:val="auto"/>
              </w:rPr>
              <w:t>Acquired (A) or</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1"/>
        </w:trPr>
        <w:tc>
          <w:tcPr>
            <w:tcW w:w="7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gridSpan w:val="2"/>
          </w:tcPr>
          <w:p>
            <w:pPr>
              <w:ind w:left="100"/>
              <w:spacing w:after="0" w:line="132" w:lineRule="exact"/>
              <w:rPr>
                <w:sz w:val="20"/>
                <w:szCs w:val="20"/>
                <w:color w:val="auto"/>
              </w:rPr>
            </w:pPr>
            <w:r>
              <w:rPr>
                <w:rFonts w:ascii="Arial" w:cs="Arial" w:eastAsia="Arial" w:hAnsi="Arial"/>
                <w:sz w:val="12"/>
                <w:szCs w:val="12"/>
                <w:b w:val="1"/>
                <w:bCs w:val="1"/>
                <w:color w:val="auto"/>
              </w:rPr>
              <w:t>Disposed of (D)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1"/>
        </w:trPr>
        <w:tc>
          <w:tcPr>
            <w:tcW w:w="7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gridSpan w:val="2"/>
          </w:tcPr>
          <w:p>
            <w:pPr>
              <w:ind w:left="100"/>
              <w:spacing w:after="0" w:line="132" w:lineRule="exact"/>
              <w:rPr>
                <w:sz w:val="20"/>
                <w:szCs w:val="20"/>
                <w:color w:val="auto"/>
              </w:rPr>
            </w:pPr>
            <w:r>
              <w:rPr>
                <w:rFonts w:ascii="Arial" w:cs="Arial" w:eastAsia="Arial" w:hAnsi="Arial"/>
                <w:sz w:val="12"/>
                <w:szCs w:val="12"/>
                <w:b w:val="1"/>
                <w:bCs w:val="1"/>
                <w:color w:val="auto"/>
              </w:rPr>
              <w:t>(Instr. 3, 4 and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2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5)</w:t>
            </w:r>
          </w:p>
        </w:tc>
        <w:tc>
          <w:tcPr>
            <w:tcW w:w="2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26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restart"/>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820" w:type="dxa"/>
            <w:vAlign w:val="bottom"/>
          </w:tcPr>
          <w:p>
            <w:pPr>
              <w:spacing w:after="0"/>
              <w:rPr>
                <w:sz w:val="3"/>
                <w:szCs w:val="3"/>
                <w:color w:val="auto"/>
              </w:rPr>
            </w:pPr>
          </w:p>
        </w:tc>
        <w:tc>
          <w:tcPr>
            <w:tcW w:w="26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700" w:type="dxa"/>
            <w:vAlign w:val="bottom"/>
          </w:tcPr>
          <w:p>
            <w:pPr>
              <w:spacing w:after="0"/>
              <w:rPr>
                <w:sz w:val="3"/>
                <w:szCs w:val="3"/>
                <w:color w:val="auto"/>
              </w:rPr>
            </w:pPr>
          </w:p>
        </w:tc>
        <w:tc>
          <w:tcPr>
            <w:tcW w:w="5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vMerge w:val="continue"/>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line="132" w:lineRule="exact"/>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line="132"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40" w:type="dxa"/>
            <w:vAlign w:val="bottom"/>
          </w:tcPr>
          <w:p>
            <w:pPr>
              <w:spacing w:after="0" w:line="132"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540" w:type="dxa"/>
            <w:vAlign w:val="bottom"/>
          </w:tcPr>
          <w:p>
            <w:pPr>
              <w:spacing w:after="0" w:line="132" w:lineRule="exact"/>
              <w:rPr>
                <w:sz w:val="20"/>
                <w:szCs w:val="20"/>
                <w:color w:val="auto"/>
              </w:rPr>
            </w:pPr>
            <w:r>
              <w:rPr>
                <w:rFonts w:ascii="Arial" w:cs="Arial" w:eastAsia="Arial" w:hAnsi="Arial"/>
                <w:sz w:val="12"/>
                <w:szCs w:val="12"/>
                <w:b w:val="1"/>
                <w:bCs w:val="1"/>
                <w:color w:val="auto"/>
              </w:rPr>
              <w:t>of</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20" w:type="dxa"/>
            <w:vAlign w:val="bottom"/>
          </w:tcPr>
          <w:p>
            <w:pPr>
              <w:ind w:left="100"/>
              <w:spacing w:after="0"/>
              <w:rPr>
                <w:sz w:val="20"/>
                <w:szCs w:val="20"/>
                <w:color w:val="auto"/>
              </w:rPr>
            </w:pPr>
            <w:r>
              <w:rPr>
                <w:rFonts w:ascii="Arial" w:cs="Arial" w:eastAsia="Arial" w:hAnsi="Arial"/>
                <w:sz w:val="12"/>
                <w:szCs w:val="12"/>
                <w:b w:val="1"/>
                <w:bCs w:val="1"/>
                <w:color w:val="auto"/>
              </w:rPr>
              <w:t>(A)</w:t>
            </w:r>
          </w:p>
        </w:tc>
        <w:tc>
          <w:tcPr>
            <w:tcW w:w="260" w:type="dxa"/>
            <w:vAlign w:val="bottom"/>
          </w:tcPr>
          <w:p>
            <w:pPr>
              <w:ind w:left="20"/>
              <w:spacing w:after="0"/>
              <w:rPr>
                <w:sz w:val="20"/>
                <w:szCs w:val="20"/>
                <w:color w:val="auto"/>
              </w:rPr>
            </w:pPr>
            <w:r>
              <w:rPr>
                <w:rFonts w:ascii="Arial" w:cs="Arial" w:eastAsia="Arial" w:hAnsi="Arial"/>
                <w:sz w:val="12"/>
                <w:szCs w:val="12"/>
                <w:b w:val="1"/>
                <w:bCs w:val="1"/>
                <w:color w:val="auto"/>
              </w:rPr>
              <w:t>(D)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54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70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700" w:type="dxa"/>
            <w:vAlign w:val="bottom"/>
          </w:tcPr>
          <w:p>
            <w:pPr>
              <w:ind w:left="60"/>
              <w:spacing w:after="0" w:line="144"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20" w:type="dxa"/>
            <w:vAlign w:val="bottom"/>
            <w:vMerge w:val="restart"/>
          </w:tcPr>
          <w:p>
            <w:pPr>
              <w:ind w:left="100"/>
              <w:spacing w:after="0" w:line="285" w:lineRule="exact"/>
              <w:rPr>
                <w:sz w:val="20"/>
                <w:szCs w:val="20"/>
                <w:color w:val="auto"/>
              </w:rPr>
            </w:pPr>
            <w:r>
              <w:rPr>
                <w:rFonts w:ascii="Arial" w:cs="Arial" w:eastAsia="Arial" w:hAnsi="Arial"/>
                <w:sz w:val="26"/>
                <w:szCs w:val="26"/>
                <w:color w:val="0000FF"/>
                <w:w w:val="87"/>
                <w:vertAlign w:val="subscript"/>
              </w:rPr>
              <w:t>40,000</w:t>
            </w:r>
            <w:r>
              <w:rPr>
                <w:rFonts w:ascii="Arial" w:cs="Arial" w:eastAsia="Arial" w:hAnsi="Arial"/>
                <w:sz w:val="11"/>
                <w:szCs w:val="11"/>
                <w:color w:val="008000"/>
                <w:w w:val="87"/>
              </w:rPr>
              <w:t>(1)(2)</w:t>
            </w:r>
          </w:p>
        </w:tc>
        <w:tc>
          <w:tcPr>
            <w:tcW w:w="2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540" w:type="dxa"/>
            <w:vAlign w:val="bottom"/>
            <w:vMerge w:val="restart"/>
          </w:tcPr>
          <w:p>
            <w:pPr>
              <w:spacing w:after="0"/>
              <w:rPr>
                <w:sz w:val="20"/>
                <w:szCs w:val="20"/>
                <w:color w:val="auto"/>
              </w:rPr>
            </w:pPr>
            <w:r>
              <w:rPr>
                <w:rFonts w:ascii="Arial" w:cs="Arial" w:eastAsia="Arial" w:hAnsi="Arial"/>
                <w:sz w:val="17"/>
                <w:szCs w:val="17"/>
                <w:color w:val="0000FF"/>
                <w:w w:val="99"/>
              </w:rPr>
              <w:t>40,000</w:t>
            </w:r>
          </w:p>
        </w:tc>
        <w:tc>
          <w:tcPr>
            <w:tcW w:w="700" w:type="dxa"/>
            <w:vAlign w:val="bottom"/>
          </w:tcPr>
          <w:p>
            <w:pPr>
              <w:spacing w:after="0"/>
              <w:rPr>
                <w:sz w:val="12"/>
                <w:szCs w:val="12"/>
                <w:color w:val="auto"/>
              </w:rPr>
            </w:pPr>
          </w:p>
        </w:tc>
        <w:tc>
          <w:tcPr>
            <w:tcW w:w="960" w:type="dxa"/>
            <w:vAlign w:val="bottom"/>
            <w:vMerge w:val="restart"/>
          </w:tcPr>
          <w:p>
            <w:pPr>
              <w:ind w:left="140"/>
              <w:spacing w:after="0"/>
              <w:rPr>
                <w:sz w:val="20"/>
                <w:szCs w:val="20"/>
                <w:color w:val="auto"/>
              </w:rPr>
            </w:pPr>
            <w:r>
              <w:rPr>
                <w:rFonts w:ascii="Arial" w:cs="Arial" w:eastAsia="Arial" w:hAnsi="Arial"/>
                <w:sz w:val="13"/>
                <w:szCs w:val="13"/>
                <w:color w:val="0000FF"/>
                <w:w w:val="98"/>
              </w:rPr>
              <w:t>120,000</w:t>
            </w:r>
            <w:r>
              <w:rPr>
                <w:rFonts w:ascii="Arial" w:cs="Arial" w:eastAsia="Arial" w:hAnsi="Arial"/>
                <w:sz w:val="21"/>
                <w:szCs w:val="21"/>
                <w:color w:val="008000"/>
                <w:w w:val="98"/>
                <w:vertAlign w:val="superscript"/>
              </w:rPr>
              <w:t>(1)(2)</w:t>
            </w: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0"/>
        </w:trPr>
        <w:tc>
          <w:tcPr>
            <w:tcW w:w="700" w:type="dxa"/>
            <w:vAlign w:val="bottom"/>
          </w:tcPr>
          <w:p>
            <w:pPr>
              <w:ind w:left="60"/>
              <w:spacing w:after="0" w:line="140" w:lineRule="exact"/>
              <w:rPr>
                <w:sz w:val="20"/>
                <w:szCs w:val="20"/>
                <w:color w:val="auto"/>
              </w:rPr>
            </w:pPr>
            <w:r>
              <w:rPr>
                <w:rFonts w:ascii="Arial" w:cs="Arial" w:eastAsia="Arial" w:hAnsi="Arial"/>
                <w:sz w:val="13"/>
                <w:szCs w:val="13"/>
                <w:color w:val="0000FF"/>
              </w:rPr>
              <w:t>Option</w:t>
            </w:r>
          </w:p>
        </w:tc>
        <w:tc>
          <w:tcPr>
            <w:tcW w:w="800" w:type="dxa"/>
            <w:vAlign w:val="bottom"/>
          </w:tcPr>
          <w:p>
            <w:pPr>
              <w:ind w:left="220"/>
              <w:spacing w:after="0" w:line="140"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17.66</w:t>
            </w:r>
          </w:p>
        </w:tc>
        <w:tc>
          <w:tcPr>
            <w:tcW w:w="1100" w:type="dxa"/>
            <w:vAlign w:val="bottom"/>
          </w:tcPr>
          <w:p>
            <w:pPr>
              <w:jc w:val="right"/>
              <w:ind w:right="199"/>
              <w:spacing w:after="0" w:line="140" w:lineRule="exact"/>
              <w:rPr>
                <w:sz w:val="20"/>
                <w:szCs w:val="20"/>
                <w:color w:val="auto"/>
              </w:rPr>
            </w:pPr>
            <w:r>
              <w:rPr>
                <w:rFonts w:ascii="Arial" w:cs="Arial" w:eastAsia="Arial" w:hAnsi="Arial"/>
                <w:sz w:val="13"/>
                <w:szCs w:val="13"/>
                <w:color w:val="0000FF"/>
              </w:rPr>
              <w:t>08/29/2011</w:t>
            </w:r>
          </w:p>
        </w:tc>
        <w:tc>
          <w:tcPr>
            <w:tcW w:w="1100" w:type="dxa"/>
            <w:vAlign w:val="bottom"/>
          </w:tcPr>
          <w:p>
            <w:pPr>
              <w:spacing w:after="0"/>
              <w:rPr>
                <w:sz w:val="12"/>
                <w:szCs w:val="12"/>
                <w:color w:val="auto"/>
              </w:rPr>
            </w:pPr>
          </w:p>
        </w:tc>
        <w:tc>
          <w:tcPr>
            <w:tcW w:w="800" w:type="dxa"/>
            <w:vAlign w:val="bottom"/>
          </w:tcPr>
          <w:p>
            <w:pPr>
              <w:ind w:left="160"/>
              <w:spacing w:after="0" w:line="140" w:lineRule="exact"/>
              <w:rPr>
                <w:sz w:val="20"/>
                <w:szCs w:val="20"/>
                <w:color w:val="auto"/>
              </w:rPr>
            </w:pPr>
            <w:r>
              <w:rPr>
                <w:rFonts w:ascii="Arial" w:cs="Arial" w:eastAsia="Arial" w:hAnsi="Arial"/>
                <w:sz w:val="13"/>
                <w:szCs w:val="13"/>
                <w:color w:val="0000FF"/>
              </w:rPr>
              <w:t>A</w:t>
            </w:r>
          </w:p>
        </w:tc>
        <w:tc>
          <w:tcPr>
            <w:tcW w:w="820" w:type="dxa"/>
            <w:vAlign w:val="bottom"/>
            <w:vMerge w:val="continue"/>
          </w:tcPr>
          <w:p>
            <w:pPr>
              <w:spacing w:after="0"/>
              <w:rPr>
                <w:sz w:val="12"/>
                <w:szCs w:val="12"/>
                <w:color w:val="auto"/>
              </w:rPr>
            </w:pPr>
          </w:p>
        </w:tc>
        <w:tc>
          <w:tcPr>
            <w:tcW w:w="260" w:type="dxa"/>
            <w:vAlign w:val="bottom"/>
          </w:tcPr>
          <w:p>
            <w:pPr>
              <w:spacing w:after="0"/>
              <w:rPr>
                <w:sz w:val="12"/>
                <w:szCs w:val="12"/>
                <w:color w:val="auto"/>
              </w:rPr>
            </w:pPr>
          </w:p>
        </w:tc>
        <w:tc>
          <w:tcPr>
            <w:tcW w:w="800" w:type="dxa"/>
            <w:vAlign w:val="bottom"/>
          </w:tcPr>
          <w:p>
            <w:pPr>
              <w:ind w:left="100"/>
              <w:spacing w:after="0" w:line="140" w:lineRule="exact"/>
              <w:rPr>
                <w:sz w:val="20"/>
                <w:szCs w:val="20"/>
                <w:color w:val="auto"/>
              </w:rPr>
            </w:pPr>
            <w:r>
              <w:rPr>
                <w:rFonts w:ascii="Arial" w:cs="Arial" w:eastAsia="Arial" w:hAnsi="Arial"/>
                <w:sz w:val="13"/>
                <w:szCs w:val="13"/>
                <w:color w:val="0000FF"/>
              </w:rPr>
              <w:t>09/08/2011</w:t>
            </w:r>
          </w:p>
        </w:tc>
        <w:tc>
          <w:tcPr>
            <w:tcW w:w="720" w:type="dxa"/>
            <w:vAlign w:val="bottom"/>
          </w:tcPr>
          <w:p>
            <w:pPr>
              <w:ind w:left="60"/>
              <w:spacing w:after="0" w:line="140" w:lineRule="exact"/>
              <w:rPr>
                <w:sz w:val="20"/>
                <w:szCs w:val="20"/>
                <w:color w:val="auto"/>
              </w:rPr>
            </w:pPr>
            <w:r>
              <w:rPr>
                <w:rFonts w:ascii="Arial" w:cs="Arial" w:eastAsia="Arial" w:hAnsi="Arial"/>
                <w:sz w:val="13"/>
                <w:szCs w:val="13"/>
                <w:color w:val="0000FF"/>
                <w:w w:val="98"/>
              </w:rPr>
              <w:t>06/30/2018</w:t>
            </w:r>
          </w:p>
        </w:tc>
        <w:tc>
          <w:tcPr>
            <w:tcW w:w="700" w:type="dxa"/>
            <w:vAlign w:val="bottom"/>
            <w:vMerge w:val="continue"/>
          </w:tcPr>
          <w:p>
            <w:pPr>
              <w:spacing w:after="0"/>
              <w:rPr>
                <w:sz w:val="12"/>
                <w:szCs w:val="12"/>
                <w:color w:val="auto"/>
              </w:rPr>
            </w:pPr>
          </w:p>
        </w:tc>
        <w:tc>
          <w:tcPr>
            <w:tcW w:w="540" w:type="dxa"/>
            <w:vAlign w:val="bottom"/>
            <w:vMerge w:val="continue"/>
          </w:tcPr>
          <w:p>
            <w:pPr>
              <w:spacing w:after="0"/>
              <w:rPr>
                <w:sz w:val="12"/>
                <w:szCs w:val="12"/>
                <w:color w:val="auto"/>
              </w:rPr>
            </w:pPr>
          </w:p>
        </w:tc>
        <w:tc>
          <w:tcPr>
            <w:tcW w:w="700" w:type="dxa"/>
            <w:vAlign w:val="bottom"/>
          </w:tcPr>
          <w:p>
            <w:pPr>
              <w:ind w:left="300"/>
              <w:spacing w:after="0" w:line="140"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60" w:type="dxa"/>
            <w:vAlign w:val="bottom"/>
            <w:vMerge w:val="continue"/>
          </w:tcPr>
          <w:p>
            <w:pPr>
              <w:spacing w:after="0"/>
              <w:rPr>
                <w:sz w:val="12"/>
                <w:szCs w:val="12"/>
                <w:color w:val="auto"/>
              </w:rPr>
            </w:pPr>
          </w:p>
        </w:tc>
        <w:tc>
          <w:tcPr>
            <w:tcW w:w="740" w:type="dxa"/>
            <w:vAlign w:val="bottom"/>
          </w:tcPr>
          <w:p>
            <w:pPr>
              <w:ind w:left="320"/>
              <w:spacing w:after="0" w:line="140"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00" w:type="dxa"/>
            <w:vAlign w:val="bottom"/>
          </w:tcPr>
          <w:p>
            <w:pPr>
              <w:ind w:left="160"/>
              <w:spacing w:after="0" w:line="131" w:lineRule="exact"/>
              <w:rPr>
                <w:sz w:val="20"/>
                <w:szCs w:val="20"/>
                <w:color w:val="auto"/>
              </w:rPr>
            </w:pPr>
            <w:r>
              <w:rPr>
                <w:rFonts w:ascii="Arial" w:cs="Arial" w:eastAsia="Arial" w:hAnsi="Arial"/>
                <w:sz w:val="13"/>
                <w:szCs w:val="13"/>
                <w:color w:val="0000FF"/>
              </w:rPr>
              <w:t>Shares</w:t>
            </w:r>
          </w:p>
        </w:tc>
        <w:tc>
          <w:tcPr>
            <w:tcW w:w="5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7"/>
        </w:trPr>
        <w:tc>
          <w:tcPr>
            <w:tcW w:w="70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00" w:type="dxa"/>
            <w:vAlign w:val="bottom"/>
          </w:tcPr>
          <w:p>
            <w:pPr>
              <w:spacing w:after="0"/>
              <w:rPr>
                <w:sz w:val="2"/>
                <w:szCs w:val="2"/>
                <w:color w:val="auto"/>
              </w:rPr>
            </w:pPr>
          </w:p>
        </w:tc>
        <w:tc>
          <w:tcPr>
            <w:tcW w:w="820" w:type="dxa"/>
            <w:vAlign w:val="bottom"/>
          </w:tcPr>
          <w:p>
            <w:pPr>
              <w:spacing w:after="0"/>
              <w:rPr>
                <w:sz w:val="2"/>
                <w:szCs w:val="2"/>
                <w:color w:val="auto"/>
              </w:rPr>
            </w:pPr>
          </w:p>
        </w:tc>
        <w:tc>
          <w:tcPr>
            <w:tcW w:w="260" w:type="dxa"/>
            <w:vAlign w:val="bottom"/>
          </w:tcPr>
          <w:p>
            <w:pPr>
              <w:spacing w:after="0"/>
              <w:rPr>
                <w:sz w:val="2"/>
                <w:szCs w:val="2"/>
                <w:color w:val="auto"/>
              </w:rPr>
            </w:pPr>
          </w:p>
        </w:tc>
        <w:tc>
          <w:tcPr>
            <w:tcW w:w="800" w:type="dxa"/>
            <w:vAlign w:val="bottom"/>
          </w:tcPr>
          <w:p>
            <w:pPr>
              <w:spacing w:after="0"/>
              <w:rPr>
                <w:sz w:val="2"/>
                <w:szCs w:val="2"/>
                <w:color w:val="auto"/>
              </w:rPr>
            </w:pPr>
          </w:p>
        </w:tc>
        <w:tc>
          <w:tcPr>
            <w:tcW w:w="720" w:type="dxa"/>
            <w:vAlign w:val="bottom"/>
          </w:tcPr>
          <w:p>
            <w:pPr>
              <w:spacing w:after="0"/>
              <w:rPr>
                <w:sz w:val="2"/>
                <w:szCs w:val="2"/>
                <w:color w:val="auto"/>
              </w:rPr>
            </w:pPr>
          </w:p>
        </w:tc>
        <w:tc>
          <w:tcPr>
            <w:tcW w:w="700" w:type="dxa"/>
            <w:vAlign w:val="bottom"/>
          </w:tcPr>
          <w:p>
            <w:pPr>
              <w:spacing w:after="0"/>
              <w:rPr>
                <w:sz w:val="2"/>
                <w:szCs w:val="2"/>
                <w:color w:val="auto"/>
              </w:rPr>
            </w:pPr>
          </w:p>
        </w:tc>
        <w:tc>
          <w:tcPr>
            <w:tcW w:w="5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4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5"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5" w:lineRule="exact"/>
        <w:rPr>
          <w:sz w:val="24"/>
          <w:szCs w:val="24"/>
          <w:color w:val="auto"/>
        </w:rPr>
      </w:pPr>
    </w:p>
    <w:p>
      <w:pPr>
        <w:ind w:left="40" w:right="220" w:firstLine="4"/>
        <w:spacing w:after="0" w:line="238" w:lineRule="auto"/>
        <w:tabs>
          <w:tab w:leader="none" w:pos="171"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On June 30, 2008, Clyde Hosein was granted a performance-based option to purchase 200,000 common shares of Marvell Technology Group Ltd. (the "Company"). Performance is measured over six one-year performance periods based on the satisfaction of certain performance criteria. For the first five performance periods, 40,000 of the option shares plus any option shares that did not vest in a prior performance period will vest if the performance criteria are satisfied. In the sixth performance period, any option shares that did not vest in a prior performance period will vest if the performance criteria are satisfied. If at the end of the sixth and final performance period, any unvested performance-based stock options remain unvested as a result of not having met or exceeded the performance criteria during the final performance period then the remaining unvested options shall be cancelled.</w:t>
      </w:r>
    </w:p>
    <w:p>
      <w:pPr>
        <w:spacing w:after="0" w:line="33" w:lineRule="exact"/>
        <w:rPr>
          <w:rFonts w:ascii="Arial" w:cs="Arial" w:eastAsia="Arial" w:hAnsi="Arial"/>
          <w:sz w:val="13"/>
          <w:szCs w:val="13"/>
          <w:color w:val="008000"/>
        </w:rPr>
      </w:pPr>
    </w:p>
    <w:p>
      <w:pPr>
        <w:ind w:left="40" w:right="300" w:firstLine="4"/>
        <w:spacing w:after="0" w:line="256" w:lineRule="auto"/>
        <w:tabs>
          <w:tab w:leader="none" w:pos="171"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performance criteria for the third performance period was met, as determined by the Executive Compensation Committee on August 29, 2011, which will result in vesting of the option as to 40,000 common shares on September 8, 2011.</w:t>
      </w:r>
    </w:p>
    <w:p>
      <w:pPr>
        <w:spacing w:after="0" w:line="33"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2300" w:type="dxa"/>
            <w:vAlign w:val="bottom"/>
            <w:gridSpan w:val="2"/>
          </w:tcPr>
          <w:p>
            <w:pPr>
              <w:spacing w:after="0"/>
              <w:rPr>
                <w:sz w:val="20"/>
                <w:szCs w:val="20"/>
                <w:color w:val="auto"/>
              </w:rPr>
            </w:pPr>
            <w:r>
              <w:rPr>
                <w:rFonts w:ascii="Arial" w:cs="Arial" w:eastAsia="Arial" w:hAnsi="Arial"/>
                <w:sz w:val="17"/>
                <w:szCs w:val="17"/>
                <w:color w:val="0000FF"/>
              </w:rPr>
              <w:t>/s/ Clyde R. Hosein</w:t>
            </w:r>
          </w:p>
        </w:tc>
        <w:tc>
          <w:tcPr>
            <w:tcW w:w="760" w:type="dxa"/>
            <w:vAlign w:val="bottom"/>
          </w:tcPr>
          <w:p>
            <w:pPr>
              <w:spacing w:after="0"/>
              <w:rPr>
                <w:sz w:val="20"/>
                <w:szCs w:val="20"/>
                <w:color w:val="auto"/>
              </w:rPr>
            </w:pPr>
            <w:r>
              <w:rPr>
                <w:rFonts w:ascii="Arial" w:cs="Arial" w:eastAsia="Arial" w:hAnsi="Arial"/>
                <w:sz w:val="17"/>
                <w:szCs w:val="17"/>
                <w:color w:val="0000FF"/>
                <w:w w:val="86"/>
              </w:rPr>
              <w:t>08/30/2011</w:t>
            </w:r>
          </w:p>
        </w:tc>
      </w:tr>
      <w:tr>
        <w:trPr>
          <w:trHeight w:val="20"/>
        </w:trPr>
        <w:tc>
          <w:tcPr>
            <w:tcW w:w="1340" w:type="dxa"/>
            <w:vAlign w:val="bottom"/>
            <w:shd w:val="clear" w:color="auto" w:fill="000000"/>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r>
      <w:tr>
        <w:trPr>
          <w:trHeight w:val="228"/>
        </w:trPr>
        <w:tc>
          <w:tcPr>
            <w:tcW w:w="23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3"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7" w:lineRule="exact"/>
        <w:rPr>
          <w:sz w:val="24"/>
          <w:szCs w:val="24"/>
          <w:color w:val="auto"/>
        </w:rPr>
      </w:pPr>
    </w:p>
    <w:p>
      <w:pPr>
        <w:jc w:val="both"/>
        <w:ind w:left="40" w:right="3900" w:firstLine="4"/>
        <w:spacing w:after="0" w:line="314" w:lineRule="auto"/>
        <w:tabs>
          <w:tab w:leader="none" w:pos="179"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3"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230185"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2019-12-17T15:32:06Z</dcterms:created>
  <dcterms:modified xsi:type="dcterms:W3CDTF">2019-12-17T15:32:06Z</dcterms:modified>
</cp:coreProperties>
</file>