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ind w:left="2740"/>
        <w:spacing w:after="0"/>
        <w:rPr>
          <w:sz w:val="20"/>
          <w:szCs w:val="20"/>
          <w:color w:val="auto"/>
        </w:rPr>
      </w:pPr>
      <w:r>
        <w:rPr>
          <w:rFonts w:ascii="Arial" w:cs="Arial" w:eastAsia="Arial" w:hAnsi="Arial"/>
          <w:sz w:val="22"/>
          <w:szCs w:val="22"/>
          <w:b w:val="1"/>
          <w:bCs w:val="1"/>
          <w:color w:val="auto"/>
        </w:rPr>
        <w:t>Date of Report (Date of earliest event reported): August 18,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On August 18, 2011, Marvell Technology Group Ltd. (“Marvell”) issued a press release regarding its financial results for its second fiscal quarter ended July 30, 2011.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other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right="4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16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ind w:left="900" w:hanging="325"/>
        <w:spacing w:after="0" w:line="357" w:lineRule="auto"/>
        <w:tabs>
          <w:tab w:leader="none" w:pos="90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ind w:left="900" w:right="1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4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Excluding this</w:t>
      </w:r>
      <w:r>
        <w:rPr>
          <w:rFonts w:ascii="Arial" w:cs="Arial" w:eastAsia="Arial" w:hAnsi="Arial"/>
          <w:sz w:val="16"/>
          <w:szCs w:val="16"/>
          <w:i w:val="1"/>
          <w:iCs w:val="1"/>
          <w:color w:val="auto"/>
        </w:rPr>
        <w:t xml:space="preserve"> </w:t>
      </w:r>
      <w:r>
        <w:rPr>
          <w:rFonts w:ascii="Arial" w:cs="Arial" w:eastAsia="Arial" w:hAnsi="Arial"/>
          <w:sz w:val="16"/>
          <w:szCs w:val="16"/>
          <w:color w:val="auto"/>
        </w:rPr>
        <w:t>data provides investors with a basis to compare Marvell’s performance against the performance of other companies without this variability.</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9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August 18, 2011</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August 18,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4516120</wp:posOffset>
            </wp:positionH>
            <wp:positionV relativeFrom="paragraph">
              <wp:posOffset>10795</wp:posOffset>
            </wp:positionV>
            <wp:extent cx="27355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35580" cy="8890"/>
                    </a:xfrm>
                    <a:prstGeom prst="rect">
                      <a:avLst/>
                    </a:prstGeom>
                    <a:noFill/>
                  </pic:spPr>
                </pic:pic>
              </a:graphicData>
            </a:graphic>
          </wp:anchor>
        </w:drawing>
      </w:r>
    </w:p>
    <w:p>
      <w:pPr>
        <w:spacing w:after="0" w:line="3" w:lineRule="exact"/>
        <w:rPr>
          <w:sz w:val="20"/>
          <w:szCs w:val="20"/>
          <w:color w:val="auto"/>
        </w:rPr>
      </w:pPr>
    </w:p>
    <w:p>
      <w:pPr>
        <w:ind w:left="71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16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August 18, 2011</w:t>
      </w:r>
    </w:p>
    <w:p>
      <w:pPr>
        <w:sectPr>
          <w:pgSz w:w="11900" w:h="16838" w:orient="portrait"/>
          <w:cols w:equalWidth="0" w:num="2">
            <w:col w:w="700" w:space="720"/>
            <w:col w:w="879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6"/>
          <w:szCs w:val="16"/>
          <w:b w:val="1"/>
          <w:bCs w:val="1"/>
          <w:color w:val="auto"/>
        </w:rPr>
        <w:t>Exhibit 99.1</w:t>
      </w:r>
    </w:p>
    <w:p>
      <w:pPr>
        <w:sectPr>
          <w:pgSz w:w="11900" w:h="16838" w:orient="portrait"/>
          <w:cols w:equalWidth="0" w:num="1">
            <w:col w:w="11420"/>
          </w:cols>
          <w:pgMar w:left="240" w:top="125" w:right="239" w:bottom="1440" w:gutter="0" w:footer="0" w:header="0"/>
        </w:sectPr>
      </w:pPr>
    </w:p>
    <w:p>
      <w:pPr>
        <w:spacing w:after="0" w:line="23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For further information, contact:</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Sukhi Nagesh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sukhi@marvell.com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Daniel Yoo</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Media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408-222-2187</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yoo@marvell.com</w:t>
      </w:r>
    </w:p>
    <w:p>
      <w:pPr>
        <w:spacing w:after="0" w:line="222" w:lineRule="exact"/>
        <w:rPr>
          <w:sz w:val="20"/>
          <w:szCs w:val="20"/>
          <w:color w:val="auto"/>
        </w:rPr>
      </w:pPr>
    </w:p>
    <w:p>
      <w:pPr>
        <w:sectPr>
          <w:pgSz w:w="11900" w:h="16838" w:orient="portrait"/>
          <w:cols w:equalWidth="0" w:num="2">
            <w:col w:w="6720" w:space="720"/>
            <w:col w:w="3980"/>
          </w:cols>
          <w:pgMar w:left="240" w:top="125" w:right="239" w:bottom="1440" w:gutter="0" w:footer="0" w:header="0"/>
          <w:type w:val="continuous"/>
        </w:sectPr>
      </w:pPr>
    </w:p>
    <w:p>
      <w:pPr>
        <w:spacing w:after="0" w:line="40" w:lineRule="exact"/>
        <w:rPr>
          <w:sz w:val="20"/>
          <w:szCs w:val="20"/>
          <w:color w:val="auto"/>
        </w:rPr>
      </w:pPr>
    </w:p>
    <w:p>
      <w:pPr>
        <w:ind w:left="2380"/>
        <w:spacing w:after="0"/>
        <w:rPr>
          <w:sz w:val="20"/>
          <w:szCs w:val="20"/>
          <w:color w:val="auto"/>
        </w:rPr>
      </w:pPr>
      <w:r>
        <w:rPr>
          <w:rFonts w:ascii="Arial" w:cs="Arial" w:eastAsia="Arial" w:hAnsi="Arial"/>
          <w:sz w:val="18"/>
          <w:szCs w:val="18"/>
          <w:b w:val="1"/>
          <w:bCs w:val="1"/>
          <w:color w:val="auto"/>
        </w:rPr>
        <w:t>Marvell Technology Group Ltd. Reports Second Quarter of Fiscal 2012 Financial Results</w:t>
      </w:r>
    </w:p>
    <w:p>
      <w:pPr>
        <w:spacing w:after="0" w:line="177" w:lineRule="exact"/>
        <w:rPr>
          <w:sz w:val="20"/>
          <w:szCs w:val="20"/>
          <w:color w:val="auto"/>
        </w:rPr>
      </w:pPr>
    </w:p>
    <w:p>
      <w:pPr>
        <w:ind w:left="3680"/>
        <w:spacing w:after="0"/>
        <w:rPr>
          <w:sz w:val="20"/>
          <w:szCs w:val="20"/>
          <w:color w:val="auto"/>
        </w:rPr>
      </w:pPr>
      <w:r>
        <w:rPr>
          <w:rFonts w:ascii="Arial" w:cs="Arial" w:eastAsia="Arial" w:hAnsi="Arial"/>
          <w:sz w:val="18"/>
          <w:szCs w:val="18"/>
          <w:b w:val="1"/>
          <w:bCs w:val="1"/>
          <w:i w:val="1"/>
          <w:iCs w:val="1"/>
          <w:color w:val="auto"/>
        </w:rPr>
        <w:t>Revenue: $898 Million, a 12 percent sequential increase</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$192 Million, EPS of $0.31</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Non GAAP Net Income: $234 Million, EPS of $0.38</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$235 Million, 26 Percent of Revenue</w:t>
      </w:r>
    </w:p>
    <w:p>
      <w:pPr>
        <w:spacing w:after="0" w:line="159" w:lineRule="exact"/>
        <w:rPr>
          <w:sz w:val="20"/>
          <w:szCs w:val="20"/>
          <w:color w:val="auto"/>
        </w:rPr>
      </w:pPr>
    </w:p>
    <w:p>
      <w:pPr>
        <w:ind w:right="320"/>
        <w:spacing w:after="0" w:line="275" w:lineRule="auto"/>
        <w:rPr>
          <w:sz w:val="20"/>
          <w:szCs w:val="20"/>
          <w:color w:val="auto"/>
        </w:rPr>
      </w:pPr>
      <w:r>
        <w:rPr>
          <w:rFonts w:ascii="Arial" w:cs="Arial" w:eastAsia="Arial" w:hAnsi="Arial"/>
          <w:sz w:val="18"/>
          <w:szCs w:val="18"/>
          <w:b w:val="1"/>
          <w:bCs w:val="1"/>
          <w:color w:val="auto"/>
        </w:rPr>
        <w:t xml:space="preserve">Santa Clara, Calif. (August 18, 2011)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second quarter of fiscal 2012, ended July 30, 2011.</w:t>
      </w:r>
    </w:p>
    <w:p>
      <w:pPr>
        <w:spacing w:after="0" w:line="12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color w:val="auto"/>
        </w:rPr>
        <w:t>Revenue for the second quarter of fiscal 2012 was $898 million, a 12 percent sequential increase from $802 million in the first quarter of fiscal 2012, ended April 30, 2011, and up slightly from $896 million in the second quarter of fiscal 2011, ended July 31, 2010.</w:t>
      </w:r>
    </w:p>
    <w:p>
      <w:pPr>
        <w:spacing w:after="0" w:line="132" w:lineRule="exact"/>
        <w:rPr>
          <w:sz w:val="20"/>
          <w:szCs w:val="20"/>
          <w:color w:val="auto"/>
        </w:rPr>
      </w:pPr>
    </w:p>
    <w:p>
      <w:pPr>
        <w:ind w:right="360"/>
        <w:spacing w:after="0" w:line="332" w:lineRule="auto"/>
        <w:rPr>
          <w:sz w:val="20"/>
          <w:szCs w:val="20"/>
          <w:color w:val="auto"/>
        </w:rPr>
      </w:pPr>
      <w:r>
        <w:rPr>
          <w:rFonts w:ascii="Arial" w:cs="Arial" w:eastAsia="Arial" w:hAnsi="Arial"/>
          <w:sz w:val="16"/>
          <w:szCs w:val="16"/>
          <w:color w:val="auto"/>
        </w:rPr>
        <w:t>GAAP net income was $192 million, or $0.31 per share (diluted), for the second quarter of fiscal 2012, compared with GAAP net income of $147 million, or $0.22 per share (diluted) in the first quarter of fiscal 2012, and $220 million, or $0.33 per share (diluted), for the second quarter of fiscal 2011.</w:t>
      </w:r>
    </w:p>
    <w:p>
      <w:pPr>
        <w:spacing w:after="0" w:line="85" w:lineRule="exact"/>
        <w:rPr>
          <w:sz w:val="20"/>
          <w:szCs w:val="20"/>
          <w:color w:val="auto"/>
        </w:rPr>
      </w:pPr>
    </w:p>
    <w:p>
      <w:pPr>
        <w:ind w:right="460"/>
        <w:spacing w:after="0" w:line="332" w:lineRule="auto"/>
        <w:rPr>
          <w:sz w:val="20"/>
          <w:szCs w:val="20"/>
          <w:color w:val="auto"/>
        </w:rPr>
      </w:pPr>
      <w:r>
        <w:rPr>
          <w:rFonts w:ascii="Arial" w:cs="Arial" w:eastAsia="Arial" w:hAnsi="Arial"/>
          <w:sz w:val="16"/>
          <w:szCs w:val="16"/>
          <w:color w:val="auto"/>
        </w:rPr>
        <w:t>Non-GAAP net income was $234 million, or $0.38 per share (diluted), for the second quarter of fiscal 2012, compared with non-GAAP net income of $189 million, or $0.29 per share (diluted) for the first quarter of fiscal 2012 and $273 million, or $0.40 per share (diluted), for the second quarter of fiscal 2011.</w:t>
      </w:r>
    </w:p>
    <w:p>
      <w:pPr>
        <w:spacing w:after="0" w:line="85"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“We continue to execute well on all of our new product initiatives including in our Mobile and Wireless end market which grew 18% sequentially,” said Dr. Sehat Sutardja, Marvell’s Chairman and Chief Executive Officer. “Our second quarter results were at the high-end of our earlier projected range and we experienced</w:t>
      </w:r>
    </w:p>
    <w:p>
      <w:pPr>
        <w:sectPr>
          <w:pgSz w:w="11900" w:h="16838" w:orient="portrait"/>
          <w:cols w:equalWidth="0" w:num="1">
            <w:col w:w="11420"/>
          </w:cols>
          <w:pgMar w:left="240" w:top="125" w:right="239" w:bottom="1440" w:gutter="0" w:footer="0" w:header="0"/>
          <w:type w:val="continuous"/>
        </w:sectPr>
      </w:pPr>
    </w:p>
    <w:bookmarkStart w:id="6" w:name="page7"/>
    <w:bookmarkEnd w:id="6"/>
    <w:p>
      <w:pPr>
        <w:ind w:right="56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solid revenue growth in all our served end markets leading to increased profitability. Looking forward, we continue to focus our investments on initiatives designed to increase revenue and profit through both new products and share gains.”</w:t>
      </w:r>
    </w:p>
    <w:p>
      <w:pPr>
        <w:spacing w:after="0" w:line="132"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July 30, 2011, April 30, 2011 and July 31, 2010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13"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GAAP gross margin for the second quarter of fiscal 2012 was 57.9 percent, compared to 58.3 percent for the first quarter of fiscal 2012 and 59.1 percent for the second quarter of fiscal 2011.</w:t>
      </w:r>
    </w:p>
    <w:p>
      <w:pPr>
        <w:spacing w:after="0" w:line="132"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Non-GAAP gross margin for the second quarter of fiscal 2012 was 58.1 percent, compared to 58.5 percent for the first quarter of fiscal 2012 and 59.3 percent for the second quarter of fiscal 2011.</w:t>
      </w:r>
    </w:p>
    <w:p>
      <w:pPr>
        <w:spacing w:after="0" w:line="132"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Shares used to compute GAAP net income per diluted share for the second quarter of fiscal 2012 were 623 million shares, compared with 657 million shares in the first quarter of fiscal 2012 and 675 million shares in the second quarter of fiscal 2011. Shares used to compute non-GAAP net income per diluted share for the second quarter of fiscal 2012 were 625 million shares, compared with 663 million shares for the first quarter of fiscal 2012 and 678 million shares for the second quarter of fiscal 2011. The decrease in shares used to compute both Marvell’s GAAP and non-GAAP net income per diluted share was primarily due to Marvell’s share repurchase program.</w:t>
      </w:r>
    </w:p>
    <w:p>
      <w:pPr>
        <w:spacing w:after="0" w:line="143" w:lineRule="exact"/>
        <w:rPr>
          <w:sz w:val="20"/>
          <w:szCs w:val="20"/>
          <w:color w:val="auto"/>
        </w:rPr>
      </w:pPr>
    </w:p>
    <w:p>
      <w:pPr>
        <w:spacing w:after="0"/>
        <w:rPr>
          <w:sz w:val="20"/>
          <w:szCs w:val="20"/>
          <w:color w:val="auto"/>
        </w:rPr>
      </w:pPr>
      <w:r>
        <w:rPr>
          <w:rFonts w:ascii="Arial" w:cs="Arial" w:eastAsia="Arial" w:hAnsi="Arial"/>
          <w:sz w:val="16"/>
          <w:szCs w:val="16"/>
          <w:color w:val="auto"/>
        </w:rPr>
        <w:t>Cash flow from operations for the second quarter of fiscal 2012 was $263 million, up from the $177 million reported in the first quarter of fiscal 2012 and down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from the $319 million in the second quarter of fiscal 2011. Free cash flow for the second quarter of fiscal 2012 was $235 million, up from the $157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reported in the first quarter of fiscal 2012 and down from the $292 million in second quarter of fiscal 2011. During the last 12 months, Marvell generated over</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$900 million in free cash flow and the second quarter of fiscal 2012 represents the 16</w:t>
      </w:r>
      <w:r>
        <w:rPr>
          <w:rFonts w:ascii="Arial" w:cs="Arial" w:eastAsia="Arial" w:hAnsi="Arial"/>
          <w:sz w:val="10"/>
          <w:szCs w:val="10"/>
          <w:color w:val="auto"/>
        </w:rPr>
        <w:t>th</w:t>
      </w:r>
      <w:r>
        <w:rPr>
          <w:rFonts w:ascii="Arial" w:cs="Arial" w:eastAsia="Arial" w:hAnsi="Arial"/>
          <w:sz w:val="15"/>
          <w:szCs w:val="15"/>
          <w:color w:val="auto"/>
        </w:rPr>
        <w:t xml:space="preserve"> consecutive quarter of positive free cash flow for the company. Despite the</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cyclical nature of the</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7" w:name="page8"/>
    <w:bookmarkEnd w:id="7"/>
    <w:p>
      <w:pPr>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semiconductor industry and even through broader economic downturns, Marvell’s proven business model has generated positive free cash flow. Free cash flow as presented above is defined as cash flow from operations, less capital expenditures and purchases of IP licenses.</w:t>
      </w:r>
    </w:p>
    <w:p>
      <w:pPr>
        <w:spacing w:after="0" w:line="132"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Under the share repurchase program, Marvell repurchased approximately nine million shares for a total of $136 million in the second quarter of fiscal 2012. Over the past few quarters, Marvell has repurchased and retired over 64 million, or nearly 10 percent, of its outstanding shares demonstrating its commitment to returning shareholder value.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 xml:space="preserve">Marvell will be conducting a conference call on August 18, 2011 at 1:45 p.m. Pacific Time to discuss results for the second quarter of fiscal 2012. Interested parties may join the conference call by dialing </w:t>
      </w:r>
      <w:r>
        <w:rPr>
          <w:rFonts w:ascii="Arial" w:cs="Arial" w:eastAsia="Arial" w:hAnsi="Arial"/>
          <w:sz w:val="16"/>
          <w:szCs w:val="16"/>
          <w:b w:val="1"/>
          <w:bCs w:val="1"/>
          <w:color w:val="auto"/>
        </w:rPr>
        <w:t>1-800-901-5248 or 1</w:t>
      </w:r>
      <w:r>
        <w:rPr>
          <w:rFonts w:ascii="Arial" w:cs="Arial" w:eastAsia="Arial" w:hAnsi="Arial"/>
          <w:sz w:val="16"/>
          <w:szCs w:val="16"/>
          <w:color w:val="auto"/>
        </w:rPr>
        <w:t>-</w:t>
      </w:r>
      <w:r>
        <w:rPr>
          <w:rFonts w:ascii="Arial" w:cs="Arial" w:eastAsia="Arial" w:hAnsi="Arial"/>
          <w:sz w:val="16"/>
          <w:szCs w:val="16"/>
          <w:b w:val="1"/>
          <w:bCs w:val="1"/>
          <w:color w:val="auto"/>
        </w:rPr>
        <w:t>617-786-4512, pass-code 72146086</w:t>
      </w:r>
      <w:r>
        <w:rPr>
          <w:rFonts w:ascii="Arial" w:cs="Arial" w:eastAsia="Arial" w:hAnsi="Arial"/>
          <w:sz w:val="16"/>
          <w:szCs w:val="16"/>
          <w:color w:val="auto"/>
        </w:rPr>
        <w:t>. The call will be webcast by Thomson Reuters and can be accessed at the Marvell Investor Relations website at http://investor.marvell.com/ with a replay available following the call until September 18, 2011.</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12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ind w:right="260"/>
        <w:spacing w:after="0" w:line="306"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8" w:name="page9"/>
    <w:bookmarkEnd w:id="8"/>
    <w:p>
      <w:pPr>
        <w:ind w:right="10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www.marvell.com.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ability of Marvell to continue to execute on all of its new product initiatives; Marvell’s ability to increase revenue and profit opportunities through both new products and share gains; and statements concerning Marvell’s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uncertainty in the worldwide economic environment; seasonality in sales of consumer devices in which our products are incorporated; Marvell’s ability to compete in products and prices in an intensely competitive industry; Marvell’s ability to recruit and retain skilled personnel; and other risks detailed in Marvell’s SEC filings from time to time. When Marvell files its Form 10-Q for the second quarter of fiscal 2012, the financial statements may differ from the results disclosed in this press release because judgments and estimates that</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80" w:right="239" w:bottom="1440" w:gutter="0" w:footer="0" w:header="0"/>
        </w:sectPr>
      </w:pPr>
    </w:p>
    <w:bookmarkStart w:id="9" w:name="page10"/>
    <w:bookmarkEnd w:id="9"/>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management used in preparing the financial results reported in this press release may need to be updated to the date of the filing. Marvell’s results also remain subject to review by Marvell’s independent registered public accounting firm. For other factors that could cause Marvell’s results to vary from expectations, please see the risk factors identified in the Marvell’s latest Quarterly Report on Form 10-Q for the quarter ended April 30, 2011, as filed with the SEC and other factors detailed from time to time in Marvell’s filings with the SEC. Marvell undertakes no obligation to revise or update publicly any forward-looking statements.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40"/>
          </w:cols>
          <w:pgMar w:left="240" w:top="280" w:right="41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0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89"/>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ind w:left="3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jc w:val="right"/>
              <w:ind w:right="120"/>
              <w:spacing w:after="0" w:line="129" w:lineRule="exact"/>
              <w:rPr>
                <w:sz w:val="20"/>
                <w:szCs w:val="20"/>
                <w:color w:val="auto"/>
              </w:rPr>
            </w:pPr>
            <w:r>
              <w:rPr>
                <w:rFonts w:ascii="Arial" w:cs="Arial" w:eastAsia="Arial" w:hAnsi="Arial"/>
                <w:sz w:val="14"/>
                <w:szCs w:val="14"/>
                <w:b w:val="1"/>
                <w:bCs w:val="1"/>
                <w:color w:val="auto"/>
                <w:w w:val="89"/>
              </w:rPr>
              <w:t>July 30,</w:t>
            </w:r>
          </w:p>
        </w:tc>
        <w:tc>
          <w:tcPr>
            <w:tcW w:w="30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w w:val="90"/>
              </w:rPr>
              <w:t>April 30,</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85"/>
              </w:rPr>
              <w:t>July 31,</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July 30,</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74"/>
              <w:spacing w:after="0" w:line="129"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17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2011</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2010</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2011</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897,520</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802,402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896,474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1,699,922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1,752,053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Cost of goods sold</w:t>
            </w:r>
          </w:p>
        </w:tc>
        <w:tc>
          <w:tcPr>
            <w:tcW w:w="1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378,117</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334,475</w:t>
            </w: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366,682</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712,592</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710,667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519,403</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467,927</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529,792</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987,330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1,041,386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Operating expenses:</w:t>
            </w:r>
          </w:p>
        </w:tc>
        <w:tc>
          <w:tcPr>
            <w:tcW w:w="1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249,604</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242,537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228,211</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492,141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447,322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40,390</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38,152</w:t>
            </w: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36,863</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78,542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75,286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23,631</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24,784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25,440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48,415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11,138</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14,341</w:t>
            </w: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21,214</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25,479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43,763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7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324,763</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319,814</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311,728</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644,577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614,919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194,640</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148,113</w:t>
            </w: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218,064</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342,753</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426,467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2,064</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(218)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4,212</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1,846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7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196,704</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147,895</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222,276</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344,599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426,927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7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4,312</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1,034</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8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8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192,392</w:t>
            </w:r>
          </w:p>
        </w:tc>
        <w:tc>
          <w:tcPr>
            <w:tcW w:w="2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146,861</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219,777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339,253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425,544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0.54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80" w:type="dxa"/>
            <w:vAlign w:val="bottom"/>
            <w:gridSpan w:val="2"/>
            <w:vMerge w:val="continue"/>
          </w:tcPr>
          <w:p>
            <w:pPr>
              <w:spacing w:after="0"/>
              <w:rPr>
                <w:sz w:val="18"/>
                <w:szCs w:val="18"/>
                <w:color w:val="auto"/>
              </w:rPr>
            </w:pP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2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0.22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0.53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608,511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638,946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648,028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623,728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644,477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7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623,132</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657,140</w:t>
            </w: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675,220</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640,136</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676,639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1780" w:type="dxa"/>
            <w:vAlign w:val="bottom"/>
          </w:tcPr>
          <w:p>
            <w:pPr>
              <w:jc w:val="right"/>
              <w:ind w:right="612"/>
              <w:spacing w:after="0"/>
              <w:rPr>
                <w:sz w:val="20"/>
                <w:szCs w:val="20"/>
                <w:color w:val="auto"/>
              </w:rPr>
            </w:pPr>
            <w:r>
              <w:rPr>
                <w:rFonts w:ascii="Arial" w:cs="Arial" w:eastAsia="Arial" w:hAnsi="Arial"/>
                <w:sz w:val="18"/>
                <w:szCs w:val="18"/>
                <w:color w:val="auto"/>
              </w:rPr>
              <w:t>6</w:t>
            </w: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6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9"/>
              </w:rPr>
              <w:t>July 30,</w:t>
            </w:r>
          </w:p>
        </w:tc>
        <w:tc>
          <w:tcPr>
            <w:tcW w:w="30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3"/>
              <w:spacing w:after="0" w:line="129" w:lineRule="exact"/>
              <w:rPr>
                <w:sz w:val="20"/>
                <w:szCs w:val="20"/>
                <w:color w:val="auto"/>
              </w:rPr>
            </w:pPr>
            <w:r>
              <w:rPr>
                <w:rFonts w:ascii="Arial" w:cs="Arial" w:eastAsia="Arial" w:hAnsi="Arial"/>
                <w:sz w:val="14"/>
                <w:szCs w:val="14"/>
                <w:b w:val="1"/>
                <w:bCs w:val="1"/>
                <w:color w:val="auto"/>
                <w:w w:val="85"/>
              </w:rPr>
              <w:t>July 31,</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jc w:val="right"/>
              <w:ind w:right="580"/>
              <w:spacing w:after="0" w:line="129" w:lineRule="exact"/>
              <w:rPr>
                <w:sz w:val="20"/>
                <w:szCs w:val="20"/>
                <w:color w:val="auto"/>
              </w:rPr>
            </w:pPr>
            <w:r>
              <w:rPr>
                <w:rFonts w:ascii="Arial" w:cs="Arial" w:eastAsia="Arial" w:hAnsi="Arial"/>
                <w:sz w:val="14"/>
                <w:szCs w:val="14"/>
                <w:b w:val="1"/>
                <w:bCs w:val="1"/>
                <w:color w:val="auto"/>
                <w:w w:val="89"/>
              </w:rPr>
              <w:t>July 30,</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w w:val="97"/>
              </w:rPr>
              <w:t>July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3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GAAP net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192,392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146,861</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219,777</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339,253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425,544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30,355</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27,480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30,689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57,835</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57,585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11,138</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14,341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21,214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25,479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567</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619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1,660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1,186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2,246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(a)</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2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234,452</w:t>
            </w:r>
          </w:p>
        </w:tc>
        <w:tc>
          <w:tcPr>
            <w:tcW w:w="18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189,301</w:t>
            </w: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273,340</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423,753</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533,511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shares—diluted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623,132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657,140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675,220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640,136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676,639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1,645</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5,808</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3,131</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3,726</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624,777</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662,948</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678,351</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643,862</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679,912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18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0.22</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0.53</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0.63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0.38</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0.29</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0.40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0.78</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519,403</w:t>
            </w:r>
          </w:p>
        </w:tc>
        <w:tc>
          <w:tcPr>
            <w:tcW w:w="18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467,927</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529,792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987,330</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1,041,386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1,916</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1,695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1,692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3,611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3,928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(a)</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521,319</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469,622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531,484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990,941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1,049,687</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 as a % of revenue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57.9%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58.3%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59.1%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320"/>
              <w:spacing w:after="0"/>
              <w:rPr>
                <w:sz w:val="20"/>
                <w:szCs w:val="20"/>
                <w:color w:val="auto"/>
              </w:rPr>
            </w:pPr>
            <w:r>
              <w:rPr>
                <w:rFonts w:ascii="Arial" w:cs="Arial" w:eastAsia="Arial" w:hAnsi="Arial"/>
                <w:sz w:val="18"/>
                <w:szCs w:val="18"/>
                <w:color w:val="auto"/>
              </w:rPr>
              <w:t>58.1%</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59.4%</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58.1%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58.5%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59.3%</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58.3%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59.9%</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249,604</w:t>
            </w:r>
          </w:p>
        </w:tc>
        <w:tc>
          <w:tcPr>
            <w:tcW w:w="18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242,537</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228,211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492,141</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447,322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(22,128)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(19,593)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2"/>
              </w:rPr>
              <w:t>(22,089)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(41,721)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(139)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(168)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(1,370)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(307)</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(1,499)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227,337</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222,776</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204,752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6"/>
              </w:rPr>
              <w:t>450,113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404,883</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40,390</w:t>
            </w:r>
          </w:p>
        </w:tc>
        <w:tc>
          <w:tcPr>
            <w:tcW w:w="180" w:type="dxa"/>
            <w:vAlign w:val="bottom"/>
          </w:tcPr>
          <w:p>
            <w:pPr>
              <w:spacing w:after="0"/>
              <w:rPr>
                <w:sz w:val="18"/>
                <w:szCs w:val="18"/>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38,152</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36,863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78,542</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75,286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(3,207)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(2,654)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(2,397)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(5,861)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(5,570)</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2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37,183</w:t>
            </w:r>
          </w:p>
        </w:tc>
        <w:tc>
          <w:tcPr>
            <w:tcW w:w="18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35,498</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34,466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72,681</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69,716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23,631</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24,784</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25,440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48,415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48,548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(3,104)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(3,538)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(4,511)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(6,642)</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(7,147)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(428)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(451)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(290)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(879)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(747)</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Non-GAAP general and administrative</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2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20,099</w:t>
            </w:r>
          </w:p>
        </w:tc>
        <w:tc>
          <w:tcPr>
            <w:tcW w:w="180" w:type="dxa"/>
            <w:vAlign w:val="bottom"/>
          </w:tcPr>
          <w:p>
            <w:pPr>
              <w:spacing w:after="0"/>
              <w:rPr>
                <w:sz w:val="19"/>
                <w:szCs w:val="19"/>
                <w:color w:val="auto"/>
              </w:rPr>
            </w:pP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20,795</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20,639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40,894</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40,654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six months ended July 31, 2010 includes portions of litigation settlements related to previous periods.</w:t>
      </w:r>
    </w:p>
    <w:p>
      <w:pPr>
        <w:spacing w:after="0" w:line="15" w:lineRule="exact"/>
        <w:rPr>
          <w:rFonts w:ascii="Arial" w:cs="Arial" w:eastAsia="Arial" w:hAnsi="Arial"/>
          <w:sz w:val="18"/>
          <w:szCs w:val="18"/>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30,</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2,399,787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2,930,030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405,757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322,005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70,842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77,763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3,198,391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363,764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26,070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2,119,649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2,129,464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120,689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6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5,828,563</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353,992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207,156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232,518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67,827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628,975</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173,457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802,432</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1,207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3,966,047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5,752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1,053,125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5,026,131</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5,828,563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vMerge w:val="restart"/>
          </w:tcPr>
          <w:p>
            <w:pPr>
              <w:jc w:val="right"/>
              <w:ind w:right="357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140" w:type="dxa"/>
            <w:vAlign w:val="bottom"/>
            <w:gridSpan w:val="5"/>
          </w:tcPr>
          <w:p>
            <w:pPr>
              <w:jc w:val="right"/>
              <w:ind w:right="62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980" w:type="dxa"/>
            <w:vAlign w:val="bottom"/>
            <w:gridSpan w:val="4"/>
          </w:tcPr>
          <w:p>
            <w:pPr>
              <w:jc w:val="right"/>
              <w:ind w:right="5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4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July 30,</w:t>
            </w: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73"/>
              <w:spacing w:after="0" w:line="129" w:lineRule="exact"/>
              <w:rPr>
                <w:sz w:val="20"/>
                <w:szCs w:val="20"/>
                <w:color w:val="auto"/>
              </w:rPr>
            </w:pPr>
            <w:r>
              <w:rPr>
                <w:rFonts w:ascii="Arial" w:cs="Arial" w:eastAsia="Arial" w:hAnsi="Arial"/>
                <w:sz w:val="14"/>
                <w:szCs w:val="14"/>
                <w:b w:val="1"/>
                <w:bCs w:val="1"/>
                <w:color w:val="auto"/>
              </w:rPr>
              <w:t>July 31,</w:t>
            </w:r>
          </w:p>
        </w:tc>
        <w:tc>
          <w:tcPr>
            <w:tcW w:w="3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8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July 30,</w:t>
            </w:r>
          </w:p>
        </w:tc>
        <w:tc>
          <w:tcPr>
            <w:tcW w:w="80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rPr>
              <w:t>July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460" w:type="dxa"/>
            <w:vAlign w:val="bottom"/>
          </w:tcPr>
          <w:p>
            <w:pPr>
              <w:spacing w:after="0"/>
              <w:rPr>
                <w:sz w:val="14"/>
                <w:szCs w:val="14"/>
                <w:color w:val="auto"/>
              </w:rPr>
            </w:pPr>
          </w:p>
        </w:tc>
        <w:tc>
          <w:tcPr>
            <w:tcW w:w="1440" w:type="dxa"/>
            <w:vAlign w:val="bottom"/>
            <w:gridSpan w:val="2"/>
          </w:tcPr>
          <w:p>
            <w:pPr>
              <w:jc w:val="right"/>
              <w:ind w:right="155"/>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800" w:type="dxa"/>
            <w:vAlign w:val="bottom"/>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4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7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Net income</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$ 192,392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219,777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339,253</w:t>
            </w:r>
          </w:p>
        </w:tc>
        <w:tc>
          <w:tcPr>
            <w:tcW w:w="32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425,544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7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22,437</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22,773</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46,474</w:t>
            </w:r>
          </w:p>
        </w:tc>
        <w:tc>
          <w:tcPr>
            <w:tcW w:w="32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45,851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30,355</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30,689</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57,835</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11,138</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21,214</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25,479</w:t>
            </w:r>
          </w:p>
        </w:tc>
        <w:tc>
          <w:tcPr>
            <w:tcW w:w="32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43,763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(income) expense, net</w:t>
            </w:r>
          </w:p>
        </w:tc>
        <w:tc>
          <w:tcPr>
            <w:tcW w:w="1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3,291</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2,777</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7,145</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Facilities impairment</w:t>
            </w:r>
          </w:p>
        </w:tc>
        <w:tc>
          <w:tcPr>
            <w:tcW w:w="72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1,140</w:t>
            </w:r>
          </w:p>
        </w:tc>
        <w:tc>
          <w:tcPr>
            <w:tcW w:w="100" w:type="dxa"/>
            <w:vAlign w:val="bottom"/>
          </w:tcPr>
          <w:p>
            <w:pPr>
              <w:spacing w:after="0"/>
              <w:rPr>
                <w:sz w:val="18"/>
                <w:szCs w:val="18"/>
                <w:color w:val="auto"/>
              </w:rPr>
            </w:pPr>
          </w:p>
        </w:tc>
        <w:tc>
          <w:tcPr>
            <w:tcW w:w="10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acquired inventory sold</w:t>
            </w:r>
          </w:p>
        </w:tc>
        <w:tc>
          <w:tcPr>
            <w:tcW w:w="7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(1,048)</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760" w:type="dxa"/>
            <w:vAlign w:val="bottom"/>
            <w:gridSpan w:val="3"/>
          </w:tcPr>
          <w:p>
            <w:pPr>
              <w:jc w:val="right"/>
              <w:ind w:right="260"/>
              <w:spacing w:after="0"/>
              <w:rPr>
                <w:sz w:val="20"/>
                <w:szCs w:val="20"/>
                <w:color w:val="auto"/>
              </w:rPr>
            </w:pPr>
            <w:r>
              <w:rPr>
                <w:rFonts w:ascii="Arial" w:cs="Arial" w:eastAsia="Arial" w:hAnsi="Arial"/>
                <w:sz w:val="18"/>
                <w:szCs w:val="18"/>
                <w:color w:val="auto"/>
              </w:rPr>
              <w:t>(11)</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(14)</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7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19,711</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(42,062)</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53,649</w:t>
            </w:r>
          </w:p>
        </w:tc>
        <w:tc>
          <w:tcPr>
            <w:tcW w:w="32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(133,959)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1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(22,897)</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(31,501)</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(76,004)</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16,794</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(5,384)</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17,438</w:t>
            </w:r>
          </w:p>
        </w:tc>
        <w:tc>
          <w:tcPr>
            <w:tcW w:w="32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4,997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1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12,294</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91,740</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6,999</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98,443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5,359</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2,071</w:t>
            </w: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(91)</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4,433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1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(14,387)</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4,406</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(29,267)</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72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(13,063)</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2,690</w:t>
            </w: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(8,334)</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26,623</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460" w:type="dxa"/>
            <w:vAlign w:val="bottom"/>
          </w:tcPr>
          <w:p>
            <w:pPr>
              <w:spacing w:after="0"/>
              <w:rPr>
                <w:sz w:val="2"/>
                <w:szCs w:val="2"/>
                <w:color w:val="auto"/>
              </w:rPr>
            </w:pPr>
          </w:p>
        </w:tc>
        <w:tc>
          <w:tcPr>
            <w:tcW w:w="7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7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263,413</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319,238</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440,562</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574,829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7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1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(462,705)</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(522,182)</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(1,139,884)</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(709,060)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1760" w:type="dxa"/>
            <w:vAlign w:val="bottom"/>
            <w:gridSpan w:val="3"/>
          </w:tcPr>
          <w:p>
            <w:pPr>
              <w:jc w:val="right"/>
              <w:ind w:right="260"/>
              <w:spacing w:after="0"/>
              <w:rPr>
                <w:sz w:val="20"/>
                <w:szCs w:val="20"/>
                <w:color w:val="auto"/>
              </w:rPr>
            </w:pPr>
            <w:r>
              <w:rPr>
                <w:rFonts w:ascii="Arial" w:cs="Arial" w:eastAsia="Arial" w:hAnsi="Arial"/>
                <w:sz w:val="18"/>
                <w:szCs w:val="18"/>
                <w:color w:val="auto"/>
              </w:rPr>
              <w:t>(503)</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(750)</w:t>
            </w: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(2,253)</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17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408,522</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198,305</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681,069</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347,745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760" w:type="dxa"/>
            <w:vAlign w:val="bottom"/>
            <w:gridSpan w:val="3"/>
          </w:tcPr>
          <w:p>
            <w:pPr>
              <w:jc w:val="right"/>
              <w:ind w:right="260"/>
              <w:spacing w:after="0"/>
              <w:rPr>
                <w:sz w:val="20"/>
                <w:szCs w:val="20"/>
                <w:color w:val="auto"/>
              </w:rPr>
            </w:pPr>
            <w:r>
              <w:rPr>
                <w:rFonts w:ascii="Arial" w:cs="Arial" w:eastAsia="Arial" w:hAnsi="Arial"/>
                <w:sz w:val="18"/>
                <w:szCs w:val="18"/>
                <w:color w:val="auto"/>
              </w:rPr>
              <w:t>(430)</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(20,679)</w:t>
            </w: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(16,760)</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(20,679)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(3,325)</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(4,569)</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(6,615)</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(6,819)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720" w:type="dxa"/>
            <w:vAlign w:val="bottom"/>
          </w:tcPr>
          <w:p>
            <w:pPr>
              <w:spacing w:after="0"/>
              <w:rPr>
                <w:sz w:val="18"/>
                <w:szCs w:val="18"/>
                <w:color w:val="auto"/>
              </w:rPr>
            </w:pP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(25,227)</w:t>
            </w:r>
          </w:p>
        </w:tc>
        <w:tc>
          <w:tcPr>
            <w:tcW w:w="8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(22,903)</w:t>
            </w: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(42,245)</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(39,298)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460" w:type="dxa"/>
            <w:vAlign w:val="bottom"/>
          </w:tcPr>
          <w:p>
            <w:pPr>
              <w:spacing w:after="0"/>
              <w:rPr>
                <w:sz w:val="2"/>
                <w:szCs w:val="2"/>
                <w:color w:val="auto"/>
              </w:rPr>
            </w:pPr>
          </w:p>
        </w:tc>
        <w:tc>
          <w:tcPr>
            <w:tcW w:w="7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7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(83,668)</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(372,778)</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(526,688)</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(429,861)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7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(135,740)</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(939,241)</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36,548</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31,789</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41,755</w:t>
            </w:r>
          </w:p>
        </w:tc>
        <w:tc>
          <w:tcPr>
            <w:tcW w:w="32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80,477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7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(480)</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(511)</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72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11</w:t>
            </w:r>
          </w:p>
        </w:tc>
        <w:tc>
          <w:tcPr>
            <w:tcW w:w="80" w:type="dxa"/>
            <w:vAlign w:val="bottom"/>
          </w:tcPr>
          <w:p>
            <w:pPr>
              <w:spacing w:after="0"/>
              <w:rPr>
                <w:sz w:val="18"/>
                <w:szCs w:val="18"/>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14</w:t>
            </w:r>
          </w:p>
        </w:tc>
        <w:tc>
          <w:tcPr>
            <w:tcW w:w="32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460" w:type="dxa"/>
            <w:vAlign w:val="bottom"/>
          </w:tcPr>
          <w:p>
            <w:pPr>
              <w:spacing w:after="0"/>
              <w:rPr>
                <w:sz w:val="2"/>
                <w:szCs w:val="2"/>
                <w:color w:val="auto"/>
              </w:rPr>
            </w:pPr>
          </w:p>
        </w:tc>
        <w:tc>
          <w:tcPr>
            <w:tcW w:w="7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provided by financing activities</w:t>
            </w:r>
          </w:p>
        </w:tc>
        <w:tc>
          <w:tcPr>
            <w:tcW w:w="7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(99,181)</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31,353</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(897,983)</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79,756</w:t>
            </w:r>
          </w:p>
        </w:tc>
        <w:tc>
          <w:tcPr>
            <w:tcW w:w="0" w:type="dxa"/>
            <w:vAlign w:val="bottom"/>
          </w:tcPr>
          <w:p>
            <w:pPr>
              <w:spacing w:after="0"/>
              <w:rPr>
                <w:sz w:val="1"/>
                <w:szCs w:val="1"/>
                <w:color w:val="auto"/>
              </w:rPr>
            </w:pPr>
          </w:p>
        </w:tc>
      </w:tr>
      <w:tr>
        <w:trPr>
          <w:trHeight w:val="20"/>
        </w:trPr>
        <w:tc>
          <w:tcPr>
            <w:tcW w:w="648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7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480" w:type="dxa"/>
            <w:vAlign w:val="bottom"/>
            <w:gridSpan w:val="2"/>
            <w:vMerge w:val="continue"/>
          </w:tcPr>
          <w:p>
            <w:pPr>
              <w:spacing w:after="0"/>
              <w:rPr>
                <w:sz w:val="19"/>
                <w:szCs w:val="19"/>
                <w:color w:val="auto"/>
              </w:rPr>
            </w:pPr>
          </w:p>
        </w:tc>
        <w:tc>
          <w:tcPr>
            <w:tcW w:w="72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80,564</w:t>
            </w:r>
          </w:p>
        </w:tc>
        <w:tc>
          <w:tcPr>
            <w:tcW w:w="80" w:type="dxa"/>
            <w:vAlign w:val="bottom"/>
          </w:tcPr>
          <w:p>
            <w:pPr>
              <w:spacing w:after="0"/>
              <w:rPr>
                <w:sz w:val="19"/>
                <w:szCs w:val="19"/>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(22,187)</w:t>
            </w:r>
          </w:p>
        </w:tc>
        <w:tc>
          <w:tcPr>
            <w:tcW w:w="100" w:type="dxa"/>
            <w:vAlign w:val="bottom"/>
          </w:tcPr>
          <w:p>
            <w:pPr>
              <w:spacing w:after="0"/>
              <w:rPr>
                <w:sz w:val="19"/>
                <w:szCs w:val="19"/>
                <w:color w:val="auto"/>
              </w:rPr>
            </w:pP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(984,109)</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224,724</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460" w:type="dxa"/>
            <w:vAlign w:val="bottom"/>
          </w:tcPr>
          <w:p>
            <w:pPr>
              <w:spacing w:after="0"/>
              <w:rPr>
                <w:sz w:val="2"/>
                <w:szCs w:val="2"/>
                <w:color w:val="auto"/>
              </w:rPr>
            </w:pPr>
          </w:p>
        </w:tc>
        <w:tc>
          <w:tcPr>
            <w:tcW w:w="7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7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782,401</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4"/>
              </w:rPr>
              <w:t>1,352,339</w:t>
            </w: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1,847,074</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1,105,428</w:t>
            </w:r>
          </w:p>
        </w:tc>
        <w:tc>
          <w:tcPr>
            <w:tcW w:w="0" w:type="dxa"/>
            <w:vAlign w:val="bottom"/>
          </w:tcPr>
          <w:p>
            <w:pPr>
              <w:spacing w:after="0"/>
              <w:rPr>
                <w:sz w:val="1"/>
                <w:szCs w:val="1"/>
                <w:color w:val="auto"/>
              </w:rPr>
            </w:pPr>
          </w:p>
        </w:tc>
      </w:tr>
      <w:tr>
        <w:trPr>
          <w:trHeight w:val="20"/>
        </w:trPr>
        <w:tc>
          <w:tcPr>
            <w:tcW w:w="648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7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480" w:type="dxa"/>
            <w:vAlign w:val="bottom"/>
            <w:gridSpan w:val="2"/>
            <w:vMerge w:val="continue"/>
          </w:tcPr>
          <w:p>
            <w:pPr>
              <w:spacing w:after="0"/>
              <w:rPr>
                <w:sz w:val="19"/>
                <w:szCs w:val="19"/>
                <w:color w:val="auto"/>
              </w:rPr>
            </w:pPr>
          </w:p>
        </w:tc>
        <w:tc>
          <w:tcPr>
            <w:tcW w:w="1760" w:type="dxa"/>
            <w:vAlign w:val="bottom"/>
            <w:gridSpan w:val="3"/>
          </w:tcPr>
          <w:p>
            <w:pPr>
              <w:jc w:val="right"/>
              <w:ind w:right="320"/>
              <w:spacing w:after="0"/>
              <w:rPr>
                <w:sz w:val="20"/>
                <w:szCs w:val="20"/>
                <w:color w:val="auto"/>
              </w:rPr>
            </w:pPr>
            <w:r>
              <w:rPr>
                <w:rFonts w:ascii="Arial" w:cs="Arial" w:eastAsia="Arial" w:hAnsi="Arial"/>
                <w:sz w:val="18"/>
                <w:szCs w:val="18"/>
                <w:color w:val="auto"/>
              </w:rPr>
              <w:t>$ 862,965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w w:val="84"/>
              </w:rPr>
              <w:t>1,330,152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862,965</w:t>
            </w:r>
          </w:p>
        </w:tc>
        <w:tc>
          <w:tcPr>
            <w:tcW w:w="32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1,330,152</w:t>
            </w:r>
          </w:p>
        </w:tc>
        <w:tc>
          <w:tcPr>
            <w:tcW w:w="0" w:type="dxa"/>
            <w:vAlign w:val="bottom"/>
          </w:tcPr>
          <w:p>
            <w:pPr>
              <w:spacing w:after="0"/>
              <w:rPr>
                <w:sz w:val="1"/>
                <w:szCs w:val="1"/>
                <w:color w:val="auto"/>
              </w:rPr>
            </w:pPr>
          </w:p>
        </w:tc>
      </w:tr>
      <w:tr>
        <w:trPr>
          <w:trHeight w:val="372"/>
        </w:trPr>
        <w:tc>
          <w:tcPr>
            <w:tcW w:w="6480" w:type="dxa"/>
            <w:vAlign w:val="bottom"/>
            <w:gridSpan w:val="2"/>
          </w:tcPr>
          <w:p>
            <w:pPr>
              <w:jc w:val="right"/>
              <w:ind w:right="632"/>
              <w:spacing w:after="0"/>
              <w:rPr>
                <w:sz w:val="20"/>
                <w:szCs w:val="20"/>
                <w:color w:val="auto"/>
              </w:rPr>
            </w:pPr>
            <w:r>
              <w:rPr>
                <w:rFonts w:ascii="Arial" w:cs="Arial" w:eastAsia="Arial" w:hAnsi="Arial"/>
                <w:sz w:val="18"/>
                <w:szCs w:val="18"/>
                <w:color w:val="auto"/>
              </w:rPr>
              <w:t>9</w:t>
            </w:r>
          </w:p>
        </w:tc>
        <w:tc>
          <w:tcPr>
            <w:tcW w:w="720" w:type="dxa"/>
            <w:vAlign w:val="bottom"/>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60" w:type="dxa"/>
            <w:vAlign w:val="bottom"/>
            <w:tcBorders>
              <w:top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8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2019-12-10T17:56:46Z</dcterms:created>
  <dcterms:modified xsi:type="dcterms:W3CDTF">2019-12-10T17:56:46Z</dcterms:modified>
</cp:coreProperties>
</file>