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July 30, 2011</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6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sectPr>
      </w:pPr>
    </w:p>
    <w:p>
      <w:pPr>
        <w:spacing w:after="0" w:line="286" w:lineRule="exact"/>
        <w:rPr>
          <w:sz w:val="24"/>
          <w:szCs w:val="24"/>
          <w:color w:val="auto"/>
        </w:rPr>
      </w:pPr>
    </w:p>
    <w:p>
      <w:pPr>
        <w:ind w:left="2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2">
            <w:col w:w="7540" w:space="720"/>
            <w:col w:w="3160"/>
          </w:cols>
          <w:pgMar w:left="240" w:top="230" w:right="239" w:bottom="1440" w:gutter="0" w:footer="0" w:header="0"/>
          <w:type w:val="continuous"/>
        </w:sectPr>
      </w:pPr>
    </w:p>
    <w:p>
      <w:pPr>
        <w:ind w:left="202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198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57" w:lineRule="exact"/>
        <w:rPr>
          <w:sz w:val="24"/>
          <w:szCs w:val="24"/>
          <w:color w:val="auto"/>
        </w:rPr>
      </w:pPr>
    </w:p>
    <w:p>
      <w:pPr>
        <w:sectPr>
          <w:pgSz w:w="11900" w:h="16838" w:orient="portrait"/>
          <w:cols w:equalWidth="0" w:num="2">
            <w:col w:w="7440" w:space="720"/>
            <w:col w:w="3260"/>
          </w:cols>
          <w:pgMar w:left="240" w:top="230" w:right="239" w:bottom="1440" w:gutter="0" w:footer="0" w:header="0"/>
          <w:type w:val="continuous"/>
        </w:sectPr>
      </w:pPr>
    </w:p>
    <w:p>
      <w:pPr>
        <w:jc w:val="center"/>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4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(Address, including Zip Code, of principal executive offices and</w:t>
      </w: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35"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76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500" w:type="dxa"/>
            <w:vAlign w:val="bottom"/>
          </w:tcPr>
          <w:p>
            <w:pPr>
              <w:ind w:left="34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76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500" w:type="dxa"/>
            <w:vAlign w:val="bottom"/>
          </w:tcPr>
          <w:p>
            <w:pPr>
              <w:ind w:left="34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500" w:type="dxa"/>
            <w:vAlign w:val="bottom"/>
          </w:tcPr>
          <w:p>
            <w:pPr>
              <w:ind w:left="1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92"/>
              </w:rPr>
              <w:t>The number of common shares of the registrant outstanding as of August 26, 2011 was 605.7 million shares.</w:t>
            </w: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760" w:type="dxa"/>
            <w:vAlign w:val="bottom"/>
            <w:tcBorders>
              <w:bottom w:val="single" w:sz="8" w:color="auto"/>
            </w:tcBorders>
          </w:tcPr>
          <w:p>
            <w:pPr>
              <w:spacing w:after="0"/>
              <w:rPr>
                <w:sz w:val="10"/>
                <w:szCs w:val="10"/>
                <w:color w:val="auto"/>
              </w:rPr>
            </w:pPr>
          </w:p>
        </w:tc>
        <w:tc>
          <w:tcPr>
            <w:tcW w:w="250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760" w:type="dxa"/>
            <w:vAlign w:val="bottom"/>
            <w:tcBorders>
              <w:bottom w:val="single" w:sz="8" w:color="auto"/>
            </w:tcBorders>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r>
      <w:tr>
        <w:trPr>
          <w:trHeight w:val="302"/>
        </w:trPr>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460" w:type="dxa"/>
            <w:vAlign w:val="bottom"/>
            <w:gridSpan w:val="8"/>
          </w:tcPr>
          <w:p>
            <w:pPr>
              <w:jc w:val="center"/>
              <w:ind w:right="2280"/>
              <w:spacing w:after="0"/>
              <w:rPr>
                <w:sz w:val="20"/>
                <w:szCs w:val="20"/>
                <w:color w:val="auto"/>
              </w:rPr>
            </w:pPr>
            <w:r>
              <w:rPr>
                <w:rFonts w:ascii="Arial" w:cs="Arial" w:eastAsia="Arial" w:hAnsi="Arial"/>
                <w:sz w:val="18"/>
                <w:szCs w:val="18"/>
                <w:b w:val="1"/>
                <w:bCs w:val="1"/>
                <w:color w:val="auto"/>
                <w:w w:val="99"/>
              </w:rPr>
              <w:t>PART I. FINANCIAL INFORMATION</w:t>
            </w:r>
          </w:p>
        </w:tc>
        <w:tc>
          <w:tcPr>
            <w:tcW w:w="280" w:type="dxa"/>
            <w:vAlign w:val="bottom"/>
          </w:tcPr>
          <w:p>
            <w:pPr>
              <w:spacing w:after="0"/>
              <w:rPr>
                <w:sz w:val="24"/>
                <w:szCs w:val="24"/>
                <w:color w:val="auto"/>
              </w:rPr>
            </w:pPr>
          </w:p>
        </w:tc>
      </w:tr>
      <w:tr>
        <w:trPr>
          <w:trHeight w:val="324"/>
        </w:trPr>
        <w:tc>
          <w:tcPr>
            <w:tcW w:w="840" w:type="dxa"/>
            <w:vAlign w:val="bottom"/>
            <w:gridSpan w:val="2"/>
          </w:tcPr>
          <w:p>
            <w:pPr>
              <w:spacing w:after="0"/>
              <w:rPr>
                <w:sz w:val="20"/>
                <w:szCs w:val="20"/>
                <w:color w:val="auto"/>
              </w:rPr>
            </w:pPr>
            <w:r>
              <w:rPr>
                <w:rFonts w:ascii="Arial" w:cs="Arial" w:eastAsia="Arial" w:hAnsi="Arial"/>
                <w:sz w:val="18"/>
                <w:szCs w:val="18"/>
                <w:color w:val="auto"/>
              </w:rPr>
              <w:t>Item 1.</w:t>
            </w:r>
          </w:p>
        </w:tc>
        <w:tc>
          <w:tcPr>
            <w:tcW w:w="10200" w:type="dxa"/>
            <w:vAlign w:val="bottom"/>
            <w:gridSpan w:val="13"/>
          </w:tcPr>
          <w:p>
            <w:pPr>
              <w:spacing w:after="0"/>
              <w:rPr>
                <w:sz w:val="20"/>
                <w:szCs w:val="20"/>
                <w:color w:val="auto"/>
              </w:rPr>
            </w:pPr>
            <w:r>
              <w:rPr>
                <w:rFonts w:ascii="Arial" w:cs="Arial" w:eastAsia="Arial" w:hAnsi="Arial"/>
                <w:sz w:val="18"/>
                <w:szCs w:val="18"/>
                <w:color w:val="auto"/>
              </w:rPr>
              <w:t>Financial Statements:</w:t>
            </w:r>
          </w:p>
        </w:tc>
        <w:tc>
          <w:tcPr>
            <w:tcW w:w="280" w:type="dxa"/>
            <w:vAlign w:val="bottom"/>
          </w:tcPr>
          <w:p>
            <w:pPr>
              <w:spacing w:after="0"/>
              <w:rPr>
                <w:sz w:val="24"/>
                <w:szCs w:val="24"/>
                <w:color w:val="auto"/>
              </w:rPr>
            </w:pPr>
          </w:p>
        </w:tc>
      </w:tr>
      <w:tr>
        <w:trPr>
          <w:trHeight w:val="286"/>
        </w:trPr>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560" w:type="dxa"/>
            <w:vAlign w:val="bottom"/>
            <w:tcBorders>
              <w:bottom w:val="single" w:sz="8" w:color="0000EE"/>
            </w:tcBorders>
            <w:gridSpan w:val="10"/>
          </w:tcPr>
          <w:p>
            <w:pPr>
              <w:spacing w:after="0"/>
              <w:rPr>
                <w:rFonts w:ascii="Arial" w:cs="Arial" w:eastAsia="Arial" w:hAnsi="Arial"/>
                <w:sz w:val="18"/>
                <w:szCs w:val="18"/>
                <w:color w:val="0000EE"/>
                <w:w w:val="86"/>
              </w:rPr>
            </w:pPr>
            <w:hyperlink w:anchor="page3">
              <w:r>
                <w:rPr>
                  <w:rFonts w:ascii="Arial" w:cs="Arial" w:eastAsia="Arial" w:hAnsi="Arial"/>
                  <w:sz w:val="18"/>
                  <w:szCs w:val="18"/>
                  <w:color w:val="0000EE"/>
                  <w:w w:val="86"/>
                </w:rPr>
                <w:t>Unaudited Condensed Consolidated Balance Sheets as of July 30, 2011 and January 29, 2011</w:t>
              </w:r>
            </w:hyperlink>
          </w:p>
        </w:tc>
        <w:tc>
          <w:tcPr>
            <w:tcW w:w="3640" w:type="dxa"/>
            <w:vAlign w:val="bottom"/>
            <w:gridSpan w:val="3"/>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304"/>
        </w:trPr>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200" w:type="dxa"/>
            <w:vAlign w:val="bottom"/>
            <w:gridSpan w:val="13"/>
          </w:tcPr>
          <w:p>
            <w:pPr>
              <w:spacing w:after="0"/>
              <w:rPr>
                <w:rFonts w:ascii="Arial" w:cs="Arial" w:eastAsia="Arial" w:hAnsi="Arial"/>
                <w:sz w:val="18"/>
                <w:szCs w:val="18"/>
                <w:color w:val="0000EE"/>
                <w:w w:val="97"/>
              </w:rPr>
            </w:pPr>
            <w:hyperlink w:anchor="page4">
              <w:r>
                <w:rPr>
                  <w:rFonts w:ascii="Arial" w:cs="Arial" w:eastAsia="Arial" w:hAnsi="Arial"/>
                  <w:sz w:val="18"/>
                  <w:szCs w:val="18"/>
                  <w:color w:val="0000EE"/>
                  <w:w w:val="97"/>
                </w:rPr>
                <w:t>Unaudited Condensed Consolidated Statements of Operations for the three and six months ended July 30, 2011 and July 31, 2010</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304"/>
        </w:trPr>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100" w:type="dxa"/>
            <w:vAlign w:val="bottom"/>
            <w:tcBorders>
              <w:top w:val="single" w:sz="8" w:color="0000EE"/>
            </w:tcBorders>
            <w:gridSpan w:val="12"/>
          </w:tcPr>
          <w:p>
            <w:pPr>
              <w:spacing w:after="0"/>
              <w:rPr>
                <w:rFonts w:ascii="Arial" w:cs="Arial" w:eastAsia="Arial" w:hAnsi="Arial"/>
                <w:sz w:val="18"/>
                <w:szCs w:val="18"/>
                <w:color w:val="0000EE"/>
                <w:w w:val="94"/>
              </w:rPr>
            </w:pPr>
            <w:hyperlink w:anchor="page5">
              <w:r>
                <w:rPr>
                  <w:rFonts w:ascii="Arial" w:cs="Arial" w:eastAsia="Arial" w:hAnsi="Arial"/>
                  <w:sz w:val="18"/>
                  <w:szCs w:val="18"/>
                  <w:color w:val="0000EE"/>
                  <w:w w:val="94"/>
                </w:rPr>
                <w:t>Unaudited Condensed Consolidated Statements of Cash Flows for the six months ended July 30, 2011 and July 31, 2010</w:t>
              </w:r>
            </w:hyperlink>
          </w:p>
        </w:tc>
        <w:tc>
          <w:tcPr>
            <w:tcW w:w="110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304"/>
        </w:trPr>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680" w:type="dxa"/>
            <w:vAlign w:val="bottom"/>
            <w:tcBorders>
              <w:top w:val="single" w:sz="8" w:color="0000EE"/>
              <w:bottom w:val="single" w:sz="8" w:color="0000EE"/>
            </w:tcBorders>
            <w:gridSpan w:val="8"/>
          </w:tcPr>
          <w:p>
            <w:pPr>
              <w:spacing w:after="0"/>
              <w:rPr>
                <w:rFonts w:ascii="Arial" w:cs="Arial" w:eastAsia="Arial" w:hAnsi="Arial"/>
                <w:sz w:val="18"/>
                <w:szCs w:val="18"/>
                <w:color w:val="0000EE"/>
                <w:w w:val="87"/>
              </w:rPr>
            </w:pPr>
            <w:hyperlink w:anchor="page6">
              <w:r>
                <w:rPr>
                  <w:rFonts w:ascii="Arial" w:cs="Arial" w:eastAsia="Arial" w:hAnsi="Arial"/>
                  <w:sz w:val="18"/>
                  <w:szCs w:val="18"/>
                  <w:color w:val="0000EE"/>
                  <w:w w:val="87"/>
                </w:rPr>
                <w:t>Notes to Unaudited Condensed Consolidated Financial Statements</w:t>
              </w:r>
            </w:hyperlink>
          </w:p>
        </w:tc>
        <w:tc>
          <w:tcPr>
            <w:tcW w:w="3780" w:type="dxa"/>
            <w:vAlign w:val="bottom"/>
            <w:tcBorders>
              <w:top w:val="single" w:sz="8" w:color="0000EE"/>
            </w:tcBorders>
            <w:gridSpan w:val="3"/>
          </w:tcPr>
          <w:p>
            <w:pPr>
              <w:spacing w:after="0"/>
              <w:rPr>
                <w:sz w:val="24"/>
                <w:szCs w:val="24"/>
                <w:color w:val="auto"/>
              </w:rPr>
            </w:pPr>
          </w:p>
        </w:tc>
        <w:tc>
          <w:tcPr>
            <w:tcW w:w="1740" w:type="dxa"/>
            <w:vAlign w:val="bottom"/>
            <w:gridSpan w:val="2"/>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304"/>
        </w:trPr>
        <w:tc>
          <w:tcPr>
            <w:tcW w:w="84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200" w:type="dxa"/>
            <w:vAlign w:val="bottom"/>
            <w:gridSpan w:val="13"/>
          </w:tcPr>
          <w:p>
            <w:pPr>
              <w:spacing w:after="0"/>
              <w:rPr>
                <w:rFonts w:ascii="Arial" w:cs="Arial" w:eastAsia="Arial" w:hAnsi="Arial"/>
                <w:sz w:val="18"/>
                <w:szCs w:val="18"/>
                <w:color w:val="0000EE"/>
              </w:rPr>
            </w:pPr>
            <w:hyperlink w:anchor="page22">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304"/>
        </w:trPr>
        <w:tc>
          <w:tcPr>
            <w:tcW w:w="840" w:type="dxa"/>
            <w:vAlign w:val="bottom"/>
            <w:gridSpan w:val="2"/>
          </w:tcPr>
          <w:p>
            <w:pPr>
              <w:spacing w:after="0"/>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7"/>
          </w:tcPr>
          <w:p>
            <w:pPr>
              <w:spacing w:after="0"/>
              <w:rPr>
                <w:rFonts w:ascii="Arial" w:cs="Arial" w:eastAsia="Arial" w:hAnsi="Arial"/>
                <w:sz w:val="18"/>
                <w:szCs w:val="18"/>
                <w:color w:val="0000EE"/>
                <w:w w:val="89"/>
              </w:rPr>
            </w:pPr>
            <w:hyperlink w:anchor="page28">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2"/>
          </w:tcPr>
          <w:p>
            <w:pPr>
              <w:spacing w:after="0"/>
              <w:rPr>
                <w:sz w:val="24"/>
                <w:szCs w:val="24"/>
                <w:color w:val="auto"/>
              </w:rPr>
            </w:pPr>
          </w:p>
        </w:tc>
        <w:tc>
          <w:tcPr>
            <w:tcW w:w="3900" w:type="dxa"/>
            <w:vAlign w:val="bottom"/>
            <w:gridSpan w:val="4"/>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304"/>
        </w:trPr>
        <w:tc>
          <w:tcPr>
            <w:tcW w:w="84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200" w:type="dxa"/>
            <w:vAlign w:val="bottom"/>
            <w:gridSpan w:val="13"/>
          </w:tcPr>
          <w:p>
            <w:pPr>
              <w:spacing w:after="0"/>
              <w:rPr>
                <w:rFonts w:ascii="Arial" w:cs="Arial" w:eastAsia="Arial" w:hAnsi="Arial"/>
                <w:sz w:val="18"/>
                <w:szCs w:val="18"/>
                <w:color w:val="0000EE"/>
              </w:rPr>
            </w:pPr>
            <w:hyperlink w:anchor="page30">
              <w:r>
                <w:rPr>
                  <w:rFonts w:ascii="Arial" w:cs="Arial" w:eastAsia="Arial" w:hAnsi="Arial"/>
                  <w:sz w:val="18"/>
                  <w:szCs w:val="18"/>
                  <w:color w:val="0000EE"/>
                </w:rPr>
                <w:t>Controls and Procedures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343"/>
        </w:trPr>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48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440" w:type="dxa"/>
            <w:vAlign w:val="bottom"/>
            <w:tcBorders>
              <w:top w:val="single" w:sz="8" w:color="0000EE"/>
            </w:tcBorders>
          </w:tcPr>
          <w:p>
            <w:pPr>
              <w:spacing w:after="0"/>
              <w:rPr>
                <w:sz w:val="24"/>
                <w:szCs w:val="24"/>
                <w:color w:val="auto"/>
              </w:rPr>
            </w:pPr>
          </w:p>
        </w:tc>
        <w:tc>
          <w:tcPr>
            <w:tcW w:w="8460" w:type="dxa"/>
            <w:vAlign w:val="bottom"/>
            <w:gridSpan w:val="8"/>
          </w:tcPr>
          <w:p>
            <w:pPr>
              <w:jc w:val="center"/>
              <w:ind w:right="2280"/>
              <w:spacing w:after="0"/>
              <w:rPr>
                <w:sz w:val="20"/>
                <w:szCs w:val="20"/>
                <w:color w:val="auto"/>
              </w:rPr>
            </w:pPr>
            <w:r>
              <w:rPr>
                <w:rFonts w:ascii="Arial" w:cs="Arial" w:eastAsia="Arial" w:hAnsi="Arial"/>
                <w:sz w:val="18"/>
                <w:szCs w:val="18"/>
                <w:b w:val="1"/>
                <w:bCs w:val="1"/>
                <w:color w:val="auto"/>
              </w:rPr>
              <w:t>PART II. OTHER INFORMATION</w:t>
            </w:r>
          </w:p>
        </w:tc>
        <w:tc>
          <w:tcPr>
            <w:tcW w:w="280" w:type="dxa"/>
            <w:vAlign w:val="bottom"/>
          </w:tcPr>
          <w:p>
            <w:pPr>
              <w:spacing w:after="0"/>
              <w:rPr>
                <w:sz w:val="24"/>
                <w:szCs w:val="24"/>
                <w:color w:val="auto"/>
              </w:rPr>
            </w:pPr>
          </w:p>
        </w:tc>
      </w:tr>
      <w:tr>
        <w:trPr>
          <w:trHeight w:val="286"/>
        </w:trPr>
        <w:tc>
          <w:tcPr>
            <w:tcW w:w="840" w:type="dxa"/>
            <w:vAlign w:val="bottom"/>
            <w:gridSpan w:val="2"/>
          </w:tcPr>
          <w:p>
            <w:pPr>
              <w:spacing w:after="0"/>
              <w:rPr>
                <w:sz w:val="20"/>
                <w:szCs w:val="20"/>
                <w:color w:val="auto"/>
              </w:rPr>
            </w:pPr>
            <w:r>
              <w:rPr>
                <w:rFonts w:ascii="Arial" w:cs="Arial" w:eastAsia="Arial" w:hAnsi="Arial"/>
                <w:sz w:val="18"/>
                <w:szCs w:val="18"/>
                <w:color w:val="auto"/>
              </w:rPr>
              <w:t>Item 1.</w:t>
            </w:r>
          </w:p>
        </w:tc>
        <w:tc>
          <w:tcPr>
            <w:tcW w:w="10200" w:type="dxa"/>
            <w:vAlign w:val="bottom"/>
            <w:gridSpan w:val="13"/>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Legal Proceedings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304"/>
        </w:trPr>
        <w:tc>
          <w:tcPr>
            <w:tcW w:w="84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4"/>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Risk Factors</w:t>
              </w:r>
            </w:hyperlink>
          </w:p>
        </w:tc>
        <w:tc>
          <w:tcPr>
            <w:tcW w:w="8900" w:type="dxa"/>
            <w:vAlign w:val="bottom"/>
            <w:gridSpan w:val="9"/>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0"/>
        </w:trPr>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360" w:type="dxa"/>
            <w:vAlign w:val="bottom"/>
            <w:gridSpan w:val="3"/>
          </w:tcPr>
          <w:p>
            <w:pPr>
              <w:spacing w:after="0" w:line="20" w:lineRule="exact"/>
              <w:rPr>
                <w:sz w:val="1"/>
                <w:szCs w:val="1"/>
                <w:color w:val="auto"/>
              </w:rPr>
            </w:pPr>
          </w:p>
        </w:tc>
        <w:tc>
          <w:tcPr>
            <w:tcW w:w="5960" w:type="dxa"/>
            <w:vAlign w:val="bottom"/>
            <w:gridSpan w:val="7"/>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r>
      <w:tr>
        <w:trPr>
          <w:trHeight w:val="304"/>
        </w:trPr>
        <w:tc>
          <w:tcPr>
            <w:tcW w:w="84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200" w:type="dxa"/>
            <w:vAlign w:val="bottom"/>
            <w:gridSpan w:val="13"/>
          </w:tcPr>
          <w:p>
            <w:pPr>
              <w:spacing w:after="0"/>
              <w:rPr>
                <w:rFonts w:ascii="Arial" w:cs="Arial" w:eastAsia="Arial" w:hAnsi="Arial"/>
                <w:sz w:val="18"/>
                <w:szCs w:val="18"/>
                <w:color w:val="0000EE"/>
              </w:rPr>
            </w:pPr>
            <w:hyperlink w:anchor="page44">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304"/>
        </w:trPr>
        <w:tc>
          <w:tcPr>
            <w:tcW w:w="840" w:type="dxa"/>
            <w:vAlign w:val="bottom"/>
            <w:gridSpan w:val="2"/>
          </w:tcPr>
          <w:p>
            <w:pPr>
              <w:spacing w:after="0"/>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6"/>
          </w:tcPr>
          <w:p>
            <w:pPr>
              <w:spacing w:after="0"/>
              <w:rPr>
                <w:rFonts w:ascii="Arial" w:cs="Arial" w:eastAsia="Arial" w:hAnsi="Arial"/>
                <w:sz w:val="18"/>
                <w:szCs w:val="18"/>
                <w:color w:val="0000EE"/>
              </w:rPr>
            </w:pPr>
            <w:hyperlink w:anchor="page44">
              <w:r>
                <w:rPr>
                  <w:rFonts w:ascii="Arial" w:cs="Arial" w:eastAsia="Arial" w:hAnsi="Arial"/>
                  <w:sz w:val="18"/>
                  <w:szCs w:val="18"/>
                  <w:color w:val="0000EE"/>
                </w:rPr>
                <w:t>Exhibits</w:t>
              </w:r>
            </w:hyperlink>
          </w:p>
        </w:tc>
        <w:tc>
          <w:tcPr>
            <w:tcW w:w="5960" w:type="dxa"/>
            <w:vAlign w:val="bottom"/>
            <w:gridSpan w:val="7"/>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304"/>
        </w:trPr>
        <w:tc>
          <w:tcPr>
            <w:tcW w:w="840" w:type="dxa"/>
            <w:vAlign w:val="bottom"/>
            <w:gridSpan w:val="2"/>
          </w:tcPr>
          <w:p>
            <w:pPr>
              <w:spacing w:after="0"/>
              <w:rPr>
                <w:rFonts w:ascii="Arial" w:cs="Arial" w:eastAsia="Arial" w:hAnsi="Arial"/>
                <w:sz w:val="18"/>
                <w:szCs w:val="18"/>
                <w:color w:val="0000EE"/>
                <w:w w:val="95"/>
              </w:rPr>
            </w:pPr>
            <w:hyperlink w:anchor="page45">
              <w:r>
                <w:rPr>
                  <w:rFonts w:ascii="Arial" w:cs="Arial" w:eastAsia="Arial" w:hAnsi="Arial"/>
                  <w:sz w:val="18"/>
                  <w:szCs w:val="18"/>
                  <w:color w:val="0000EE"/>
                  <w:w w:val="95"/>
                </w:rPr>
                <w:t>Signatures</w:t>
              </w:r>
            </w:hyperlink>
          </w:p>
        </w:tc>
        <w:tc>
          <w:tcPr>
            <w:tcW w:w="120" w:type="dxa"/>
            <w:vAlign w:val="bottom"/>
            <w:tcBorders>
              <w:top w:val="single" w:sz="8" w:color="0000EE"/>
            </w:tcBorders>
          </w:tcPr>
          <w:p>
            <w:pPr>
              <w:spacing w:after="0"/>
              <w:rPr>
                <w:sz w:val="24"/>
                <w:szCs w:val="24"/>
                <w:color w:val="auto"/>
              </w:rPr>
            </w:pPr>
          </w:p>
        </w:tc>
        <w:tc>
          <w:tcPr>
            <w:tcW w:w="48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5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080" w:type="dxa"/>
            <w:vAlign w:val="bottom"/>
            <w:gridSpan w:val="1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r>
      <w:tr>
        <w:trPr>
          <w:trHeight w:val="304"/>
        </w:trPr>
        <w:tc>
          <w:tcPr>
            <w:tcW w:w="11040" w:type="dxa"/>
            <w:vAlign w:val="bottom"/>
            <w:gridSpan w:val="15"/>
          </w:tcPr>
          <w:p>
            <w:pPr>
              <w:spacing w:after="0"/>
              <w:rPr>
                <w:rFonts w:ascii="Arial" w:cs="Arial" w:eastAsia="Arial" w:hAnsi="Arial"/>
                <w:sz w:val="18"/>
                <w:szCs w:val="18"/>
                <w:color w:val="0000EE"/>
              </w:rPr>
            </w:pPr>
            <w:hyperlink w:anchor="page46">
              <w:r>
                <w:rPr>
                  <w:rFonts w:ascii="Arial" w:cs="Arial" w:eastAsia="Arial" w:hAnsi="Arial"/>
                  <w:sz w:val="18"/>
                  <w:szCs w:val="18"/>
                  <w:color w:val="0000EE"/>
                </w:rPr>
                <w:t>Exhibit Index</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383"/>
        </w:trPr>
        <w:tc>
          <w:tcPr>
            <w:tcW w:w="74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6180" w:type="dxa"/>
            <w:vAlign w:val="bottom"/>
            <w:gridSpan w:val="8"/>
          </w:tcPr>
          <w:p>
            <w:pPr>
              <w:jc w:val="right"/>
              <w:ind w:right="1380"/>
              <w:spacing w:after="0"/>
              <w:rPr>
                <w:sz w:val="20"/>
                <w:szCs w:val="20"/>
                <w:color w:val="auto"/>
              </w:rPr>
            </w:pPr>
            <w:r>
              <w:rPr>
                <w:rFonts w:ascii="Arial" w:cs="Arial" w:eastAsia="Arial" w:hAnsi="Arial"/>
                <w:sz w:val="18"/>
                <w:szCs w:val="18"/>
                <w:color w:val="auto"/>
              </w:rPr>
              <w:t>1</w:t>
            </w:r>
          </w:p>
        </w:tc>
        <w:tc>
          <w:tcPr>
            <w:tcW w:w="26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80" w:type="dxa"/>
            <w:vAlign w:val="bottom"/>
          </w:tcPr>
          <w:p>
            <w:pPr>
              <w:spacing w:after="0"/>
              <w:rPr>
                <w:sz w:val="24"/>
                <w:szCs w:val="24"/>
                <w:color w:val="auto"/>
              </w:rPr>
            </w:pPr>
          </w:p>
        </w:tc>
      </w:tr>
    </w:tbl>
    <w:p>
      <w:pPr>
        <w:sectPr>
          <w:pgSz w:w="11900" w:h="16838" w:orient="portrait"/>
          <w:cols w:equalWidth="0" w:num="1">
            <w:col w:w="11320"/>
          </w:cols>
          <w:pgMar w:left="240" w:top="459"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5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ind w:left="80"/>
              <w:spacing w:after="0"/>
              <w:rPr>
                <w:sz w:val="20"/>
                <w:szCs w:val="20"/>
                <w:color w:val="auto"/>
              </w:rPr>
            </w:pPr>
            <w:r>
              <w:rPr>
                <w:rFonts w:ascii="Arial" w:cs="Arial" w:eastAsia="Arial" w:hAnsi="Arial"/>
                <w:sz w:val="14"/>
                <w:szCs w:val="14"/>
                <w:b w:val="1"/>
                <w:bCs w:val="1"/>
                <w:color w:val="auto"/>
              </w:rPr>
              <w:t>July 30,</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29,</w:t>
            </w:r>
          </w:p>
        </w:tc>
      </w:tr>
      <w:tr>
        <w:trPr>
          <w:trHeight w:val="161"/>
        </w:trPr>
        <w:tc>
          <w:tcPr>
            <w:tcW w:w="3740" w:type="dxa"/>
            <w:vAlign w:val="bottom"/>
            <w:tcBorders>
              <w:bottom w:val="single" w:sz="8" w:color="CCEEFF"/>
            </w:tcBorders>
          </w:tcPr>
          <w:p>
            <w:pPr>
              <w:spacing w:after="0"/>
              <w:rPr>
                <w:sz w:val="14"/>
                <w:szCs w:val="14"/>
                <w:color w:val="auto"/>
              </w:rPr>
            </w:pPr>
          </w:p>
        </w:tc>
        <w:tc>
          <w:tcPr>
            <w:tcW w:w="56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2011</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r>
      <w:tr>
        <w:trPr>
          <w:trHeight w:val="196"/>
        </w:trPr>
        <w:tc>
          <w:tcPr>
            <w:tcW w:w="3740" w:type="dxa"/>
            <w:vAlign w:val="bottom"/>
            <w:shd w:val="clear" w:color="auto" w:fill="CCEEFF"/>
          </w:tcPr>
          <w:p>
            <w:pPr>
              <w:spacing w:after="0"/>
              <w:rPr>
                <w:sz w:val="17"/>
                <w:szCs w:val="17"/>
                <w:color w:val="auto"/>
              </w:rPr>
            </w:pPr>
          </w:p>
        </w:tc>
        <w:tc>
          <w:tcPr>
            <w:tcW w:w="5680" w:type="dxa"/>
            <w:vAlign w:val="bottom"/>
            <w:shd w:val="clear" w:color="auto" w:fill="CCEEFF"/>
          </w:tcPr>
          <w:p>
            <w:pPr>
              <w:jc w:val="center"/>
              <w:ind w:right="1732"/>
              <w:spacing w:after="0" w:line="196" w:lineRule="exact"/>
              <w:rPr>
                <w:sz w:val="20"/>
                <w:szCs w:val="20"/>
                <w:color w:val="auto"/>
              </w:rPr>
            </w:pPr>
            <w:r>
              <w:rPr>
                <w:rFonts w:ascii="Arial" w:cs="Arial" w:eastAsia="Arial" w:hAnsi="Arial"/>
                <w:sz w:val="18"/>
                <w:szCs w:val="18"/>
                <w:b w:val="1"/>
                <w:bCs w:val="1"/>
                <w:color w:val="auto"/>
                <w:w w:val="91"/>
              </w:rPr>
              <w:t>ASSETS</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Current assets:</w:t>
            </w:r>
          </w:p>
        </w:tc>
        <w:tc>
          <w:tcPr>
            <w:tcW w:w="5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5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862,965</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1,847,074</w:t>
            </w:r>
          </w:p>
        </w:tc>
        <w:tc>
          <w:tcPr>
            <w:tcW w:w="100" w:type="dxa"/>
            <w:vAlign w:val="bottom"/>
            <w:shd w:val="clear" w:color="auto" w:fill="CCEEFF"/>
          </w:tcPr>
          <w:p>
            <w:pPr>
              <w:spacing w:after="0"/>
              <w:rPr>
                <w:sz w:val="18"/>
                <w:szCs w:val="18"/>
                <w:color w:val="auto"/>
              </w:rPr>
            </w:pPr>
          </w:p>
        </w:tc>
      </w:tr>
      <w:tr>
        <w:trPr>
          <w:trHeight w:val="216"/>
        </w:trPr>
        <w:tc>
          <w:tcPr>
            <w:tcW w:w="374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5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1,536,822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1,082,956</w:t>
            </w: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5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405,757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459,406</w:t>
            </w:r>
          </w:p>
        </w:tc>
        <w:tc>
          <w:tcPr>
            <w:tcW w:w="100" w:type="dxa"/>
            <w:vAlign w:val="bottom"/>
            <w:shd w:val="clear" w:color="auto" w:fill="CCEEFF"/>
          </w:tcPr>
          <w:p>
            <w:pPr>
              <w:spacing w:after="0"/>
              <w:rPr>
                <w:sz w:val="18"/>
                <w:szCs w:val="18"/>
                <w:color w:val="auto"/>
              </w:rPr>
            </w:pPr>
          </w:p>
        </w:tc>
      </w:tr>
      <w:tr>
        <w:trPr>
          <w:trHeight w:val="216"/>
        </w:trPr>
        <w:tc>
          <w:tcPr>
            <w:tcW w:w="374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5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322,005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245,448</w:t>
            </w: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5"/>
              </w:rPr>
              <w:t>Prepaid expenses and other current assets</w:t>
            </w:r>
          </w:p>
        </w:tc>
        <w:tc>
          <w:tcPr>
            <w:tcW w:w="5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60,024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66,945</w:t>
            </w:r>
          </w:p>
        </w:tc>
        <w:tc>
          <w:tcPr>
            <w:tcW w:w="100" w:type="dxa"/>
            <w:vAlign w:val="bottom"/>
            <w:shd w:val="clear" w:color="auto" w:fill="CCEEFF"/>
          </w:tcPr>
          <w:p>
            <w:pPr>
              <w:spacing w:after="0"/>
              <w:rPr>
                <w:sz w:val="18"/>
                <w:szCs w:val="18"/>
                <w:color w:val="auto"/>
              </w:rPr>
            </w:pPr>
          </w:p>
        </w:tc>
      </w:tr>
      <w:tr>
        <w:trPr>
          <w:trHeight w:val="223"/>
        </w:trPr>
        <w:tc>
          <w:tcPr>
            <w:tcW w:w="374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56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10,818</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10,818</w:t>
            </w:r>
          </w:p>
        </w:tc>
        <w:tc>
          <w:tcPr>
            <w:tcW w:w="100" w:type="dxa"/>
            <w:vAlign w:val="bottom"/>
          </w:tcPr>
          <w:p>
            <w:pPr>
              <w:spacing w:after="0"/>
              <w:rPr>
                <w:sz w:val="19"/>
                <w:szCs w:val="19"/>
                <w:color w:val="auto"/>
              </w:rPr>
            </w:pPr>
          </w:p>
        </w:tc>
      </w:tr>
      <w:tr>
        <w:trPr>
          <w:trHeight w:val="216"/>
        </w:trPr>
        <w:tc>
          <w:tcPr>
            <w:tcW w:w="37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5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3,198,391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3,712,647</w:t>
            </w:r>
          </w:p>
        </w:tc>
        <w:tc>
          <w:tcPr>
            <w:tcW w:w="100" w:type="dxa"/>
            <w:vAlign w:val="bottom"/>
            <w:shd w:val="clear" w:color="auto" w:fill="CCEEFF"/>
          </w:tcPr>
          <w:p>
            <w:pPr>
              <w:spacing w:after="0"/>
              <w:rPr>
                <w:sz w:val="18"/>
                <w:szCs w:val="18"/>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5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363,764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358,440</w:t>
            </w: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5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26,070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Goodwill</w:t>
            </w:r>
          </w:p>
        </w:tc>
        <w:tc>
          <w:tcPr>
            <w:tcW w:w="5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2,006,903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2,004,833</w:t>
            </w: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5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112,746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124,631</w:t>
            </w:r>
          </w:p>
        </w:tc>
        <w:tc>
          <w:tcPr>
            <w:tcW w:w="100" w:type="dxa"/>
            <w:vAlign w:val="bottom"/>
            <w:shd w:val="clear" w:color="auto" w:fill="CCEEFF"/>
          </w:tcPr>
          <w:p>
            <w:pPr>
              <w:spacing w:after="0"/>
              <w:rPr>
                <w:sz w:val="18"/>
                <w:szCs w:val="18"/>
                <w:color w:val="auto"/>
              </w:rPr>
            </w:pPr>
          </w:p>
        </w:tc>
      </w:tr>
      <w:tr>
        <w:trPr>
          <w:trHeight w:val="223"/>
        </w:trPr>
        <w:tc>
          <w:tcPr>
            <w:tcW w:w="374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56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120,689</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111,380</w:t>
            </w:r>
          </w:p>
        </w:tc>
        <w:tc>
          <w:tcPr>
            <w:tcW w:w="100" w:type="dxa"/>
            <w:vAlign w:val="bottom"/>
          </w:tcPr>
          <w:p>
            <w:pPr>
              <w:spacing w:after="0"/>
              <w:rPr>
                <w:sz w:val="19"/>
                <w:szCs w:val="19"/>
                <w:color w:val="auto"/>
              </w:rPr>
            </w:pPr>
          </w:p>
        </w:tc>
      </w:tr>
      <w:tr>
        <w:trPr>
          <w:trHeight w:val="216"/>
        </w:trPr>
        <w:tc>
          <w:tcPr>
            <w:tcW w:w="37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56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5,828,563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shd w:val="clear" w:color="auto" w:fill="CCEEFF"/>
          </w:tcPr>
          <w:p>
            <w:pPr>
              <w:spacing w:after="0"/>
              <w:rPr>
                <w:sz w:val="18"/>
                <w:szCs w:val="18"/>
                <w:color w:val="auto"/>
              </w:rPr>
            </w:pPr>
          </w:p>
        </w:tc>
      </w:tr>
      <w:tr>
        <w:trPr>
          <w:trHeight w:val="20"/>
        </w:trPr>
        <w:tc>
          <w:tcPr>
            <w:tcW w:w="3740" w:type="dxa"/>
            <w:vAlign w:val="bottom"/>
          </w:tcPr>
          <w:p>
            <w:pPr>
              <w:spacing w:after="0" w:line="20" w:lineRule="exact"/>
              <w:rPr>
                <w:sz w:val="1"/>
                <w:szCs w:val="1"/>
                <w:color w:val="auto"/>
              </w:rPr>
            </w:pPr>
          </w:p>
        </w:tc>
        <w:tc>
          <w:tcPr>
            <w:tcW w:w="578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08"/>
        </w:trPr>
        <w:tc>
          <w:tcPr>
            <w:tcW w:w="3740" w:type="dxa"/>
            <w:vAlign w:val="bottom"/>
          </w:tcPr>
          <w:p>
            <w:pPr>
              <w:spacing w:after="0"/>
              <w:rPr>
                <w:sz w:val="18"/>
                <w:szCs w:val="18"/>
                <w:color w:val="auto"/>
              </w:rPr>
            </w:pPr>
          </w:p>
        </w:tc>
        <w:tc>
          <w:tcPr>
            <w:tcW w:w="5680" w:type="dxa"/>
            <w:vAlign w:val="bottom"/>
          </w:tcPr>
          <w:p>
            <w:pPr>
              <w:jc w:val="center"/>
              <w:ind w:right="1732"/>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tcBorders>
          </w:tcPr>
          <w:p>
            <w:pPr>
              <w:spacing w:after="0"/>
              <w:rPr>
                <w:sz w:val="18"/>
                <w:szCs w:val="18"/>
                <w:color w:val="auto"/>
              </w:rPr>
            </w:pPr>
          </w:p>
        </w:tc>
        <w:tc>
          <w:tcPr>
            <w:tcW w:w="70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70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r>
      <w:tr>
        <w:trPr>
          <w:trHeight w:val="218"/>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5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374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5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353,992</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332,007</w:t>
            </w: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5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89,899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85,994</w:t>
            </w:r>
          </w:p>
        </w:tc>
        <w:tc>
          <w:tcPr>
            <w:tcW w:w="100" w:type="dxa"/>
            <w:vAlign w:val="bottom"/>
            <w:shd w:val="clear" w:color="auto" w:fill="CCEEFF"/>
          </w:tcPr>
          <w:p>
            <w:pPr>
              <w:spacing w:after="0"/>
              <w:rPr>
                <w:sz w:val="18"/>
                <w:szCs w:val="18"/>
                <w:color w:val="auto"/>
              </w:rPr>
            </w:pPr>
          </w:p>
        </w:tc>
      </w:tr>
      <w:tr>
        <w:trPr>
          <w:trHeight w:val="216"/>
        </w:trPr>
        <w:tc>
          <w:tcPr>
            <w:tcW w:w="374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5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117,257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146,524</w:t>
            </w: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56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67,827</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76,161</w:t>
            </w:r>
          </w:p>
        </w:tc>
        <w:tc>
          <w:tcPr>
            <w:tcW w:w="100" w:type="dxa"/>
            <w:vAlign w:val="bottom"/>
            <w:shd w:val="clear" w:color="auto" w:fill="CCEEFF"/>
          </w:tcPr>
          <w:p>
            <w:pPr>
              <w:spacing w:after="0"/>
              <w:rPr>
                <w:sz w:val="18"/>
                <w:szCs w:val="18"/>
                <w:color w:val="auto"/>
              </w:rPr>
            </w:pPr>
          </w:p>
        </w:tc>
      </w:tr>
      <w:tr>
        <w:trPr>
          <w:trHeight w:val="221"/>
        </w:trPr>
        <w:tc>
          <w:tcPr>
            <w:tcW w:w="374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5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628,975</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640,686</w:t>
            </w:r>
          </w:p>
        </w:tc>
        <w:tc>
          <w:tcPr>
            <w:tcW w:w="100" w:type="dxa"/>
            <w:vAlign w:val="bottom"/>
          </w:tcPr>
          <w:p>
            <w:pPr>
              <w:spacing w:after="0"/>
              <w:rPr>
                <w:sz w:val="19"/>
                <w:szCs w:val="19"/>
                <w:color w:val="auto"/>
              </w:rPr>
            </w:pPr>
          </w:p>
        </w:tc>
      </w:tr>
      <w:tr>
        <w:trPr>
          <w:trHeight w:val="218"/>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5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139,704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136,262</w:t>
            </w:r>
          </w:p>
        </w:tc>
        <w:tc>
          <w:tcPr>
            <w:tcW w:w="100" w:type="dxa"/>
            <w:vAlign w:val="bottom"/>
            <w:shd w:val="clear" w:color="auto" w:fill="CCEEFF"/>
          </w:tcPr>
          <w:p>
            <w:pPr>
              <w:spacing w:after="0"/>
              <w:rPr>
                <w:sz w:val="18"/>
                <w:szCs w:val="18"/>
                <w:color w:val="auto"/>
              </w:rPr>
            </w:pPr>
          </w:p>
        </w:tc>
      </w:tr>
      <w:tr>
        <w:trPr>
          <w:trHeight w:val="223"/>
        </w:trPr>
        <w:tc>
          <w:tcPr>
            <w:tcW w:w="374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56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33,753</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39,340</w:t>
            </w:r>
          </w:p>
        </w:tc>
        <w:tc>
          <w:tcPr>
            <w:tcW w:w="100" w:type="dxa"/>
            <w:vAlign w:val="bottom"/>
          </w:tcPr>
          <w:p>
            <w:pPr>
              <w:spacing w:after="0"/>
              <w:rPr>
                <w:sz w:val="19"/>
                <w:szCs w:val="19"/>
                <w:color w:val="auto"/>
              </w:rPr>
            </w:pPr>
          </w:p>
        </w:tc>
      </w:tr>
      <w:tr>
        <w:trPr>
          <w:trHeight w:val="216"/>
        </w:trPr>
        <w:tc>
          <w:tcPr>
            <w:tcW w:w="37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5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802,432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816,288</w:t>
            </w:r>
          </w:p>
        </w:tc>
        <w:tc>
          <w:tcPr>
            <w:tcW w:w="100" w:type="dxa"/>
            <w:vAlign w:val="bottom"/>
            <w:shd w:val="clear" w:color="auto" w:fill="CCEEFF"/>
          </w:tcPr>
          <w:p>
            <w:pPr>
              <w:spacing w:after="0"/>
              <w:rPr>
                <w:sz w:val="18"/>
                <w:szCs w:val="18"/>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Commitments and contingencies (Note 9)</w:t>
            </w:r>
          </w:p>
        </w:tc>
        <w:tc>
          <w:tcPr>
            <w:tcW w:w="5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5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3740" w:type="dxa"/>
            <w:vAlign w:val="bottom"/>
          </w:tcPr>
          <w:p>
            <w:pPr>
              <w:ind w:left="440"/>
              <w:spacing w:after="0"/>
              <w:rPr>
                <w:sz w:val="20"/>
                <w:szCs w:val="20"/>
                <w:color w:val="auto"/>
              </w:rPr>
            </w:pPr>
            <w:r>
              <w:rPr>
                <w:rFonts w:ascii="Arial" w:cs="Arial" w:eastAsia="Arial" w:hAnsi="Arial"/>
                <w:sz w:val="18"/>
                <w:szCs w:val="18"/>
                <w:color w:val="auto"/>
              </w:rPr>
              <w:t>Common stock</w:t>
            </w:r>
          </w:p>
        </w:tc>
        <w:tc>
          <w:tcPr>
            <w:tcW w:w="5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1,207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1,317</w:t>
            </w: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5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3,966,047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4,805,588</w:t>
            </w:r>
          </w:p>
        </w:tc>
        <w:tc>
          <w:tcPr>
            <w:tcW w:w="100" w:type="dxa"/>
            <w:vAlign w:val="bottom"/>
            <w:shd w:val="clear" w:color="auto" w:fill="CCEEFF"/>
          </w:tcPr>
          <w:p>
            <w:pPr>
              <w:spacing w:after="0"/>
              <w:rPr>
                <w:sz w:val="18"/>
                <w:szCs w:val="18"/>
                <w:color w:val="auto"/>
              </w:rPr>
            </w:pPr>
          </w:p>
        </w:tc>
      </w:tr>
      <w:tr>
        <w:trPr>
          <w:trHeight w:val="216"/>
        </w:trPr>
        <w:tc>
          <w:tcPr>
            <w:tcW w:w="3740" w:type="dxa"/>
            <w:vAlign w:val="bottom"/>
          </w:tcPr>
          <w:p>
            <w:pPr>
              <w:ind w:left="440"/>
              <w:spacing w:after="0"/>
              <w:rPr>
                <w:sz w:val="20"/>
                <w:szCs w:val="20"/>
                <w:color w:val="auto"/>
              </w:rPr>
            </w:pPr>
            <w:r>
              <w:rPr>
                <w:rFonts w:ascii="Arial" w:cs="Arial" w:eastAsia="Arial" w:hAnsi="Arial"/>
                <w:sz w:val="18"/>
                <w:szCs w:val="18"/>
                <w:color w:val="auto"/>
                <w:w w:val="96"/>
              </w:rPr>
              <w:t>Accumulated other comprehensive income</w:t>
            </w:r>
          </w:p>
        </w:tc>
        <w:tc>
          <w:tcPr>
            <w:tcW w:w="5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5,752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1,092</w:t>
            </w: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56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1,053,125</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713,872</w:t>
            </w:r>
          </w:p>
        </w:tc>
        <w:tc>
          <w:tcPr>
            <w:tcW w:w="100" w:type="dxa"/>
            <w:vAlign w:val="bottom"/>
            <w:shd w:val="clear" w:color="auto" w:fill="CCEEFF"/>
          </w:tcPr>
          <w:p>
            <w:pPr>
              <w:spacing w:after="0"/>
              <w:rPr>
                <w:sz w:val="18"/>
                <w:szCs w:val="18"/>
                <w:color w:val="auto"/>
              </w:rPr>
            </w:pPr>
          </w:p>
        </w:tc>
      </w:tr>
      <w:tr>
        <w:trPr>
          <w:trHeight w:val="230"/>
        </w:trPr>
        <w:tc>
          <w:tcPr>
            <w:tcW w:w="374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568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5,026,131</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5,521,869</w:t>
            </w:r>
          </w:p>
        </w:tc>
        <w:tc>
          <w:tcPr>
            <w:tcW w:w="100" w:type="dxa"/>
            <w:vAlign w:val="bottom"/>
          </w:tcPr>
          <w:p>
            <w:pPr>
              <w:spacing w:after="0"/>
              <w:rPr>
                <w:sz w:val="20"/>
                <w:szCs w:val="20"/>
                <w:color w:val="auto"/>
              </w:rPr>
            </w:pPr>
          </w:p>
        </w:tc>
      </w:tr>
      <w:tr>
        <w:trPr>
          <w:trHeight w:val="216"/>
        </w:trPr>
        <w:tc>
          <w:tcPr>
            <w:tcW w:w="3740" w:type="dxa"/>
            <w:vAlign w:val="bottom"/>
            <w:shd w:val="clear" w:color="auto" w:fill="CCEEFF"/>
          </w:tcPr>
          <w:p>
            <w:pPr>
              <w:ind w:left="880"/>
              <w:spacing w:after="0"/>
              <w:rPr>
                <w:sz w:val="20"/>
                <w:szCs w:val="20"/>
                <w:color w:val="auto"/>
              </w:rPr>
            </w:pPr>
            <w:r>
              <w:rPr>
                <w:rFonts w:ascii="Arial" w:cs="Arial" w:eastAsia="Arial" w:hAnsi="Arial"/>
                <w:sz w:val="18"/>
                <w:szCs w:val="18"/>
                <w:color w:val="auto"/>
                <w:w w:val="90"/>
              </w:rPr>
              <w:t>Total liabilities and shareholders’ equity</w:t>
            </w:r>
          </w:p>
        </w:tc>
        <w:tc>
          <w:tcPr>
            <w:tcW w:w="57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5,828,563</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shd w:val="clear" w:color="auto" w:fill="CCEEFF"/>
          </w:tcPr>
          <w:p>
            <w:pPr>
              <w:spacing w:after="0"/>
              <w:rPr>
                <w:sz w:val="18"/>
                <w:szCs w:val="18"/>
                <w:color w:val="auto"/>
              </w:rPr>
            </w:pPr>
          </w:p>
        </w:tc>
      </w:tr>
      <w:tr>
        <w:trPr>
          <w:trHeight w:val="20"/>
        </w:trPr>
        <w:tc>
          <w:tcPr>
            <w:tcW w:w="3740" w:type="dxa"/>
            <w:vAlign w:val="bottom"/>
          </w:tcPr>
          <w:p>
            <w:pPr>
              <w:spacing w:after="0" w:line="20" w:lineRule="exact"/>
              <w:rPr>
                <w:sz w:val="1"/>
                <w:szCs w:val="1"/>
                <w:color w:val="auto"/>
              </w:rPr>
            </w:pPr>
          </w:p>
        </w:tc>
        <w:tc>
          <w:tcPr>
            <w:tcW w:w="56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w w:val="96"/>
              </w:rPr>
              <w:t>Three Months Ended</w:t>
            </w:r>
          </w:p>
        </w:tc>
        <w:tc>
          <w:tcPr>
            <w:tcW w:w="80" w:type="dxa"/>
            <w:vAlign w:val="bottom"/>
          </w:tcPr>
          <w:p>
            <w:pPr>
              <w:spacing w:after="0"/>
              <w:rPr>
                <w:sz w:val="14"/>
                <w:szCs w:val="14"/>
                <w:color w:val="auto"/>
              </w:rPr>
            </w:pPr>
          </w:p>
        </w:tc>
        <w:tc>
          <w:tcPr>
            <w:tcW w:w="19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July 30,</w:t>
            </w: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4"/>
              <w:spacing w:after="0" w:line="129" w:lineRule="exact"/>
              <w:rPr>
                <w:sz w:val="20"/>
                <w:szCs w:val="20"/>
                <w:color w:val="auto"/>
              </w:rPr>
            </w:pPr>
            <w:r>
              <w:rPr>
                <w:rFonts w:ascii="Arial" w:cs="Arial" w:eastAsia="Arial" w:hAnsi="Arial"/>
                <w:sz w:val="14"/>
                <w:szCs w:val="14"/>
                <w:b w:val="1"/>
                <w:bCs w:val="1"/>
                <w:color w:val="auto"/>
                <w:w w:val="85"/>
              </w:rPr>
              <w:t>July 31,</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rPr>
              <w:t>July 30,</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94"/>
              <w:spacing w:after="0" w:line="129"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2011</w:t>
            </w:r>
          </w:p>
        </w:tc>
        <w:tc>
          <w:tcPr>
            <w:tcW w:w="2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2010</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5"/>
              <w:spacing w:after="0"/>
              <w:rPr>
                <w:sz w:val="20"/>
                <w:szCs w:val="20"/>
                <w:color w:val="auto"/>
              </w:rPr>
            </w:pPr>
            <w:r>
              <w:rPr>
                <w:rFonts w:ascii="Arial" w:cs="Arial" w:eastAsia="Arial" w:hAnsi="Arial"/>
                <w:sz w:val="14"/>
                <w:szCs w:val="14"/>
                <w:b w:val="1"/>
                <w:bCs w:val="1"/>
                <w:color w:val="auto"/>
              </w:rPr>
              <w:t>2011</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2010</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897,520</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896,474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1,699,922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1,752,053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378,117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366,682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712,592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710,667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249,604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228,211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492,141</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447,322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40,390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36,863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78,542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75,286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23,631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25,440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48,415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48,548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11,138</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21,214</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25,479</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43,763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38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702,880</w:t>
            </w:r>
          </w:p>
        </w:tc>
        <w:tc>
          <w:tcPr>
            <w:tcW w:w="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678,410</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1,357,169</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1,325,586</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194,640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218,064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342,753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426,467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2,064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4,253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1,857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(92)</w:t>
            </w:r>
          </w:p>
        </w:tc>
        <w:tc>
          <w:tcPr>
            <w:tcW w:w="0" w:type="dxa"/>
            <w:vAlign w:val="bottom"/>
          </w:tcPr>
          <w:p>
            <w:pPr>
              <w:spacing w:after="0"/>
              <w:rPr>
                <w:sz w:val="1"/>
                <w:szCs w:val="1"/>
                <w:color w:val="auto"/>
              </w:rPr>
            </w:pPr>
          </w:p>
        </w:tc>
      </w:tr>
      <w:tr>
        <w:trPr>
          <w:trHeight w:val="221"/>
        </w:trPr>
        <w:tc>
          <w:tcPr>
            <w:tcW w:w="740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196,704</w:t>
            </w: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222,276</w:t>
            </w: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344,599</w:t>
            </w: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426,927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4,312</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2,499</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5,346</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40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192,392</w:t>
            </w:r>
          </w:p>
        </w:tc>
        <w:tc>
          <w:tcPr>
            <w:tcW w:w="3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219,777</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339,253</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425,544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Net income per share: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0.32</w:t>
            </w:r>
          </w:p>
        </w:tc>
        <w:tc>
          <w:tcPr>
            <w:tcW w:w="3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0.34</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0.54</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0.66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0.31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0.53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0.63</w:t>
            </w:r>
          </w:p>
        </w:tc>
        <w:tc>
          <w:tcPr>
            <w:tcW w:w="0" w:type="dxa"/>
            <w:vAlign w:val="bottom"/>
          </w:tcPr>
          <w:p>
            <w:pPr>
              <w:spacing w:after="0"/>
              <w:rPr>
                <w:sz w:val="1"/>
                <w:szCs w:val="1"/>
                <w:color w:val="auto"/>
              </w:rPr>
            </w:pPr>
          </w:p>
        </w:tc>
      </w:tr>
      <w:tr>
        <w:trPr>
          <w:trHeight w:val="20"/>
        </w:trPr>
        <w:tc>
          <w:tcPr>
            <w:tcW w:w="7400" w:type="dxa"/>
            <w:vAlign w:val="bottom"/>
            <w:gridSpan w:val="2"/>
            <w:vMerge w:val="restart"/>
          </w:tcPr>
          <w:p>
            <w:pPr>
              <w:spacing w:after="0"/>
              <w:rPr>
                <w:sz w:val="20"/>
                <w:szCs w:val="20"/>
                <w:color w:val="auto"/>
              </w:rPr>
            </w:pPr>
            <w:r>
              <w:rPr>
                <w:rFonts w:ascii="Arial" w:cs="Arial" w:eastAsia="Arial" w:hAnsi="Arial"/>
                <w:sz w:val="18"/>
                <w:szCs w:val="18"/>
                <w:color w:val="auto"/>
              </w:rPr>
              <w:t>Weighted average shares: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40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608,511</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648,028</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623,728</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644,477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38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623,132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675,220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640,136</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676,639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66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5"/>
          </w:tcPr>
          <w:p>
            <w:pPr>
              <w:jc w:val="right"/>
              <w:ind w:right="6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660" w:type="dxa"/>
            <w:vAlign w:val="bottom"/>
          </w:tcPr>
          <w:p>
            <w:pPr>
              <w:spacing w:after="0"/>
              <w:rPr>
                <w:sz w:val="11"/>
                <w:szCs w:val="11"/>
                <w:color w:val="auto"/>
              </w:rPr>
            </w:pPr>
          </w:p>
        </w:tc>
        <w:tc>
          <w:tcPr>
            <w:tcW w:w="15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gridSpan w:val="2"/>
          </w:tcPr>
          <w:p>
            <w:pPr>
              <w:jc w:val="right"/>
              <w:ind w:right="640"/>
              <w:spacing w:after="0" w:line="129" w:lineRule="exact"/>
              <w:rPr>
                <w:sz w:val="20"/>
                <w:szCs w:val="20"/>
                <w:color w:val="auto"/>
              </w:rPr>
            </w:pPr>
            <w:r>
              <w:rPr>
                <w:rFonts w:ascii="Arial" w:cs="Arial" w:eastAsia="Arial" w:hAnsi="Arial"/>
                <w:sz w:val="14"/>
                <w:szCs w:val="14"/>
                <w:b w:val="1"/>
                <w:bCs w:val="1"/>
                <w:color w:val="auto"/>
              </w:rPr>
              <w:t>July 30,</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93"/>
              <w:spacing w:after="0" w:line="129"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660" w:type="dxa"/>
            <w:vAlign w:val="bottom"/>
            <w:tcBorders>
              <w:bottom w:val="single" w:sz="8" w:color="CCEEFF"/>
            </w:tcBorders>
          </w:tcPr>
          <w:p>
            <w:pPr>
              <w:spacing w:after="0"/>
              <w:rPr>
                <w:sz w:val="14"/>
                <w:szCs w:val="14"/>
                <w:color w:val="auto"/>
              </w:rPr>
            </w:pPr>
          </w:p>
        </w:tc>
        <w:tc>
          <w:tcPr>
            <w:tcW w:w="15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2011</w:t>
            </w:r>
          </w:p>
        </w:tc>
        <w:tc>
          <w:tcPr>
            <w:tcW w:w="4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6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420"/>
              <w:spacing w:after="0"/>
              <w:rPr>
                <w:sz w:val="20"/>
                <w:szCs w:val="20"/>
                <w:color w:val="auto"/>
              </w:rPr>
            </w:pPr>
            <w:r>
              <w:rPr>
                <w:rFonts w:ascii="Arial" w:cs="Arial" w:eastAsia="Arial" w:hAnsi="Arial"/>
                <w:sz w:val="18"/>
                <w:szCs w:val="18"/>
                <w:color w:val="auto"/>
              </w:rPr>
              <w:t>Net income</w:t>
            </w:r>
          </w:p>
        </w:tc>
        <w:tc>
          <w:tcPr>
            <w:tcW w:w="16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339,253</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425,544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860"/>
              <w:spacing w:after="0"/>
              <w:rPr>
                <w:sz w:val="20"/>
                <w:szCs w:val="20"/>
                <w:color w:val="auto"/>
              </w:rPr>
            </w:pPr>
            <w:r>
              <w:rPr>
                <w:rFonts w:ascii="Arial" w:cs="Arial" w:eastAsia="Arial" w:hAnsi="Arial"/>
                <w:sz w:val="18"/>
                <w:szCs w:val="18"/>
                <w:color w:val="auto"/>
              </w:rPr>
              <w:t>Depreciation and amortization</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46,474</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45,851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Stock-based compensation</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57,835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57,585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860"/>
              <w:spacing w:after="0"/>
              <w:rPr>
                <w:sz w:val="20"/>
                <w:szCs w:val="20"/>
                <w:color w:val="auto"/>
              </w:rPr>
            </w:pPr>
            <w:r>
              <w:rPr>
                <w:rFonts w:ascii="Arial" w:cs="Arial" w:eastAsia="Arial" w:hAnsi="Arial"/>
                <w:sz w:val="18"/>
                <w:szCs w:val="18"/>
                <w:color w:val="auto"/>
              </w:rPr>
              <w:t>Amortization of acquired intangible assets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25,479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43,763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Facilities impairment</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860"/>
              <w:spacing w:after="0"/>
              <w:rPr>
                <w:sz w:val="20"/>
                <w:szCs w:val="20"/>
                <w:color w:val="auto"/>
              </w:rPr>
            </w:pPr>
            <w:r>
              <w:rPr>
                <w:rFonts w:ascii="Arial" w:cs="Arial" w:eastAsia="Arial" w:hAnsi="Arial"/>
                <w:sz w:val="18"/>
                <w:szCs w:val="18"/>
                <w:color w:val="auto"/>
              </w:rPr>
              <w:t>Other (income) expense, net</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7,145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4,812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Fair market value adjustment to aquired inventory sold</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(1,990)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860"/>
              <w:spacing w:after="0"/>
              <w:rPr>
                <w:sz w:val="20"/>
                <w:szCs w:val="20"/>
                <w:color w:val="auto"/>
              </w:rPr>
            </w:pPr>
            <w:r>
              <w:rPr>
                <w:rFonts w:ascii="Arial" w:cs="Arial" w:eastAsia="Arial" w:hAnsi="Arial"/>
                <w:sz w:val="18"/>
                <w:szCs w:val="18"/>
                <w:color w:val="auto"/>
              </w:rPr>
              <w:t>Excess tax benefits from stock-based compensation</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(14)</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Deferred income taxes</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860"/>
              <w:spacing w:after="0"/>
              <w:rPr>
                <w:sz w:val="20"/>
                <w:szCs w:val="20"/>
                <w:color w:val="auto"/>
              </w:rPr>
            </w:pPr>
            <w:r>
              <w:rPr>
                <w:rFonts w:ascii="Arial" w:cs="Arial" w:eastAsia="Arial" w:hAnsi="Arial"/>
                <w:sz w:val="18"/>
                <w:szCs w:val="18"/>
                <w:color w:val="auto"/>
              </w:rPr>
              <w:t>Changes in assets and liabilities: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Accounts receivable</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53,649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(133,959)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1280"/>
              <w:spacing w:after="0"/>
              <w:rPr>
                <w:sz w:val="20"/>
                <w:szCs w:val="20"/>
                <w:color w:val="auto"/>
              </w:rPr>
            </w:pPr>
            <w:r>
              <w:rPr>
                <w:rFonts w:ascii="Arial" w:cs="Arial" w:eastAsia="Arial" w:hAnsi="Arial"/>
                <w:sz w:val="18"/>
                <w:szCs w:val="18"/>
                <w:color w:val="auto"/>
              </w:rPr>
              <w:t>Inventories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(76,004)</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3,916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Prepaid expenses and other assets</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17,438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6,454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1280"/>
              <w:spacing w:after="0"/>
              <w:rPr>
                <w:sz w:val="20"/>
                <w:szCs w:val="20"/>
                <w:color w:val="auto"/>
              </w:rPr>
            </w:pPr>
            <w:r>
              <w:rPr>
                <w:rFonts w:ascii="Arial" w:cs="Arial" w:eastAsia="Arial" w:hAnsi="Arial"/>
                <w:sz w:val="18"/>
                <w:szCs w:val="18"/>
                <w:color w:val="auto"/>
              </w:rPr>
              <w:t>Accounts payable</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6,999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98,443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Accrued liabilities and other</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(91)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4,433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1280"/>
              <w:spacing w:after="0"/>
              <w:rPr>
                <w:sz w:val="20"/>
                <w:szCs w:val="20"/>
                <w:color w:val="auto"/>
              </w:rPr>
            </w:pPr>
            <w:r>
              <w:rPr>
                <w:rFonts w:ascii="Arial" w:cs="Arial" w:eastAsia="Arial" w:hAnsi="Arial"/>
                <w:sz w:val="18"/>
                <w:szCs w:val="18"/>
                <w:color w:val="auto"/>
              </w:rPr>
              <w:t>Accrued employee compensation</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(29,267)</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(6,100)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Deferred income</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(8,334)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26,623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60" w:type="dxa"/>
            <w:vAlign w:val="bottom"/>
            <w:vMerge w:val="restart"/>
          </w:tcPr>
          <w:p>
            <w:pPr>
              <w:ind w:left="1720"/>
              <w:spacing w:after="0"/>
              <w:rPr>
                <w:sz w:val="20"/>
                <w:szCs w:val="20"/>
                <w:color w:val="auto"/>
              </w:rPr>
            </w:pPr>
            <w:r>
              <w:rPr>
                <w:rFonts w:ascii="Arial" w:cs="Arial" w:eastAsia="Arial" w:hAnsi="Arial"/>
                <w:sz w:val="18"/>
                <w:szCs w:val="18"/>
                <w:color w:val="auto"/>
              </w:rPr>
              <w:t>Net cash provided by operating activities</w:t>
            </w:r>
          </w:p>
        </w:tc>
        <w:tc>
          <w:tcPr>
            <w:tcW w:w="1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7660" w:type="dxa"/>
            <w:vAlign w:val="bottom"/>
            <w:vMerge w:val="continue"/>
          </w:tcPr>
          <w:p>
            <w:pPr>
              <w:spacing w:after="0"/>
              <w:rPr>
                <w:sz w:val="20"/>
                <w:szCs w:val="20"/>
                <w:color w:val="auto"/>
              </w:rPr>
            </w:pPr>
          </w:p>
        </w:tc>
        <w:tc>
          <w:tcPr>
            <w:tcW w:w="15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440,562</w:t>
            </w:r>
          </w:p>
        </w:tc>
        <w:tc>
          <w:tcPr>
            <w:tcW w:w="8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574,829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5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420"/>
              <w:spacing w:after="0"/>
              <w:rPr>
                <w:sz w:val="20"/>
                <w:szCs w:val="20"/>
                <w:color w:val="auto"/>
              </w:rPr>
            </w:pPr>
            <w:r>
              <w:rPr>
                <w:rFonts w:ascii="Arial" w:cs="Arial" w:eastAsia="Arial" w:hAnsi="Arial"/>
                <w:sz w:val="18"/>
                <w:szCs w:val="18"/>
                <w:color w:val="auto"/>
              </w:rPr>
              <w:t>Purchases of marketable securities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(1,139,884)</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(709,060)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strategic investments</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(2,253)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420"/>
              <w:spacing w:after="0"/>
              <w:rPr>
                <w:sz w:val="20"/>
                <w:szCs w:val="20"/>
                <w:color w:val="auto"/>
              </w:rPr>
            </w:pPr>
            <w:r>
              <w:rPr>
                <w:rFonts w:ascii="Arial" w:cs="Arial" w:eastAsia="Arial" w:hAnsi="Arial"/>
                <w:sz w:val="18"/>
                <w:szCs w:val="18"/>
                <w:color w:val="auto"/>
              </w:rPr>
              <w:t>Sales and maturities of investments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rPr>
              <w:t>681,069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347,745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for acquisition, net</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(16,760)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(20,679)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(6,615)</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(6,819)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(42,245)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(39,298)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60" w:type="dxa"/>
            <w:vAlign w:val="bottom"/>
            <w:vMerge w:val="restart"/>
          </w:tcPr>
          <w:p>
            <w:pPr>
              <w:ind w:left="1720"/>
              <w:spacing w:after="0"/>
              <w:rPr>
                <w:sz w:val="20"/>
                <w:szCs w:val="20"/>
                <w:color w:val="auto"/>
              </w:rPr>
            </w:pPr>
            <w:r>
              <w:rPr>
                <w:rFonts w:ascii="Arial" w:cs="Arial" w:eastAsia="Arial" w:hAnsi="Arial"/>
                <w:sz w:val="18"/>
                <w:szCs w:val="18"/>
                <w:color w:val="auto"/>
              </w:rPr>
              <w:t>Net cash used in investing activities</w:t>
            </w:r>
          </w:p>
        </w:tc>
        <w:tc>
          <w:tcPr>
            <w:tcW w:w="1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7660" w:type="dxa"/>
            <w:vAlign w:val="bottom"/>
            <w:vMerge w:val="continue"/>
          </w:tcPr>
          <w:p>
            <w:pPr>
              <w:spacing w:after="0"/>
              <w:rPr>
                <w:sz w:val="20"/>
                <w:szCs w:val="20"/>
                <w:color w:val="auto"/>
              </w:rPr>
            </w:pPr>
          </w:p>
        </w:tc>
        <w:tc>
          <w:tcPr>
            <w:tcW w:w="15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(526,688)</w:t>
            </w:r>
          </w:p>
        </w:tc>
        <w:tc>
          <w:tcPr>
            <w:tcW w:w="80" w:type="dxa"/>
            <w:vAlign w:val="bottom"/>
          </w:tcPr>
          <w:p>
            <w:pPr>
              <w:spacing w:after="0"/>
              <w:rPr>
                <w:sz w:val="20"/>
                <w:szCs w:val="20"/>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(429,861)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5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420"/>
              <w:spacing w:after="0"/>
              <w:rPr>
                <w:sz w:val="20"/>
                <w:szCs w:val="20"/>
                <w:color w:val="auto"/>
              </w:rPr>
            </w:pPr>
            <w:r>
              <w:rPr>
                <w:rFonts w:ascii="Arial" w:cs="Arial" w:eastAsia="Arial" w:hAnsi="Arial"/>
                <w:sz w:val="18"/>
                <w:szCs w:val="18"/>
                <w:color w:val="auto"/>
              </w:rPr>
              <w:t>Repurchase of common stock</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(939,241)</w:t>
            </w: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employee stock plans</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41,755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80,477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(511)</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(950)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229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60" w:type="dxa"/>
            <w:vAlign w:val="bottom"/>
            <w:vMerge w:val="restart"/>
          </w:tcPr>
          <w:p>
            <w:pPr>
              <w:ind w:left="1720"/>
              <w:spacing w:after="0"/>
              <w:rPr>
                <w:sz w:val="20"/>
                <w:szCs w:val="20"/>
                <w:color w:val="auto"/>
              </w:rPr>
            </w:pPr>
            <w:r>
              <w:rPr>
                <w:rFonts w:ascii="Arial" w:cs="Arial" w:eastAsia="Arial" w:hAnsi="Arial"/>
                <w:sz w:val="18"/>
                <w:szCs w:val="18"/>
                <w:color w:val="auto"/>
              </w:rPr>
              <w:t>Net cash provided by (used in) financing activities</w:t>
            </w:r>
          </w:p>
        </w:tc>
        <w:tc>
          <w:tcPr>
            <w:tcW w:w="1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660" w:type="dxa"/>
            <w:vAlign w:val="bottom"/>
            <w:vMerge w:val="continue"/>
          </w:tcPr>
          <w:p>
            <w:pPr>
              <w:spacing w:after="0"/>
              <w:rPr>
                <w:sz w:val="19"/>
                <w:szCs w:val="19"/>
                <w:color w:val="auto"/>
              </w:rPr>
            </w:pPr>
          </w:p>
        </w:tc>
        <w:tc>
          <w:tcPr>
            <w:tcW w:w="1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(897,983)</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79,756</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6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66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1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(984,109)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224,724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6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40"/>
              <w:spacing w:after="0"/>
              <w:rPr>
                <w:sz w:val="20"/>
                <w:szCs w:val="20"/>
                <w:color w:val="auto"/>
              </w:rPr>
            </w:pPr>
            <w:r>
              <w:rPr>
                <w:rFonts w:ascii="Arial" w:cs="Arial" w:eastAsia="Arial" w:hAnsi="Arial"/>
                <w:sz w:val="18"/>
                <w:szCs w:val="18"/>
                <w:color w:val="auto"/>
                <w:w w:val="92"/>
              </w:rPr>
              <w:t>1,847,074</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1,105,428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6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6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862,965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1,330,152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6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96"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 develops platforms that it defines as integrated hardware and software that incorporate digital computing technologies designed and configured to provide an optimal computing solution compared to individual components. The Company’s broad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96"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2012 and fiscal 2011 are comprised of 52-week periods.</w:t>
      </w:r>
    </w:p>
    <w:p>
      <w:pPr>
        <w:spacing w:after="0" w:line="14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unaudited interim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financial position as of July 30, 2011, the results of its operations for the three and six months ended July 30, 2011 and July 31, 2010, and its cash flows for the six months ended July 30, 2011 and July 31, 2010. The January 29, 2011 condensed consolidated balance sheet data was derived from audited consolidated financial statements included in the Company’s Annual Report on Form 10-K for the fiscal year ended January 29, 2011 but does not include all disclosures required for annual periods. Certain reclassifications have been made to conform to the current period’s presentation.</w:t>
      </w:r>
    </w:p>
    <w:p>
      <w:pPr>
        <w:spacing w:after="0" w:line="118"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January 29, 2011 as filed on March 28, 2011 with the Securities and Exchange Commission. The results of operations for the three and six months ended July 30, 2011 are not necessarily indicative of the results that may be expected for any other interim period or for the full fiscal year.</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96"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including provisions for sales returns and allowances, inventory excess and obsolescence, investment fair values, goodwill and other intangible assets, income taxes, litigation and other contingencies. In addition, the Company uses assumptions when employing the Monte Carlo simulation and Black-Scholes valuation models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96"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 and Accounting Changes</w:t>
      </w:r>
    </w:p>
    <w:p>
      <w:pPr>
        <w:spacing w:after="0" w:line="9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In May 2011, the Financial Accounting Standards Board (“FASB”) issued additional guidance on fair value measurements and related disclosures. The new guidance clarifies the application of existing guidance on fair value measurement for non-financial assets and requires the</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00"/>
        <w:spacing w:after="0" w:line="370" w:lineRule="auto"/>
        <w:rPr>
          <w:sz w:val="20"/>
          <w:szCs w:val="20"/>
          <w:color w:val="auto"/>
        </w:rPr>
      </w:pPr>
      <w:r>
        <w:rPr>
          <w:rFonts w:ascii="Arial" w:cs="Arial" w:eastAsia="Arial" w:hAnsi="Arial"/>
          <w:sz w:val="15"/>
          <w:szCs w:val="15"/>
          <w:color w:val="auto"/>
        </w:rPr>
        <w:t>disclosure of quantitative information about the unobservable inputs used in a fair value measurement. This guidance is effective on a prospective basis for interim and annual periods beginning after December 15, 2011. The adoption of this guidance will not have any impact on the Company’s financial statements.</w:t>
      </w:r>
    </w:p>
    <w:p>
      <w:pPr>
        <w:spacing w:after="0" w:line="62"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In June 2011, the FASB issued an amendment to the guidance regarding the presentation of comprehensive income. The amended guidance gives an entity the option to present the total of comprehensive income, the components of net income, and the components of other comprehensive income either in a single continuous statement of comprehensive income or in two separate but consecutive statements. The amended guidance eliminates the option to present the components of other comprehensive income as part of the statement of changes in stockholders’ equity. The amended guidance also requires presentation of adjustments for items that are reclassified from other comprehensive income to net income in the statement where the components of net income and the components of other comprehensive income are presented. This guidance is effective on a retrospective basis for fiscal years, and interim periods within those fiscal years, beginning after December 15, 2011.</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600"/>
              <w:spacing w:after="0"/>
              <w:rPr>
                <w:sz w:val="20"/>
                <w:szCs w:val="20"/>
                <w:color w:val="auto"/>
              </w:rPr>
            </w:pPr>
            <w:r>
              <w:rPr>
                <w:rFonts w:ascii="Arial" w:cs="Arial" w:eastAsia="Arial" w:hAnsi="Arial"/>
                <w:sz w:val="14"/>
                <w:szCs w:val="14"/>
                <w:b w:val="1"/>
                <w:bCs w:val="1"/>
                <w:color w:val="auto"/>
              </w:rPr>
              <w:t>As of July 30, 2011</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0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9"/>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9"/>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0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spacing w:after="0"/>
              <w:rPr>
                <w:sz w:val="20"/>
                <w:szCs w:val="20"/>
                <w:color w:val="auto"/>
              </w:rPr>
            </w:pPr>
            <w:r>
              <w:rPr>
                <w:rFonts w:ascii="Arial" w:cs="Arial" w:eastAsia="Arial" w:hAnsi="Arial"/>
                <w:sz w:val="18"/>
                <w:szCs w:val="18"/>
                <w:color w:val="auto"/>
              </w:rPr>
              <w:t>Available-for-sale:</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856,799</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4,143</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(249)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860,693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U.S. government and agency securities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674,523</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1,716</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(110)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676,129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0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1,531,322</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5,859</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(359)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1,536,822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spacing w:after="0"/>
              <w:rPr>
                <w:sz w:val="20"/>
                <w:szCs w:val="20"/>
                <w:color w:val="auto"/>
              </w:rPr>
            </w:pPr>
            <w:r>
              <w:rPr>
                <w:rFonts w:ascii="Arial" w:cs="Arial" w:eastAsia="Arial" w:hAnsi="Arial"/>
                <w:sz w:val="18"/>
                <w:szCs w:val="18"/>
                <w:b w:val="1"/>
                <w:bCs w:val="1"/>
                <w:color w:val="auto"/>
              </w:rPr>
              <w:t>Long-term investments:</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27,650</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(1,580)</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26,070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0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27,650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(1,580)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8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080" w:type="dxa"/>
            <w:vAlign w:val="bottom"/>
            <w:gridSpan w:val="2"/>
            <w:vMerge w:val="continue"/>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1,558,972</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5,859</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(1,939)</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1,562,892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0"/>
        </w:trPr>
        <w:tc>
          <w:tcPr>
            <w:tcW w:w="20" w:type="dxa"/>
            <w:vAlign w:val="bottom"/>
          </w:tcPr>
          <w:p>
            <w:pPr>
              <w:spacing w:after="0"/>
              <w:rPr>
                <w:sz w:val="24"/>
                <w:szCs w:val="24"/>
                <w:color w:val="auto"/>
              </w:rPr>
            </w:pPr>
          </w:p>
        </w:tc>
        <w:tc>
          <w:tcPr>
            <w:tcW w:w="606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900" w:type="dxa"/>
            <w:vAlign w:val="bottom"/>
            <w:tcBorders>
              <w:bottom w:val="single" w:sz="8" w:color="auto"/>
            </w:tcBorders>
            <w:gridSpan w:val="5"/>
          </w:tcPr>
          <w:p>
            <w:pPr>
              <w:jc w:val="right"/>
              <w:ind w:right="480"/>
              <w:spacing w:after="0"/>
              <w:rPr>
                <w:sz w:val="20"/>
                <w:szCs w:val="20"/>
                <w:color w:val="auto"/>
              </w:rPr>
            </w:pPr>
            <w:r>
              <w:rPr>
                <w:rFonts w:ascii="Arial" w:cs="Arial" w:eastAsia="Arial" w:hAnsi="Arial"/>
                <w:sz w:val="14"/>
                <w:szCs w:val="14"/>
                <w:b w:val="1"/>
                <w:bCs w:val="1"/>
                <w:color w:val="auto"/>
                <w:w w:val="92"/>
              </w:rPr>
              <w:t>As of January 29, 2011</w:t>
            </w:r>
          </w:p>
        </w:tc>
        <w:tc>
          <w:tcPr>
            <w:tcW w:w="2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0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9"/>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9"/>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0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spacing w:after="0"/>
              <w:rPr>
                <w:sz w:val="20"/>
                <w:szCs w:val="20"/>
                <w:color w:val="auto"/>
              </w:rPr>
            </w:pPr>
            <w:r>
              <w:rPr>
                <w:rFonts w:ascii="Arial" w:cs="Arial" w:eastAsia="Arial" w:hAnsi="Arial"/>
                <w:sz w:val="18"/>
                <w:szCs w:val="18"/>
                <w:color w:val="auto"/>
              </w:rPr>
              <w:t>Available-for-sale:</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648,278</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3,208</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(213)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651,273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U.S. government and agency securities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431,174</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561</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(52)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431,683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0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1,079,452</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3,769</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(265)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1,082,956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spacing w:after="0"/>
              <w:rPr>
                <w:sz w:val="20"/>
                <w:szCs w:val="20"/>
                <w:color w:val="auto"/>
              </w:rPr>
            </w:pPr>
            <w:r>
              <w:rPr>
                <w:rFonts w:ascii="Arial" w:cs="Arial" w:eastAsia="Arial" w:hAnsi="Arial"/>
                <w:sz w:val="18"/>
                <w:szCs w:val="18"/>
                <w:b w:val="1"/>
                <w:bCs w:val="1"/>
                <w:color w:val="auto"/>
              </w:rPr>
              <w:t>Long-term investments:</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27,850</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(1,624)</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0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27,850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(1,624)</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8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080" w:type="dxa"/>
            <w:vAlign w:val="bottom"/>
            <w:gridSpan w:val="2"/>
            <w:vMerge w:val="continue"/>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1,107,302</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3,769</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(1,889)</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1,109,182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As of July 30, 2011, the Company’s investment portfolio included $27.7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the Company used a discounted cash flow 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As of July 30, 2011, the fair value of auction rate securities was $1.6 million less than par value and was recorded in long-term investments.</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80"/>
          </w:cols>
          <w:pgMar w:left="240" w:top="459" w:right="27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Based on the Company’s assessment of its cash flow projections, a balance of approximately $2.4 billion in cash, cash equivalents and short-term investments other than auction rate securities and the fact that the Company continues to generate positive cash flow from operations on a quarterly basis, the Company does not anticipate having to sell these securities below par value in order to operate its business. The Company does not have the intent to sell these auction rate securities until recovery. Thus, the Company considers the impairment to be temporary and recorded the unrealized loss to accumulated other comprehensive income, a component of shareholders’ equity.</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contractual maturities of available-for-sale securities at July 30, 2011 and January 29, 2011 are presented in the following table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6"/>
          </w:tcPr>
          <w:p>
            <w:pPr>
              <w:jc w:val="right"/>
              <w:ind w:right="820"/>
              <w:spacing w:after="0"/>
              <w:rPr>
                <w:sz w:val="20"/>
                <w:szCs w:val="20"/>
                <w:color w:val="auto"/>
              </w:rPr>
            </w:pPr>
            <w:r>
              <w:rPr>
                <w:rFonts w:ascii="Arial" w:cs="Arial" w:eastAsia="Arial" w:hAnsi="Arial"/>
                <w:sz w:val="14"/>
                <w:szCs w:val="14"/>
                <w:b w:val="1"/>
                <w:bCs w:val="1"/>
                <w:color w:val="auto"/>
              </w:rPr>
              <w:t>July 30, 2011</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ind w:left="420"/>
              <w:spacing w:after="0"/>
              <w:rPr>
                <w:sz w:val="20"/>
                <w:szCs w:val="20"/>
                <w:color w:val="auto"/>
              </w:rPr>
            </w:pPr>
            <w:r>
              <w:rPr>
                <w:rFonts w:ascii="Arial" w:cs="Arial" w:eastAsia="Arial" w:hAnsi="Arial"/>
                <w:sz w:val="14"/>
                <w:szCs w:val="14"/>
                <w:b w:val="1"/>
                <w:bCs w:val="1"/>
                <w:color w:val="auto"/>
              </w:rPr>
              <w:t>January 29, 2011</w:t>
            </w:r>
          </w:p>
        </w:tc>
      </w:tr>
      <w:tr>
        <w:trPr>
          <w:trHeight w:val="129"/>
        </w:trPr>
        <w:tc>
          <w:tcPr>
            <w:tcW w:w="60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3"/>
          </w:tcPr>
          <w:p>
            <w:pPr>
              <w:jc w:val="center"/>
              <w:ind w:right="500"/>
              <w:spacing w:after="0" w:line="129" w:lineRule="exact"/>
              <w:rPr>
                <w:sz w:val="20"/>
                <w:szCs w:val="20"/>
                <w:color w:val="auto"/>
              </w:rPr>
            </w:pPr>
            <w:r>
              <w:rPr>
                <w:rFonts w:ascii="Arial" w:cs="Arial" w:eastAsia="Arial" w:hAnsi="Arial"/>
                <w:sz w:val="14"/>
                <w:szCs w:val="14"/>
                <w:b w:val="1"/>
                <w:bCs w:val="1"/>
                <w:color w:val="auto"/>
                <w:w w:val="87"/>
              </w:rPr>
              <w:t>Amortized</w:t>
            </w: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
              <w:spacing w:after="0" w:line="129" w:lineRule="exact"/>
              <w:rPr>
                <w:sz w:val="20"/>
                <w:szCs w:val="20"/>
                <w:color w:val="auto"/>
              </w:rPr>
            </w:pPr>
            <w:r>
              <w:rPr>
                <w:rFonts w:ascii="Arial" w:cs="Arial" w:eastAsia="Arial" w:hAnsi="Arial"/>
                <w:sz w:val="14"/>
                <w:szCs w:val="14"/>
                <w:b w:val="1"/>
                <w:bCs w:val="1"/>
                <w:color w:val="auto"/>
                <w:w w:val="87"/>
              </w:rPr>
              <w:t>Amortized</w:t>
            </w:r>
          </w:p>
        </w:tc>
        <w:tc>
          <w:tcPr>
            <w:tcW w:w="4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98"/>
              </w:rPr>
              <w:t>Estimated</w:t>
            </w:r>
          </w:p>
        </w:tc>
        <w:tc>
          <w:tcPr>
            <w:tcW w:w="100" w:type="dxa"/>
            <w:vAlign w:val="bottom"/>
          </w:tcPr>
          <w:p>
            <w:pPr>
              <w:spacing w:after="0"/>
              <w:rPr>
                <w:sz w:val="11"/>
                <w:szCs w:val="11"/>
                <w:color w:val="auto"/>
              </w:rPr>
            </w:pPr>
          </w:p>
        </w:tc>
      </w:tr>
      <w:tr>
        <w:trPr>
          <w:trHeight w:val="161"/>
        </w:trPr>
        <w:tc>
          <w:tcPr>
            <w:tcW w:w="6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3"/>
          </w:tcPr>
          <w:p>
            <w:pPr>
              <w:jc w:val="center"/>
              <w:ind w:right="480"/>
              <w:spacing w:after="0"/>
              <w:rPr>
                <w:sz w:val="20"/>
                <w:szCs w:val="20"/>
                <w:color w:val="auto"/>
              </w:rPr>
            </w:pPr>
            <w:r>
              <w:rPr>
                <w:rFonts w:ascii="Arial" w:cs="Arial" w:eastAsia="Arial" w:hAnsi="Arial"/>
                <w:sz w:val="14"/>
                <w:szCs w:val="14"/>
                <w:b w:val="1"/>
                <w:bCs w:val="1"/>
                <w:color w:val="auto"/>
                <w:w w:val="83"/>
              </w:rPr>
              <w:t>Cost</w:t>
            </w:r>
          </w:p>
        </w:tc>
        <w:tc>
          <w:tcPr>
            <w:tcW w:w="100" w:type="dxa"/>
            <w:vAlign w:val="bottom"/>
          </w:tcPr>
          <w:p>
            <w:pPr>
              <w:spacing w:after="0"/>
              <w:rPr>
                <w:sz w:val="14"/>
                <w:szCs w:val="14"/>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Fair Value</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81"/>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60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608,494</w:t>
            </w:r>
          </w:p>
        </w:tc>
        <w:tc>
          <w:tcPr>
            <w:tcW w:w="2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609,216</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560,190</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560,999</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00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00" w:type="dxa"/>
            <w:vAlign w:val="bottom"/>
          </w:tcPr>
          <w:p>
            <w:pPr>
              <w:spacing w:after="0"/>
              <w:rPr>
                <w:sz w:val="18"/>
                <w:szCs w:val="18"/>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922,828</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927,606</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519,262</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521,957</w:t>
            </w:r>
          </w:p>
        </w:tc>
        <w:tc>
          <w:tcPr>
            <w:tcW w:w="100" w:type="dxa"/>
            <w:vAlign w:val="bottom"/>
          </w:tcPr>
          <w:p>
            <w:pPr>
              <w:spacing w:after="0"/>
              <w:rPr>
                <w:sz w:val="18"/>
                <w:szCs w:val="18"/>
                <w:color w:val="auto"/>
              </w:rPr>
            </w:pPr>
          </w:p>
        </w:tc>
      </w:tr>
      <w:tr>
        <w:trPr>
          <w:trHeight w:val="216"/>
        </w:trPr>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27,650</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26,070</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27,850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r>
      <w:tr>
        <w:trPr>
          <w:trHeight w:val="20"/>
        </w:trPr>
        <w:tc>
          <w:tcPr>
            <w:tcW w:w="60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22"/>
        </w:trPr>
        <w:tc>
          <w:tcPr>
            <w:tcW w:w="60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1,558,972</w:t>
            </w: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1,562,892</w:t>
            </w:r>
          </w:p>
        </w:tc>
        <w:tc>
          <w:tcPr>
            <w:tcW w:w="3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1,107,302</w:t>
            </w:r>
          </w:p>
        </w:tc>
        <w:tc>
          <w:tcPr>
            <w:tcW w:w="5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1,109,182</w:t>
            </w:r>
          </w:p>
        </w:tc>
        <w:tc>
          <w:tcPr>
            <w:tcW w:w="100" w:type="dxa"/>
            <w:vAlign w:val="bottom"/>
          </w:tcPr>
          <w:p>
            <w:pPr>
              <w:spacing w:after="0"/>
              <w:rPr>
                <w:sz w:val="19"/>
                <w:szCs w:val="19"/>
                <w:color w:val="auto"/>
              </w:rPr>
            </w:pPr>
          </w:p>
        </w:tc>
      </w:tr>
      <w:tr>
        <w:trPr>
          <w:trHeight w:val="20"/>
        </w:trPr>
        <w:tc>
          <w:tcPr>
            <w:tcW w:w="6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following table shows the investments’ gross unrealized losses and fair value, aggregated by investment category and length of time that individual securities have been in a continuous unrealized loss position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9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center"/>
              <w:ind w:right="260"/>
              <w:spacing w:after="0"/>
              <w:rPr>
                <w:sz w:val="20"/>
                <w:szCs w:val="20"/>
                <w:color w:val="auto"/>
              </w:rPr>
            </w:pPr>
            <w:r>
              <w:rPr>
                <w:rFonts w:ascii="Arial" w:cs="Arial" w:eastAsia="Arial" w:hAnsi="Arial"/>
                <w:sz w:val="14"/>
                <w:szCs w:val="14"/>
                <w:b w:val="1"/>
                <w:bCs w:val="1"/>
                <w:color w:val="auto"/>
                <w:w w:val="87"/>
              </w:rPr>
              <w:t>July 30, 2011</w:t>
            </w: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920" w:type="dxa"/>
            <w:vAlign w:val="bottom"/>
          </w:tcPr>
          <w:p>
            <w:pPr>
              <w:spacing w:after="0"/>
              <w:rPr>
                <w:sz w:val="12"/>
                <w:szCs w:val="12"/>
                <w:color w:val="auto"/>
              </w:rPr>
            </w:pPr>
          </w:p>
        </w:tc>
        <w:tc>
          <w:tcPr>
            <w:tcW w:w="194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920" w:type="dxa"/>
            <w:vAlign w:val="bottom"/>
          </w:tcPr>
          <w:p>
            <w:pPr>
              <w:spacing w:after="0"/>
              <w:rPr>
                <w:sz w:val="11"/>
                <w:szCs w:val="11"/>
                <w:color w:val="auto"/>
              </w:rPr>
            </w:pPr>
          </w:p>
        </w:tc>
        <w:tc>
          <w:tcPr>
            <w:tcW w:w="70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2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20" w:type="dxa"/>
            <w:vAlign w:val="bottom"/>
          </w:tcPr>
          <w:p>
            <w:pPr>
              <w:spacing w:after="0"/>
              <w:rPr>
                <w:sz w:val="14"/>
                <w:szCs w:val="14"/>
                <w:color w:val="auto"/>
              </w:rPr>
            </w:pPr>
          </w:p>
        </w:tc>
        <w:tc>
          <w:tcPr>
            <w:tcW w:w="700" w:type="dxa"/>
            <w:vAlign w:val="bottom"/>
            <w:gridSpan w:val="2"/>
          </w:tcPr>
          <w:p>
            <w:pPr>
              <w:ind w:left="180"/>
              <w:spacing w:after="0"/>
              <w:rPr>
                <w:sz w:val="20"/>
                <w:szCs w:val="20"/>
                <w:color w:val="auto"/>
              </w:rPr>
            </w:pPr>
            <w:r>
              <w:rPr>
                <w:rFonts w:ascii="Arial" w:cs="Arial" w:eastAsia="Arial" w:hAnsi="Arial"/>
                <w:sz w:val="14"/>
                <w:szCs w:val="14"/>
                <w:b w:val="1"/>
                <w:bCs w:val="1"/>
                <w:color w:val="auto"/>
              </w:rPr>
              <w:t>Value</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1"/>
              </w:rPr>
              <w:t>Loss</w:t>
            </w:r>
          </w:p>
        </w:tc>
        <w:tc>
          <w:tcPr>
            <w:tcW w:w="80" w:type="dxa"/>
            <w:vAlign w:val="bottom"/>
          </w:tcPr>
          <w:p>
            <w:pPr>
              <w:spacing w:after="0"/>
              <w:rPr>
                <w:sz w:val="14"/>
                <w:szCs w:val="14"/>
                <w:color w:val="auto"/>
              </w:rPr>
            </w:pPr>
          </w:p>
        </w:tc>
        <w:tc>
          <w:tcPr>
            <w:tcW w:w="8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140" w:type="dxa"/>
            <w:vAlign w:val="bottom"/>
          </w:tcPr>
          <w:p>
            <w:pPr>
              <w:spacing w:after="0"/>
              <w:rPr>
                <w:sz w:val="14"/>
                <w:szCs w:val="14"/>
                <w:color w:val="auto"/>
              </w:rPr>
            </w:pPr>
          </w:p>
        </w:tc>
        <w:tc>
          <w:tcPr>
            <w:tcW w:w="9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9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$ 118,086</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(249)</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ind w:right="22"/>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$ 118,086</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20" w:type="dxa"/>
            <w:vAlign w:val="bottom"/>
          </w:tcPr>
          <w:p>
            <w:pPr>
              <w:spacing w:after="0"/>
              <w:rPr>
                <w:sz w:val="20"/>
                <w:szCs w:val="20"/>
                <w:color w:val="auto"/>
              </w:rPr>
            </w:pPr>
            <w:r>
              <w:rPr>
                <w:rFonts w:ascii="Arial" w:cs="Arial" w:eastAsia="Arial" w:hAnsi="Arial"/>
                <w:sz w:val="18"/>
                <w:szCs w:val="18"/>
                <w:color w:val="auto"/>
              </w:rPr>
              <w:t>U.S. government and agency securities</w:t>
            </w: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256,284</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(110)</w:t>
            </w:r>
          </w:p>
        </w:tc>
        <w:tc>
          <w:tcPr>
            <w:tcW w:w="8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256,284</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(110)</w:t>
            </w:r>
          </w:p>
        </w:tc>
        <w:tc>
          <w:tcPr>
            <w:tcW w:w="0" w:type="dxa"/>
            <w:vAlign w:val="bottom"/>
          </w:tcPr>
          <w:p>
            <w:pPr>
              <w:spacing w:after="0"/>
              <w:rPr>
                <w:sz w:val="1"/>
                <w:szCs w:val="1"/>
                <w:color w:val="auto"/>
              </w:rPr>
            </w:pPr>
          </w:p>
        </w:tc>
      </w:tr>
      <w:tr>
        <w:trPr>
          <w:trHeight w:val="216"/>
        </w:trPr>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26,070</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(1,580)</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26,070</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(1,580)</w:t>
            </w:r>
          </w:p>
        </w:tc>
        <w:tc>
          <w:tcPr>
            <w:tcW w:w="0" w:type="dxa"/>
            <w:vAlign w:val="bottom"/>
          </w:tcPr>
          <w:p>
            <w:pPr>
              <w:spacing w:after="0"/>
              <w:rPr>
                <w:sz w:val="1"/>
                <w:szCs w:val="1"/>
                <w:color w:val="auto"/>
              </w:rPr>
            </w:pPr>
          </w:p>
        </w:tc>
      </w:tr>
      <w:tr>
        <w:trPr>
          <w:trHeight w:val="20"/>
        </w:trPr>
        <w:tc>
          <w:tcPr>
            <w:tcW w:w="592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92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374,370</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(359)</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26,070</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80" w:type="dxa"/>
            <w:vAlign w:val="bottom"/>
            <w:gridSpan w:val="2"/>
          </w:tcPr>
          <w:p>
            <w:pPr>
              <w:ind w:left="40"/>
              <w:spacing w:after="0"/>
              <w:rPr>
                <w:sz w:val="20"/>
                <w:szCs w:val="20"/>
                <w:color w:val="auto"/>
              </w:rPr>
            </w:pPr>
            <w:r>
              <w:rPr>
                <w:rFonts w:ascii="Arial" w:cs="Arial" w:eastAsia="Arial" w:hAnsi="Arial"/>
                <w:sz w:val="18"/>
                <w:szCs w:val="18"/>
                <w:color w:val="auto"/>
              </w:rPr>
              <w:t>(1,580)</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400,440</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(1,939)</w:t>
            </w:r>
          </w:p>
        </w:tc>
        <w:tc>
          <w:tcPr>
            <w:tcW w:w="0" w:type="dxa"/>
            <w:vAlign w:val="bottom"/>
          </w:tcPr>
          <w:p>
            <w:pPr>
              <w:spacing w:after="0"/>
              <w:rPr>
                <w:sz w:val="1"/>
                <w:szCs w:val="1"/>
                <w:color w:val="auto"/>
              </w:rPr>
            </w:pPr>
          </w:p>
        </w:tc>
      </w:tr>
      <w:tr>
        <w:trPr>
          <w:trHeight w:val="20"/>
        </w:trPr>
        <w:tc>
          <w:tcPr>
            <w:tcW w:w="59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0"/>
        </w:trPr>
        <w:tc>
          <w:tcPr>
            <w:tcW w:w="5920" w:type="dxa"/>
            <w:vAlign w:val="bottom"/>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620" w:type="dxa"/>
            <w:vAlign w:val="bottom"/>
            <w:tcBorders>
              <w:bottom w:val="single" w:sz="8" w:color="auto"/>
            </w:tcBorders>
            <w:gridSpan w:val="5"/>
          </w:tcPr>
          <w:p>
            <w:pPr>
              <w:jc w:val="center"/>
              <w:ind w:right="280"/>
              <w:spacing w:after="0"/>
              <w:rPr>
                <w:sz w:val="20"/>
                <w:szCs w:val="20"/>
                <w:color w:val="auto"/>
              </w:rPr>
            </w:pPr>
            <w:r>
              <w:rPr>
                <w:rFonts w:ascii="Arial" w:cs="Arial" w:eastAsia="Arial" w:hAnsi="Arial"/>
                <w:sz w:val="14"/>
                <w:szCs w:val="14"/>
                <w:b w:val="1"/>
                <w:bCs w:val="1"/>
                <w:color w:val="auto"/>
                <w:w w:val="87"/>
              </w:rPr>
              <w:t>January 29, 2011</w:t>
            </w:r>
          </w:p>
        </w:tc>
        <w:tc>
          <w:tcPr>
            <w:tcW w:w="140" w:type="dxa"/>
            <w:vAlign w:val="bottom"/>
            <w:tcBorders>
              <w:bottom w:val="single" w:sz="8" w:color="auto"/>
            </w:tcBorders>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5920" w:type="dxa"/>
            <w:vAlign w:val="bottom"/>
          </w:tcPr>
          <w:p>
            <w:pPr>
              <w:spacing w:after="0"/>
              <w:rPr>
                <w:sz w:val="12"/>
                <w:szCs w:val="12"/>
                <w:color w:val="auto"/>
              </w:rPr>
            </w:pPr>
          </w:p>
        </w:tc>
        <w:tc>
          <w:tcPr>
            <w:tcW w:w="194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920" w:type="dxa"/>
            <w:vAlign w:val="bottom"/>
          </w:tcPr>
          <w:p>
            <w:pPr>
              <w:spacing w:after="0"/>
              <w:rPr>
                <w:sz w:val="11"/>
                <w:szCs w:val="11"/>
                <w:color w:val="auto"/>
              </w:rPr>
            </w:pPr>
          </w:p>
        </w:tc>
        <w:tc>
          <w:tcPr>
            <w:tcW w:w="70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2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20" w:type="dxa"/>
            <w:vAlign w:val="bottom"/>
          </w:tcPr>
          <w:p>
            <w:pPr>
              <w:spacing w:after="0"/>
              <w:rPr>
                <w:sz w:val="14"/>
                <w:szCs w:val="14"/>
                <w:color w:val="auto"/>
              </w:rPr>
            </w:pPr>
          </w:p>
        </w:tc>
        <w:tc>
          <w:tcPr>
            <w:tcW w:w="700" w:type="dxa"/>
            <w:vAlign w:val="bottom"/>
            <w:gridSpan w:val="2"/>
          </w:tcPr>
          <w:p>
            <w:pPr>
              <w:ind w:left="180"/>
              <w:spacing w:after="0"/>
              <w:rPr>
                <w:sz w:val="20"/>
                <w:szCs w:val="20"/>
                <w:color w:val="auto"/>
              </w:rPr>
            </w:pPr>
            <w:r>
              <w:rPr>
                <w:rFonts w:ascii="Arial" w:cs="Arial" w:eastAsia="Arial" w:hAnsi="Arial"/>
                <w:sz w:val="14"/>
                <w:szCs w:val="14"/>
                <w:b w:val="1"/>
                <w:bCs w:val="1"/>
                <w:color w:val="auto"/>
              </w:rPr>
              <w:t>Value</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1"/>
              </w:rPr>
              <w:t>Loss</w:t>
            </w:r>
          </w:p>
        </w:tc>
        <w:tc>
          <w:tcPr>
            <w:tcW w:w="80" w:type="dxa"/>
            <w:vAlign w:val="bottom"/>
          </w:tcPr>
          <w:p>
            <w:pPr>
              <w:spacing w:after="0"/>
              <w:rPr>
                <w:sz w:val="14"/>
                <w:szCs w:val="14"/>
                <w:color w:val="auto"/>
              </w:rPr>
            </w:pPr>
          </w:p>
        </w:tc>
        <w:tc>
          <w:tcPr>
            <w:tcW w:w="8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140" w:type="dxa"/>
            <w:vAlign w:val="bottom"/>
          </w:tcPr>
          <w:p>
            <w:pPr>
              <w:spacing w:after="0"/>
              <w:rPr>
                <w:sz w:val="14"/>
                <w:szCs w:val="14"/>
                <w:color w:val="auto"/>
              </w:rPr>
            </w:pPr>
          </w:p>
        </w:tc>
        <w:tc>
          <w:tcPr>
            <w:tcW w:w="9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9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$ 113,081</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(213)</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ind w:right="22"/>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$ 113,081</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20" w:type="dxa"/>
            <w:vAlign w:val="bottom"/>
          </w:tcPr>
          <w:p>
            <w:pPr>
              <w:spacing w:after="0"/>
              <w:rPr>
                <w:sz w:val="20"/>
                <w:szCs w:val="20"/>
                <w:color w:val="auto"/>
              </w:rPr>
            </w:pPr>
            <w:r>
              <w:rPr>
                <w:rFonts w:ascii="Arial" w:cs="Arial" w:eastAsia="Arial" w:hAnsi="Arial"/>
                <w:sz w:val="18"/>
                <w:szCs w:val="18"/>
                <w:color w:val="auto"/>
              </w:rPr>
              <w:t>U.S. government and agency securities</w:t>
            </w: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91,962</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(52)</w:t>
            </w:r>
          </w:p>
        </w:tc>
        <w:tc>
          <w:tcPr>
            <w:tcW w:w="8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91,962</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16"/>
        </w:trPr>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26,226</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(1,624)</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26,226</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(1,624)</w:t>
            </w:r>
          </w:p>
        </w:tc>
        <w:tc>
          <w:tcPr>
            <w:tcW w:w="0" w:type="dxa"/>
            <w:vAlign w:val="bottom"/>
          </w:tcPr>
          <w:p>
            <w:pPr>
              <w:spacing w:after="0"/>
              <w:rPr>
                <w:sz w:val="1"/>
                <w:szCs w:val="1"/>
                <w:color w:val="auto"/>
              </w:rPr>
            </w:pPr>
          </w:p>
        </w:tc>
      </w:tr>
      <w:tr>
        <w:trPr>
          <w:trHeight w:val="20"/>
        </w:trPr>
        <w:tc>
          <w:tcPr>
            <w:tcW w:w="592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92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205,043</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(265)</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26,226</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80" w:type="dxa"/>
            <w:vAlign w:val="bottom"/>
            <w:gridSpan w:val="2"/>
          </w:tcPr>
          <w:p>
            <w:pPr>
              <w:ind w:left="40"/>
              <w:spacing w:after="0"/>
              <w:rPr>
                <w:sz w:val="20"/>
                <w:szCs w:val="20"/>
                <w:color w:val="auto"/>
              </w:rPr>
            </w:pPr>
            <w:r>
              <w:rPr>
                <w:rFonts w:ascii="Arial" w:cs="Arial" w:eastAsia="Arial" w:hAnsi="Arial"/>
                <w:sz w:val="18"/>
                <w:szCs w:val="18"/>
                <w:color w:val="auto"/>
              </w:rPr>
              <w:t>(1,624)</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231,269</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(1,889)</w:t>
            </w:r>
          </w:p>
        </w:tc>
        <w:tc>
          <w:tcPr>
            <w:tcW w:w="0" w:type="dxa"/>
            <w:vAlign w:val="bottom"/>
          </w:tcPr>
          <w:p>
            <w:pPr>
              <w:spacing w:after="0"/>
              <w:rPr>
                <w:sz w:val="1"/>
                <w:szCs w:val="1"/>
                <w:color w:val="auto"/>
              </w:rPr>
            </w:pPr>
          </w:p>
        </w:tc>
      </w:tr>
      <w:tr>
        <w:trPr>
          <w:trHeight w:val="20"/>
        </w:trPr>
        <w:tc>
          <w:tcPr>
            <w:tcW w:w="59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Inventories</w:t>
      </w:r>
    </w:p>
    <w:p>
      <w:pPr>
        <w:spacing w:after="0" w:line="20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680" w:type="dxa"/>
            <w:vAlign w:val="bottom"/>
          </w:tcPr>
          <w:p>
            <w:pPr>
              <w:jc w:val="right"/>
              <w:ind w:right="39"/>
              <w:spacing w:after="0"/>
              <w:rPr>
                <w:sz w:val="20"/>
                <w:szCs w:val="20"/>
                <w:color w:val="auto"/>
              </w:rPr>
            </w:pPr>
            <w:r>
              <w:rPr>
                <w:rFonts w:ascii="Arial" w:cs="Arial" w:eastAsia="Arial" w:hAnsi="Arial"/>
                <w:sz w:val="14"/>
                <w:szCs w:val="14"/>
                <w:b w:val="1"/>
                <w:bCs w:val="1"/>
                <w:color w:val="auto"/>
              </w:rPr>
              <w:t>July 30,</w:t>
            </w:r>
          </w:p>
        </w:tc>
        <w:tc>
          <w:tcPr>
            <w:tcW w:w="1300" w:type="dxa"/>
            <w:vAlign w:val="bottom"/>
            <w:gridSpan w:val="3"/>
          </w:tcPr>
          <w:p>
            <w:pPr>
              <w:ind w:left="500"/>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4660" w:type="dxa"/>
            <w:vAlign w:val="bottom"/>
            <w:gridSpan w:val="2"/>
          </w:tcPr>
          <w:p>
            <w:pPr>
              <w:jc w:val="right"/>
              <w:ind w:right="139"/>
              <w:spacing w:after="0"/>
              <w:rPr>
                <w:sz w:val="20"/>
                <w:szCs w:val="20"/>
                <w:color w:val="auto"/>
              </w:rPr>
            </w:pPr>
            <w:r>
              <w:rPr>
                <w:rFonts w:ascii="Arial" w:cs="Arial" w:eastAsia="Arial" w:hAnsi="Arial"/>
                <w:sz w:val="14"/>
                <w:szCs w:val="14"/>
                <w:b w:val="1"/>
                <w:bCs w:val="1"/>
                <w:color w:val="auto"/>
              </w:rPr>
              <w:t>2011</w:t>
            </w:r>
          </w:p>
        </w:tc>
        <w:tc>
          <w:tcPr>
            <w:tcW w:w="12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7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Work-in-process</w:t>
            </w:r>
          </w:p>
        </w:tc>
        <w:tc>
          <w:tcPr>
            <w:tcW w:w="398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$ 211,667</w:t>
            </w:r>
          </w:p>
        </w:tc>
        <w:tc>
          <w:tcPr>
            <w:tcW w:w="5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$ 156,108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2700" w:type="dxa"/>
            <w:vAlign w:val="bottom"/>
          </w:tcPr>
          <w:p>
            <w:pPr>
              <w:spacing w:after="0"/>
              <w:rPr>
                <w:sz w:val="20"/>
                <w:szCs w:val="20"/>
                <w:color w:val="auto"/>
              </w:rPr>
            </w:pPr>
            <w:r>
              <w:rPr>
                <w:rFonts w:ascii="Arial" w:cs="Arial" w:eastAsia="Arial" w:hAnsi="Arial"/>
                <w:sz w:val="18"/>
                <w:szCs w:val="18"/>
                <w:color w:val="auto"/>
              </w:rPr>
              <w:t>Finished goods</w:t>
            </w:r>
          </w:p>
        </w:tc>
        <w:tc>
          <w:tcPr>
            <w:tcW w:w="3980" w:type="dxa"/>
            <w:vAlign w:val="bottom"/>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110,338</w:t>
            </w:r>
          </w:p>
        </w:tc>
        <w:tc>
          <w:tcPr>
            <w:tcW w:w="520" w:type="dxa"/>
            <w:vAlign w:val="bottom"/>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89,340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0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46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322,005</w:t>
            </w:r>
          </w:p>
        </w:tc>
        <w:tc>
          <w:tcPr>
            <w:tcW w:w="1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$ 245,448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3980" w:type="dxa"/>
            <w:vAlign w:val="bottom"/>
            <w:vMerge w:val="restart"/>
          </w:tcPr>
          <w:p>
            <w:pPr>
              <w:jc w:val="right"/>
              <w:ind w:right="2239"/>
              <w:spacing w:after="0"/>
              <w:rPr>
                <w:sz w:val="20"/>
                <w:szCs w:val="20"/>
                <w:color w:val="auto"/>
              </w:rPr>
            </w:pPr>
            <w:r>
              <w:rPr>
                <w:rFonts w:ascii="Arial" w:cs="Arial" w:eastAsia="Arial" w:hAnsi="Arial"/>
                <w:sz w:val="18"/>
                <w:szCs w:val="18"/>
                <w:color w:val="auto"/>
              </w:rPr>
              <w:t>7</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398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Property and equipment, net</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89"/>
              </w:rPr>
              <w:t>July 30,</w:t>
            </w:r>
          </w:p>
        </w:tc>
        <w:tc>
          <w:tcPr>
            <w:tcW w:w="520" w:type="dxa"/>
            <w:vAlign w:val="bottom"/>
          </w:tcPr>
          <w:p>
            <w:pPr>
              <w:spacing w:after="0"/>
              <w:rPr>
                <w:sz w:val="14"/>
                <w:szCs w:val="14"/>
                <w:color w:val="auto"/>
              </w:rPr>
            </w:pPr>
          </w:p>
        </w:tc>
        <w:tc>
          <w:tcPr>
            <w:tcW w:w="78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w w:val="80"/>
              </w:rPr>
              <w:t>January 29,</w:t>
            </w: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3420" w:type="dxa"/>
            <w:vAlign w:val="bottom"/>
            <w:gridSpan w:val="4"/>
          </w:tcPr>
          <w:p>
            <w:pPr>
              <w:jc w:val="right"/>
              <w:ind w:right="161"/>
              <w:spacing w:after="0"/>
              <w:rPr>
                <w:sz w:val="20"/>
                <w:szCs w:val="20"/>
                <w:color w:val="auto"/>
              </w:rPr>
            </w:pPr>
            <w:r>
              <w:rPr>
                <w:rFonts w:ascii="Arial" w:cs="Arial" w:eastAsia="Arial" w:hAnsi="Arial"/>
                <w:sz w:val="14"/>
                <w:szCs w:val="14"/>
                <w:b w:val="1"/>
                <w:bCs w:val="1"/>
                <w:color w:val="auto"/>
              </w:rPr>
              <w:t>2011</w:t>
            </w:r>
          </w:p>
        </w:tc>
        <w:tc>
          <w:tcPr>
            <w:tcW w:w="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jc w:val="right"/>
              <w:ind w:right="155"/>
              <w:spacing w:after="0"/>
              <w:rPr>
                <w:sz w:val="20"/>
                <w:szCs w:val="20"/>
                <w:color w:val="auto"/>
              </w:rPr>
            </w:pPr>
            <w:r>
              <w:rPr>
                <w:rFonts w:ascii="Arial" w:cs="Arial" w:eastAsia="Arial" w:hAnsi="Arial"/>
                <w:sz w:val="14"/>
                <w:szCs w:val="14"/>
                <w:b w:val="1"/>
                <w:bCs w:val="1"/>
                <w:color w:val="auto"/>
              </w:rPr>
              <w:t>2011</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39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Machinery and equipment</w:t>
            </w:r>
          </w:p>
        </w:tc>
        <w:tc>
          <w:tcPr>
            <w:tcW w:w="270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7"/>
              </w:rPr>
              <w:t>$ 469,665</w:t>
            </w:r>
          </w:p>
        </w:tc>
        <w:tc>
          <w:tcPr>
            <w:tcW w:w="60" w:type="dxa"/>
            <w:vAlign w:val="bottom"/>
            <w:tcBorders>
              <w:top w:val="single" w:sz="8" w:color="CCEEFF"/>
            </w:tcBorders>
            <w:shd w:val="clear" w:color="auto" w:fill="CCEEFF"/>
          </w:tcPr>
          <w:p>
            <w:pPr>
              <w:spacing w:after="0"/>
              <w:rPr>
                <w:sz w:val="18"/>
                <w:szCs w:val="18"/>
                <w:color w:val="auto"/>
              </w:rPr>
            </w:pPr>
          </w:p>
        </w:tc>
        <w:tc>
          <w:tcPr>
            <w:tcW w:w="520" w:type="dxa"/>
            <w:vAlign w:val="bottom"/>
            <w:tcBorders>
              <w:top w:val="single" w:sz="8" w:color="CCEEFF"/>
              <w:right w:val="single" w:sz="8" w:color="CCEEFF"/>
            </w:tcBorders>
            <w:shd w:val="clear" w:color="auto" w:fill="CCEEFF"/>
          </w:tcPr>
          <w:p>
            <w:pPr>
              <w:spacing w:after="0"/>
              <w:rPr>
                <w:sz w:val="18"/>
                <w:szCs w:val="18"/>
                <w:color w:val="auto"/>
              </w:rPr>
            </w:pPr>
          </w:p>
        </w:tc>
        <w:tc>
          <w:tcPr>
            <w:tcW w:w="66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$ 435,900</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Computer software</w:t>
            </w:r>
          </w:p>
        </w:tc>
        <w:tc>
          <w:tcPr>
            <w:tcW w:w="3420" w:type="dxa"/>
            <w:vAlign w:val="bottom"/>
            <w:gridSpan w:val="4"/>
          </w:tcPr>
          <w:p>
            <w:pPr>
              <w:jc w:val="right"/>
              <w:spacing w:after="0"/>
              <w:rPr>
                <w:sz w:val="20"/>
                <w:szCs w:val="20"/>
                <w:color w:val="auto"/>
              </w:rPr>
            </w:pPr>
            <w:r>
              <w:rPr>
                <w:rFonts w:ascii="Arial" w:cs="Arial" w:eastAsia="Arial" w:hAnsi="Arial"/>
                <w:sz w:val="18"/>
                <w:szCs w:val="18"/>
                <w:color w:val="auto"/>
              </w:rPr>
              <w:t>77,587</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74,966</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34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23,818</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23,498</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Leasehold improvements</w:t>
            </w:r>
          </w:p>
        </w:tc>
        <w:tc>
          <w:tcPr>
            <w:tcW w:w="3420" w:type="dxa"/>
            <w:vAlign w:val="bottom"/>
            <w:gridSpan w:val="4"/>
          </w:tcPr>
          <w:p>
            <w:pPr>
              <w:jc w:val="right"/>
              <w:spacing w:after="0"/>
              <w:rPr>
                <w:sz w:val="20"/>
                <w:szCs w:val="20"/>
                <w:color w:val="auto"/>
              </w:rPr>
            </w:pPr>
            <w:r>
              <w:rPr>
                <w:rFonts w:ascii="Arial" w:cs="Arial" w:eastAsia="Arial" w:hAnsi="Arial"/>
                <w:sz w:val="18"/>
                <w:szCs w:val="18"/>
                <w:color w:val="auto"/>
              </w:rPr>
              <w:t>35,044</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34,142</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34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144,596</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144,596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Building improvements</w:t>
            </w:r>
          </w:p>
        </w:tc>
        <w:tc>
          <w:tcPr>
            <w:tcW w:w="3420" w:type="dxa"/>
            <w:vAlign w:val="bottom"/>
            <w:gridSpan w:val="4"/>
          </w:tcPr>
          <w:p>
            <w:pPr>
              <w:jc w:val="right"/>
              <w:spacing w:after="0"/>
              <w:rPr>
                <w:sz w:val="20"/>
                <w:szCs w:val="20"/>
                <w:color w:val="auto"/>
              </w:rPr>
            </w:pPr>
            <w:r>
              <w:rPr>
                <w:rFonts w:ascii="Arial" w:cs="Arial" w:eastAsia="Arial" w:hAnsi="Arial"/>
                <w:sz w:val="18"/>
                <w:szCs w:val="18"/>
                <w:color w:val="auto"/>
              </w:rPr>
              <w:t>41,991</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41,200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34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0" w:type="dxa"/>
            <w:vAlign w:val="bottom"/>
          </w:tcPr>
          <w:p>
            <w:pPr>
              <w:spacing w:after="0"/>
              <w:rPr>
                <w:sz w:val="19"/>
                <w:szCs w:val="19"/>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2700" w:type="dxa"/>
            <w:vAlign w:val="bottom"/>
          </w:tcPr>
          <w:p>
            <w:pPr>
              <w:spacing w:after="0"/>
              <w:rPr>
                <w:sz w:val="19"/>
                <w:szCs w:val="19"/>
                <w:color w:val="auto"/>
              </w:rPr>
            </w:pPr>
          </w:p>
        </w:tc>
        <w:tc>
          <w:tcPr>
            <w:tcW w:w="72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6,217</w:t>
            </w:r>
          </w:p>
        </w:tc>
        <w:tc>
          <w:tcPr>
            <w:tcW w:w="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8,469</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shd w:val="clear" w:color="auto" w:fill="CCEEFF"/>
          </w:tcPr>
          <w:p>
            <w:pPr>
              <w:spacing w:after="0"/>
              <w:rPr>
                <w:sz w:val="18"/>
                <w:szCs w:val="18"/>
                <w:color w:val="auto"/>
              </w:rPr>
            </w:pPr>
          </w:p>
        </w:tc>
        <w:tc>
          <w:tcPr>
            <w:tcW w:w="34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868,164</w:t>
            </w:r>
          </w:p>
        </w:tc>
        <w:tc>
          <w:tcPr>
            <w:tcW w:w="60" w:type="dxa"/>
            <w:vAlign w:val="bottom"/>
            <w:shd w:val="clear" w:color="auto" w:fill="CCEEFF"/>
          </w:tcPr>
          <w:p>
            <w:pPr>
              <w:spacing w:after="0"/>
              <w:rPr>
                <w:sz w:val="18"/>
                <w:szCs w:val="18"/>
                <w:color w:val="auto"/>
              </w:rPr>
            </w:pP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832,017</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w w:val="98"/>
              </w:rPr>
              <w:t>Less: Accumulated depreciation and amortization</w:t>
            </w:r>
          </w:p>
        </w:tc>
        <w:tc>
          <w:tcPr>
            <w:tcW w:w="2700" w:type="dxa"/>
            <w:vAlign w:val="bottom"/>
          </w:tcPr>
          <w:p>
            <w:pPr>
              <w:spacing w:after="0"/>
              <w:rPr>
                <w:sz w:val="18"/>
                <w:szCs w:val="18"/>
                <w:color w:val="auto"/>
              </w:rPr>
            </w:pPr>
          </w:p>
        </w:tc>
        <w:tc>
          <w:tcPr>
            <w:tcW w:w="780" w:type="dxa"/>
            <w:vAlign w:val="bottom"/>
            <w:gridSpan w:val="4"/>
          </w:tcPr>
          <w:p>
            <w:pPr>
              <w:jc w:val="right"/>
              <w:spacing w:after="0"/>
              <w:rPr>
                <w:sz w:val="20"/>
                <w:szCs w:val="20"/>
                <w:color w:val="auto"/>
              </w:rPr>
            </w:pPr>
            <w:r>
              <w:rPr>
                <w:rFonts w:ascii="Arial" w:cs="Arial" w:eastAsia="Arial" w:hAnsi="Arial"/>
                <w:sz w:val="18"/>
                <w:szCs w:val="18"/>
                <w:color w:val="auto"/>
                <w:w w:val="98"/>
              </w:rPr>
              <w:t>(504,400)</w:t>
            </w:r>
          </w:p>
        </w:tc>
        <w:tc>
          <w:tcPr>
            <w:tcW w:w="1300" w:type="dxa"/>
            <w:vAlign w:val="bottom"/>
            <w:gridSpan w:val="5"/>
          </w:tcPr>
          <w:p>
            <w:pPr>
              <w:jc w:val="right"/>
              <w:ind w:right="60"/>
              <w:spacing w:after="0"/>
              <w:rPr>
                <w:sz w:val="20"/>
                <w:szCs w:val="20"/>
                <w:color w:val="auto"/>
              </w:rPr>
            </w:pPr>
            <w:r>
              <w:rPr>
                <w:rFonts w:ascii="Arial" w:cs="Arial" w:eastAsia="Arial" w:hAnsi="Arial"/>
                <w:sz w:val="18"/>
                <w:szCs w:val="18"/>
                <w:color w:val="auto"/>
              </w:rPr>
              <w:t>(473,577)</w:t>
            </w:r>
          </w:p>
        </w:tc>
        <w:tc>
          <w:tcPr>
            <w:tcW w:w="0" w:type="dxa"/>
            <w:vAlign w:val="bottom"/>
          </w:tcPr>
          <w:p>
            <w:pPr>
              <w:spacing w:after="0"/>
              <w:rPr>
                <w:sz w:val="1"/>
                <w:szCs w:val="1"/>
                <w:color w:val="auto"/>
              </w:rPr>
            </w:pPr>
          </w:p>
        </w:tc>
      </w:tr>
      <w:tr>
        <w:trPr>
          <w:trHeight w:val="27"/>
        </w:trPr>
        <w:tc>
          <w:tcPr>
            <w:tcW w:w="920" w:type="dxa"/>
            <w:vAlign w:val="bottom"/>
            <w:vMerge w:val="restart"/>
          </w:tcPr>
          <w:p>
            <w:pPr>
              <w:spacing w:after="0"/>
              <w:rPr>
                <w:sz w:val="2"/>
                <w:szCs w:val="2"/>
                <w:color w:val="auto"/>
              </w:rPr>
            </w:pPr>
          </w:p>
        </w:tc>
        <w:tc>
          <w:tcPr>
            <w:tcW w:w="3900" w:type="dxa"/>
            <w:vAlign w:val="bottom"/>
          </w:tcPr>
          <w:p>
            <w:pPr>
              <w:spacing w:after="0"/>
              <w:rPr>
                <w:sz w:val="2"/>
                <w:szCs w:val="2"/>
                <w:color w:val="auto"/>
              </w:rPr>
            </w:pPr>
          </w:p>
        </w:tc>
        <w:tc>
          <w:tcPr>
            <w:tcW w:w="27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520" w:type="dxa"/>
            <w:vAlign w:val="bottom"/>
            <w:tcBorders>
              <w:right w:val="single" w:sz="8" w:color="auto"/>
            </w:tcBorders>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0" w:type="dxa"/>
            <w:vAlign w:val="bottom"/>
            <w:vMerge w:val="continue"/>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34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$ 363,764</w:t>
            </w:r>
          </w:p>
        </w:tc>
        <w:tc>
          <w:tcPr>
            <w:tcW w:w="6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$ 358,440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Other non-current assets</w:t>
            </w:r>
          </w:p>
        </w:tc>
        <w:tc>
          <w:tcPr>
            <w:tcW w:w="27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4820" w:type="dxa"/>
            <w:vAlign w:val="bottom"/>
            <w:gridSpan w:val="2"/>
            <w:vMerge w:val="continue"/>
          </w:tcPr>
          <w:p>
            <w:pPr>
              <w:spacing w:after="0"/>
              <w:rPr>
                <w:sz w:val="24"/>
                <w:szCs w:val="24"/>
                <w:color w:val="auto"/>
              </w:rPr>
            </w:pPr>
          </w:p>
        </w:tc>
        <w:tc>
          <w:tcPr>
            <w:tcW w:w="2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92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w w:val="85"/>
              </w:rPr>
              <w:t>July 30,</w:t>
            </w:r>
          </w:p>
        </w:tc>
        <w:tc>
          <w:tcPr>
            <w:tcW w:w="520" w:type="dxa"/>
            <w:vAlign w:val="bottom"/>
          </w:tcPr>
          <w:p>
            <w:pPr>
              <w:spacing w:after="0"/>
              <w:rPr>
                <w:sz w:val="24"/>
                <w:szCs w:val="24"/>
                <w:color w:val="auto"/>
              </w:rPr>
            </w:pPr>
          </w:p>
        </w:tc>
        <w:tc>
          <w:tcPr>
            <w:tcW w:w="78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88"/>
              </w:rPr>
              <w:t>January 29,</w:t>
            </w: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3420" w:type="dxa"/>
            <w:vAlign w:val="bottom"/>
            <w:gridSpan w:val="4"/>
          </w:tcPr>
          <w:p>
            <w:pPr>
              <w:jc w:val="right"/>
              <w:ind w:right="81"/>
              <w:spacing w:after="0"/>
              <w:rPr>
                <w:sz w:val="20"/>
                <w:szCs w:val="20"/>
                <w:color w:val="auto"/>
              </w:rPr>
            </w:pPr>
            <w:r>
              <w:rPr>
                <w:rFonts w:ascii="Arial" w:cs="Arial" w:eastAsia="Arial" w:hAnsi="Arial"/>
                <w:sz w:val="14"/>
                <w:szCs w:val="14"/>
                <w:b w:val="1"/>
                <w:bCs w:val="1"/>
                <w:color w:val="auto"/>
              </w:rPr>
              <w:t>2011</w:t>
            </w:r>
          </w:p>
        </w:tc>
        <w:tc>
          <w:tcPr>
            <w:tcW w:w="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3"/>
              </w:rPr>
              <w:t>2011</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39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Technology and other licenses</w:t>
            </w:r>
          </w:p>
        </w:tc>
        <w:tc>
          <w:tcPr>
            <w:tcW w:w="2800" w:type="dxa"/>
            <w:vAlign w:val="bottom"/>
            <w:tcBorders>
              <w:top w:val="single" w:sz="8" w:color="CCEEFF"/>
            </w:tcBorders>
            <w:gridSpan w:val="2"/>
            <w:shd w:val="clear" w:color="auto" w:fill="CCEEFF"/>
          </w:tcPr>
          <w:p>
            <w:pPr>
              <w:spacing w:after="0"/>
              <w:rPr>
                <w:sz w:val="18"/>
                <w:szCs w:val="18"/>
                <w:color w:val="auto"/>
              </w:rPr>
            </w:pPr>
          </w:p>
        </w:tc>
        <w:tc>
          <w:tcPr>
            <w:tcW w:w="68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94"/>
              </w:rPr>
              <w:t>$ 60,943</w:t>
            </w:r>
          </w:p>
        </w:tc>
        <w:tc>
          <w:tcPr>
            <w:tcW w:w="520" w:type="dxa"/>
            <w:vAlign w:val="bottom"/>
            <w:tcBorders>
              <w:top w:val="single" w:sz="8" w:color="CCEEFF"/>
              <w:right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51,642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Deferred tax assets</w:t>
            </w:r>
          </w:p>
        </w:tc>
        <w:tc>
          <w:tcPr>
            <w:tcW w:w="3480" w:type="dxa"/>
            <w:vAlign w:val="bottom"/>
            <w:gridSpan w:val="5"/>
          </w:tcPr>
          <w:p>
            <w:pPr>
              <w:jc w:val="right"/>
              <w:spacing w:after="0"/>
              <w:rPr>
                <w:sz w:val="20"/>
                <w:szCs w:val="20"/>
                <w:color w:val="auto"/>
              </w:rPr>
            </w:pPr>
            <w:r>
              <w:rPr>
                <w:rFonts w:ascii="Arial" w:cs="Arial" w:eastAsia="Arial" w:hAnsi="Arial"/>
                <w:sz w:val="18"/>
                <w:szCs w:val="18"/>
                <w:color w:val="auto"/>
              </w:rPr>
              <w:t>27,671</w:t>
            </w: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27,671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Deferred compensation</w:t>
            </w:r>
          </w:p>
        </w:tc>
        <w:tc>
          <w:tcPr>
            <w:tcW w:w="348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4,749</w:t>
            </w: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6,169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Prepayments for foundry capacity</w:t>
            </w:r>
          </w:p>
        </w:tc>
        <w:tc>
          <w:tcPr>
            <w:tcW w:w="3480" w:type="dxa"/>
            <w:vAlign w:val="bottom"/>
            <w:gridSpan w:val="5"/>
          </w:tcPr>
          <w:p>
            <w:pPr>
              <w:jc w:val="right"/>
              <w:spacing w:after="0"/>
              <w:rPr>
                <w:sz w:val="20"/>
                <w:szCs w:val="20"/>
                <w:color w:val="auto"/>
              </w:rPr>
            </w:pPr>
            <w:r>
              <w:rPr>
                <w:rFonts w:ascii="Arial" w:cs="Arial" w:eastAsia="Arial" w:hAnsi="Arial"/>
                <w:sz w:val="18"/>
                <w:szCs w:val="18"/>
                <w:color w:val="auto"/>
              </w:rPr>
              <w:t>5,157</w:t>
            </w: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5,289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348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4,407</w:t>
            </w: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4,819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Investments in privately held companies</w:t>
            </w:r>
          </w:p>
        </w:tc>
        <w:tc>
          <w:tcPr>
            <w:tcW w:w="3480" w:type="dxa"/>
            <w:vAlign w:val="bottom"/>
            <w:gridSpan w:val="5"/>
          </w:tcPr>
          <w:p>
            <w:pPr>
              <w:jc w:val="right"/>
              <w:spacing w:after="0"/>
              <w:rPr>
                <w:sz w:val="20"/>
                <w:szCs w:val="20"/>
                <w:color w:val="auto"/>
              </w:rPr>
            </w:pPr>
            <w:r>
              <w:rPr>
                <w:rFonts w:ascii="Arial" w:cs="Arial" w:eastAsia="Arial" w:hAnsi="Arial"/>
                <w:sz w:val="18"/>
                <w:szCs w:val="18"/>
                <w:color w:val="auto"/>
              </w:rPr>
              <w:t>5,888</w:t>
            </w: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3,950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800" w:type="dxa"/>
            <w:vAlign w:val="bottom"/>
            <w:gridSpan w:val="2"/>
            <w:shd w:val="clear" w:color="auto" w:fill="CCEEFF"/>
          </w:tcPr>
          <w:p>
            <w:pPr>
              <w:spacing w:after="0"/>
              <w:rPr>
                <w:sz w:val="18"/>
                <w:szCs w:val="18"/>
                <w:color w:val="auto"/>
              </w:rPr>
            </w:pPr>
          </w:p>
        </w:tc>
        <w:tc>
          <w:tcPr>
            <w:tcW w:w="68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11,874</w:t>
            </w: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11,840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820" w:type="dxa"/>
            <w:vAlign w:val="bottom"/>
            <w:gridSpan w:val="2"/>
          </w:tcPr>
          <w:p>
            <w:pPr>
              <w:ind w:left="920"/>
              <w:spacing w:after="0"/>
              <w:rPr>
                <w:sz w:val="20"/>
                <w:szCs w:val="20"/>
                <w:color w:val="auto"/>
              </w:rPr>
            </w:pPr>
            <w:r>
              <w:rPr>
                <w:rFonts w:ascii="Arial" w:cs="Arial" w:eastAsia="Arial" w:hAnsi="Arial"/>
                <w:sz w:val="18"/>
                <w:szCs w:val="18"/>
                <w:color w:val="auto"/>
              </w:rPr>
              <w:t>Other non-current assets</w:t>
            </w:r>
          </w:p>
        </w:tc>
        <w:tc>
          <w:tcPr>
            <w:tcW w:w="3480" w:type="dxa"/>
            <w:vAlign w:val="bottom"/>
            <w:gridSpan w:val="5"/>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120,689</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$ 111,380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8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Accrued liabilities</w:t>
            </w:r>
          </w:p>
        </w:tc>
        <w:tc>
          <w:tcPr>
            <w:tcW w:w="2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4820" w:type="dxa"/>
            <w:vAlign w:val="bottom"/>
            <w:gridSpan w:val="2"/>
            <w:vMerge w:val="continue"/>
          </w:tcPr>
          <w:p>
            <w:pPr>
              <w:spacing w:after="0"/>
              <w:rPr>
                <w:sz w:val="24"/>
                <w:szCs w:val="24"/>
                <w:color w:val="auto"/>
              </w:rPr>
            </w:pPr>
          </w:p>
        </w:tc>
        <w:tc>
          <w:tcPr>
            <w:tcW w:w="2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92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July 30,</w:t>
            </w:r>
          </w:p>
        </w:tc>
        <w:tc>
          <w:tcPr>
            <w:tcW w:w="520" w:type="dxa"/>
            <w:vAlign w:val="bottom"/>
          </w:tcPr>
          <w:p>
            <w:pPr>
              <w:spacing w:after="0"/>
              <w:rPr>
                <w:sz w:val="24"/>
                <w:szCs w:val="24"/>
                <w:color w:val="auto"/>
              </w:rPr>
            </w:pPr>
          </w:p>
        </w:tc>
        <w:tc>
          <w:tcPr>
            <w:tcW w:w="78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88"/>
              </w:rPr>
              <w:t>January 29,</w:t>
            </w: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3420" w:type="dxa"/>
            <w:vAlign w:val="bottom"/>
            <w:gridSpan w:val="4"/>
          </w:tcPr>
          <w:p>
            <w:pPr>
              <w:jc w:val="center"/>
              <w:ind w:left="2875"/>
              <w:spacing w:after="0"/>
              <w:rPr>
                <w:sz w:val="20"/>
                <w:szCs w:val="20"/>
                <w:color w:val="auto"/>
              </w:rPr>
            </w:pPr>
            <w:r>
              <w:rPr>
                <w:rFonts w:ascii="Arial" w:cs="Arial" w:eastAsia="Arial" w:hAnsi="Arial"/>
                <w:sz w:val="14"/>
                <w:szCs w:val="14"/>
                <w:b w:val="1"/>
                <w:bCs w:val="1"/>
                <w:color w:val="auto"/>
                <w:w w:val="83"/>
              </w:rPr>
              <w:t>2011</w:t>
            </w:r>
          </w:p>
        </w:tc>
        <w:tc>
          <w:tcPr>
            <w:tcW w:w="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3"/>
              </w:rPr>
              <w:t>2011</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39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Accrued rebates</w:t>
            </w:r>
          </w:p>
        </w:tc>
        <w:tc>
          <w:tcPr>
            <w:tcW w:w="2900" w:type="dxa"/>
            <w:vAlign w:val="bottom"/>
            <w:tcBorders>
              <w:top w:val="single" w:sz="8" w:color="CCEEFF"/>
            </w:tcBorders>
            <w:gridSpan w:val="3"/>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6"/>
              </w:rPr>
              <w:t>$34,856</w:t>
            </w:r>
          </w:p>
        </w:tc>
        <w:tc>
          <w:tcPr>
            <w:tcW w:w="520" w:type="dxa"/>
            <w:vAlign w:val="bottom"/>
            <w:tcBorders>
              <w:top w:val="single" w:sz="8" w:color="CCEEFF"/>
              <w:right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32,405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Accrued royalties</w:t>
            </w:r>
          </w:p>
        </w:tc>
        <w:tc>
          <w:tcPr>
            <w:tcW w:w="3480" w:type="dxa"/>
            <w:vAlign w:val="bottom"/>
            <w:gridSpan w:val="5"/>
          </w:tcPr>
          <w:p>
            <w:pPr>
              <w:jc w:val="right"/>
              <w:spacing w:after="0"/>
              <w:rPr>
                <w:sz w:val="20"/>
                <w:szCs w:val="20"/>
                <w:color w:val="auto"/>
              </w:rPr>
            </w:pPr>
            <w:r>
              <w:rPr>
                <w:rFonts w:ascii="Arial" w:cs="Arial" w:eastAsia="Arial" w:hAnsi="Arial"/>
                <w:sz w:val="18"/>
                <w:szCs w:val="18"/>
                <w:color w:val="auto"/>
              </w:rPr>
              <w:t>13,767</w:t>
            </w: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14,018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Accrued legal and professional services</w:t>
            </w:r>
          </w:p>
        </w:tc>
        <w:tc>
          <w:tcPr>
            <w:tcW w:w="348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10,508</w:t>
            </w: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10,676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Customer advances</w:t>
            </w:r>
          </w:p>
        </w:tc>
        <w:tc>
          <w:tcPr>
            <w:tcW w:w="3480" w:type="dxa"/>
            <w:vAlign w:val="bottom"/>
            <w:gridSpan w:val="5"/>
          </w:tcPr>
          <w:p>
            <w:pPr>
              <w:jc w:val="right"/>
              <w:spacing w:after="0"/>
              <w:rPr>
                <w:sz w:val="20"/>
                <w:szCs w:val="20"/>
                <w:color w:val="auto"/>
              </w:rPr>
            </w:pPr>
            <w:r>
              <w:rPr>
                <w:rFonts w:ascii="Arial" w:cs="Arial" w:eastAsia="Arial" w:hAnsi="Arial"/>
                <w:sz w:val="18"/>
                <w:szCs w:val="18"/>
                <w:color w:val="auto"/>
              </w:rPr>
              <w:t>3,682</w:t>
            </w: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3,515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 obligation</w:t>
            </w:r>
          </w:p>
        </w:tc>
        <w:tc>
          <w:tcPr>
            <w:tcW w:w="348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7,410</w:t>
            </w: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4,850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Income tax payable</w:t>
            </w:r>
          </w:p>
        </w:tc>
        <w:tc>
          <w:tcPr>
            <w:tcW w:w="3480" w:type="dxa"/>
            <w:vAlign w:val="bottom"/>
            <w:gridSpan w:val="5"/>
          </w:tcPr>
          <w:p>
            <w:pPr>
              <w:jc w:val="right"/>
              <w:spacing w:after="0"/>
              <w:rPr>
                <w:sz w:val="20"/>
                <w:szCs w:val="20"/>
                <w:color w:val="auto"/>
              </w:rPr>
            </w:pPr>
            <w:r>
              <w:rPr>
                <w:rFonts w:ascii="Arial" w:cs="Arial" w:eastAsia="Arial" w:hAnsi="Arial"/>
                <w:sz w:val="18"/>
                <w:szCs w:val="18"/>
                <w:color w:val="auto"/>
              </w:rPr>
              <w:t>3,059</w:t>
            </w: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Accrued sales/goods and services tax</w:t>
            </w:r>
          </w:p>
        </w:tc>
        <w:tc>
          <w:tcPr>
            <w:tcW w:w="348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1,818</w:t>
            </w: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0" w:type="dxa"/>
            <w:vAlign w:val="bottom"/>
          </w:tcPr>
          <w:p>
            <w:pPr>
              <w:spacing w:after="0"/>
              <w:rPr>
                <w:sz w:val="19"/>
                <w:szCs w:val="19"/>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Other</w:t>
            </w:r>
          </w:p>
        </w:tc>
        <w:tc>
          <w:tcPr>
            <w:tcW w:w="2900" w:type="dxa"/>
            <w:vAlign w:val="bottom"/>
            <w:gridSpan w:val="3"/>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14,799</w:t>
            </w:r>
          </w:p>
        </w:tc>
        <w:tc>
          <w:tcPr>
            <w:tcW w:w="5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16,851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3480" w:type="dxa"/>
            <w:vAlign w:val="bottom"/>
            <w:gridSpan w:val="5"/>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89,899</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85,994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Other long-term liabilities</w:t>
            </w:r>
          </w:p>
        </w:tc>
        <w:tc>
          <w:tcPr>
            <w:tcW w:w="2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4820" w:type="dxa"/>
            <w:vAlign w:val="bottom"/>
            <w:gridSpan w:val="2"/>
            <w:vMerge w:val="continue"/>
          </w:tcPr>
          <w:p>
            <w:pPr>
              <w:spacing w:after="0"/>
              <w:rPr>
                <w:sz w:val="24"/>
                <w:szCs w:val="24"/>
                <w:color w:val="auto"/>
              </w:rPr>
            </w:pPr>
          </w:p>
        </w:tc>
        <w:tc>
          <w:tcPr>
            <w:tcW w:w="2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92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July 30,</w:t>
            </w:r>
          </w:p>
        </w:tc>
        <w:tc>
          <w:tcPr>
            <w:tcW w:w="520" w:type="dxa"/>
            <w:vAlign w:val="bottom"/>
          </w:tcPr>
          <w:p>
            <w:pPr>
              <w:spacing w:after="0"/>
              <w:rPr>
                <w:sz w:val="24"/>
                <w:szCs w:val="24"/>
                <w:color w:val="auto"/>
              </w:rPr>
            </w:pPr>
          </w:p>
        </w:tc>
        <w:tc>
          <w:tcPr>
            <w:tcW w:w="78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88"/>
              </w:rPr>
              <w:t>January 29,</w:t>
            </w: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3420" w:type="dxa"/>
            <w:vAlign w:val="bottom"/>
            <w:gridSpan w:val="4"/>
          </w:tcPr>
          <w:p>
            <w:pPr>
              <w:jc w:val="center"/>
              <w:ind w:left="2875"/>
              <w:spacing w:after="0"/>
              <w:rPr>
                <w:sz w:val="20"/>
                <w:szCs w:val="20"/>
                <w:color w:val="auto"/>
              </w:rPr>
            </w:pPr>
            <w:r>
              <w:rPr>
                <w:rFonts w:ascii="Arial" w:cs="Arial" w:eastAsia="Arial" w:hAnsi="Arial"/>
                <w:sz w:val="14"/>
                <w:szCs w:val="14"/>
                <w:b w:val="1"/>
                <w:bCs w:val="1"/>
                <w:color w:val="auto"/>
                <w:w w:val="83"/>
              </w:rPr>
              <w:t>2011</w:t>
            </w:r>
          </w:p>
        </w:tc>
        <w:tc>
          <w:tcPr>
            <w:tcW w:w="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3"/>
              </w:rPr>
              <w:t>2011</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39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Technology license obligation</w:t>
            </w:r>
          </w:p>
        </w:tc>
        <w:tc>
          <w:tcPr>
            <w:tcW w:w="2900" w:type="dxa"/>
            <w:vAlign w:val="bottom"/>
            <w:tcBorders>
              <w:top w:val="single" w:sz="8" w:color="CCEEFF"/>
            </w:tcBorders>
            <w:gridSpan w:val="3"/>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6"/>
              </w:rPr>
              <w:t>$13,004</w:t>
            </w:r>
          </w:p>
        </w:tc>
        <w:tc>
          <w:tcPr>
            <w:tcW w:w="520" w:type="dxa"/>
            <w:vAlign w:val="bottom"/>
            <w:tcBorders>
              <w:top w:val="single" w:sz="8" w:color="CCEEFF"/>
              <w:right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19,218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Long-term accrued employee compensation</w:t>
            </w:r>
          </w:p>
        </w:tc>
        <w:tc>
          <w:tcPr>
            <w:tcW w:w="3480" w:type="dxa"/>
            <w:vAlign w:val="bottom"/>
            <w:gridSpan w:val="5"/>
          </w:tcPr>
          <w:p>
            <w:pPr>
              <w:jc w:val="right"/>
              <w:spacing w:after="0"/>
              <w:rPr>
                <w:sz w:val="20"/>
                <w:szCs w:val="20"/>
                <w:color w:val="auto"/>
              </w:rPr>
            </w:pPr>
            <w:r>
              <w:rPr>
                <w:rFonts w:ascii="Arial" w:cs="Arial" w:eastAsia="Arial" w:hAnsi="Arial"/>
                <w:sz w:val="18"/>
                <w:szCs w:val="18"/>
                <w:color w:val="auto"/>
              </w:rPr>
              <w:t>8,730</w:t>
            </w: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9,258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Facilities consolidation</w:t>
            </w:r>
          </w:p>
        </w:tc>
        <w:tc>
          <w:tcPr>
            <w:tcW w:w="348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2,547</w:t>
            </w: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Accrued severance</w:t>
            </w:r>
          </w:p>
        </w:tc>
        <w:tc>
          <w:tcPr>
            <w:tcW w:w="3480" w:type="dxa"/>
            <w:vAlign w:val="bottom"/>
            <w:gridSpan w:val="5"/>
          </w:tcPr>
          <w:p>
            <w:pPr>
              <w:jc w:val="right"/>
              <w:spacing w:after="0"/>
              <w:rPr>
                <w:sz w:val="20"/>
                <w:szCs w:val="20"/>
                <w:color w:val="auto"/>
              </w:rPr>
            </w:pPr>
            <w:r>
              <w:rPr>
                <w:rFonts w:ascii="Arial" w:cs="Arial" w:eastAsia="Arial" w:hAnsi="Arial"/>
                <w:sz w:val="18"/>
                <w:szCs w:val="18"/>
                <w:color w:val="auto"/>
              </w:rPr>
              <w:t>2,085</w:t>
            </w: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3,226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900" w:type="dxa"/>
            <w:vAlign w:val="bottom"/>
            <w:gridSpan w:val="3"/>
            <w:shd w:val="clear" w:color="auto" w:fill="CCEEFF"/>
          </w:tcPr>
          <w:p>
            <w:pPr>
              <w:spacing w:after="0"/>
              <w:rPr>
                <w:sz w:val="18"/>
                <w:szCs w:val="18"/>
                <w:color w:val="auto"/>
              </w:rPr>
            </w:pPr>
          </w:p>
        </w:tc>
        <w:tc>
          <w:tcPr>
            <w:tcW w:w="5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7,387</w:t>
            </w:r>
          </w:p>
        </w:tc>
        <w:tc>
          <w:tcPr>
            <w:tcW w:w="520" w:type="dxa"/>
            <w:vAlign w:val="bottom"/>
            <w:tcBorders>
              <w:right w:val="single" w:sz="8" w:color="CCEEFF"/>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4,367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820" w:type="dxa"/>
            <w:vAlign w:val="bottom"/>
            <w:gridSpan w:val="2"/>
          </w:tcPr>
          <w:p>
            <w:pPr>
              <w:ind w:left="920"/>
              <w:spacing w:after="0"/>
              <w:rPr>
                <w:sz w:val="20"/>
                <w:szCs w:val="20"/>
                <w:color w:val="auto"/>
              </w:rPr>
            </w:pPr>
            <w:r>
              <w:rPr>
                <w:rFonts w:ascii="Arial" w:cs="Arial" w:eastAsia="Arial" w:hAnsi="Arial"/>
                <w:sz w:val="18"/>
                <w:szCs w:val="18"/>
                <w:color w:val="auto"/>
              </w:rPr>
              <w:t>Other long-term liabilities</w:t>
            </w:r>
          </w:p>
        </w:tc>
        <w:tc>
          <w:tcPr>
            <w:tcW w:w="3480" w:type="dxa"/>
            <w:vAlign w:val="bottom"/>
            <w:gridSpan w:val="5"/>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33,753</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39,340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2700" w:type="dxa"/>
            <w:vAlign w:val="bottom"/>
            <w:vMerge w:val="restart"/>
          </w:tcPr>
          <w:p>
            <w:pPr>
              <w:jc w:val="right"/>
              <w:ind w:right="2135"/>
              <w:spacing w:after="0"/>
              <w:rPr>
                <w:sz w:val="20"/>
                <w:szCs w:val="20"/>
                <w:color w:val="auto"/>
              </w:rPr>
            </w:pPr>
            <w:r>
              <w:rPr>
                <w:rFonts w:ascii="Arial" w:cs="Arial" w:eastAsia="Arial" w:hAnsi="Arial"/>
                <w:sz w:val="18"/>
                <w:szCs w:val="18"/>
                <w:color w:val="auto"/>
              </w:rPr>
              <w:t>8</w:t>
            </w: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92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27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459" w:right="1440"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per share</w:t>
      </w:r>
    </w:p>
    <w:p>
      <w:pPr>
        <w:spacing w:after="0" w:line="96"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upon the weighted average number of common shares outstanding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90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60" w:type="dxa"/>
            <w:vAlign w:val="bottom"/>
            <w:gridSpan w:val="4"/>
          </w:tcPr>
          <w:p>
            <w:pPr>
              <w:jc w:val="right"/>
              <w:ind w:right="177"/>
              <w:spacing w:after="0"/>
              <w:rPr>
                <w:sz w:val="20"/>
                <w:szCs w:val="20"/>
                <w:color w:val="auto"/>
              </w:rPr>
            </w:pPr>
            <w:r>
              <w:rPr>
                <w:rFonts w:ascii="Arial" w:cs="Arial" w:eastAsia="Arial" w:hAnsi="Arial"/>
                <w:sz w:val="14"/>
                <w:szCs w:val="14"/>
                <w:b w:val="1"/>
                <w:bCs w:val="1"/>
                <w:color w:val="auto"/>
                <w:w w:val="99"/>
              </w:rPr>
              <w:t>Three Months Ended</w:t>
            </w: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40" w:type="dxa"/>
            <w:vAlign w:val="bottom"/>
            <w:gridSpan w:val="5"/>
          </w:tcPr>
          <w:p>
            <w:pPr>
              <w:ind w:left="2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4900" w:type="dxa"/>
            <w:vAlign w:val="bottom"/>
          </w:tcPr>
          <w:p>
            <w:pPr>
              <w:spacing w:after="0"/>
              <w:rPr>
                <w:sz w:val="11"/>
                <w:szCs w:val="11"/>
                <w:color w:val="auto"/>
              </w:rPr>
            </w:pPr>
          </w:p>
        </w:tc>
        <w:tc>
          <w:tcPr>
            <w:tcW w:w="16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80" w:type="dxa"/>
            <w:vAlign w:val="bottom"/>
            <w:tcBorders>
              <w:top w:val="single" w:sz="8" w:color="auto"/>
            </w:tcBorders>
            <w:gridSpan w:val="2"/>
          </w:tcPr>
          <w:p>
            <w:pPr>
              <w:jc w:val="center"/>
              <w:ind w:right="480"/>
              <w:spacing w:after="0" w:line="129" w:lineRule="exact"/>
              <w:rPr>
                <w:sz w:val="20"/>
                <w:szCs w:val="20"/>
                <w:color w:val="auto"/>
              </w:rPr>
            </w:pPr>
            <w:r>
              <w:rPr>
                <w:rFonts w:ascii="Arial" w:cs="Arial" w:eastAsia="Arial" w:hAnsi="Arial"/>
                <w:sz w:val="14"/>
                <w:szCs w:val="14"/>
                <w:b w:val="1"/>
                <w:bCs w:val="1"/>
                <w:color w:val="auto"/>
                <w:w w:val="89"/>
              </w:rPr>
              <w:t>July 30,</w:t>
            </w: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7"/>
              <w:spacing w:after="0" w:line="129" w:lineRule="exact"/>
              <w:rPr>
                <w:sz w:val="20"/>
                <w:szCs w:val="20"/>
                <w:color w:val="auto"/>
              </w:rPr>
            </w:pPr>
            <w:r>
              <w:rPr>
                <w:rFonts w:ascii="Arial" w:cs="Arial" w:eastAsia="Arial" w:hAnsi="Arial"/>
                <w:sz w:val="14"/>
                <w:szCs w:val="14"/>
                <w:b w:val="1"/>
                <w:bCs w:val="1"/>
                <w:color w:val="auto"/>
                <w:w w:val="85"/>
              </w:rPr>
              <w:t>July 31,</w:t>
            </w:r>
          </w:p>
        </w:tc>
        <w:tc>
          <w:tcPr>
            <w:tcW w:w="3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rPr>
              <w:t>July 30,</w:t>
            </w:r>
          </w:p>
        </w:tc>
        <w:tc>
          <w:tcPr>
            <w:tcW w:w="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17"/>
              <w:spacing w:after="0" w:line="129" w:lineRule="exact"/>
              <w:rPr>
                <w:sz w:val="20"/>
                <w:szCs w:val="20"/>
                <w:color w:val="auto"/>
              </w:rPr>
            </w:pPr>
            <w:r>
              <w:rPr>
                <w:rFonts w:ascii="Arial" w:cs="Arial" w:eastAsia="Arial" w:hAnsi="Arial"/>
                <w:sz w:val="14"/>
                <w:szCs w:val="14"/>
                <w:b w:val="1"/>
                <w:bCs w:val="1"/>
                <w:color w:val="auto"/>
                <w:w w:val="89"/>
              </w:rPr>
              <w:t>July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900" w:type="dxa"/>
            <w:vAlign w:val="bottom"/>
            <w:tcBorders>
              <w:bottom w:val="single" w:sz="8" w:color="CCEEFF"/>
            </w:tcBorders>
          </w:tcPr>
          <w:p>
            <w:pPr>
              <w:spacing w:after="0"/>
              <w:rPr>
                <w:sz w:val="14"/>
                <w:szCs w:val="14"/>
                <w:color w:val="auto"/>
              </w:rPr>
            </w:pPr>
          </w:p>
        </w:tc>
        <w:tc>
          <w:tcPr>
            <w:tcW w:w="16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2011</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2010</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2011</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2010</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9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16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90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17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192,392</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219,777</w:t>
            </w:r>
          </w:p>
        </w:tc>
        <w:tc>
          <w:tcPr>
            <w:tcW w:w="4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339,253</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425,544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90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tcPr>
          <w:p>
            <w:pPr>
              <w:spacing w:after="0"/>
              <w:rPr>
                <w:sz w:val="20"/>
                <w:szCs w:val="20"/>
                <w:color w:val="auto"/>
              </w:rPr>
            </w:pPr>
            <w:r>
              <w:rPr>
                <w:rFonts w:ascii="Arial" w:cs="Arial" w:eastAsia="Arial" w:hAnsi="Arial"/>
                <w:sz w:val="18"/>
                <w:szCs w:val="18"/>
                <w:color w:val="auto"/>
              </w:rPr>
              <w:t>Weighted average common shares outstanding</w:t>
            </w:r>
          </w:p>
        </w:tc>
        <w:tc>
          <w:tcPr>
            <w:tcW w:w="1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608,511</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648,028</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623,728</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644,477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tcPr>
          <w:p>
            <w:pPr>
              <w:spacing w:after="0"/>
              <w:rPr>
                <w:sz w:val="20"/>
                <w:szCs w:val="20"/>
                <w:color w:val="auto"/>
              </w:rPr>
            </w:pPr>
            <w:r>
              <w:rPr>
                <w:rFonts w:ascii="Arial" w:cs="Arial" w:eastAsia="Arial" w:hAnsi="Arial"/>
                <w:sz w:val="18"/>
                <w:szCs w:val="18"/>
                <w:color w:val="auto"/>
              </w:rPr>
              <w:t>Common share options and other</w:t>
            </w:r>
          </w:p>
        </w:tc>
        <w:tc>
          <w:tcPr>
            <w:tcW w:w="1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14,621</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27,192</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16,408</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32,162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900" w:type="dxa"/>
            <w:vAlign w:val="bottom"/>
          </w:tcPr>
          <w:p>
            <w:pPr>
              <w:spacing w:after="0"/>
              <w:rPr>
                <w:sz w:val="2"/>
                <w:szCs w:val="2"/>
                <w:color w:val="auto"/>
              </w:rPr>
            </w:pPr>
          </w:p>
        </w:tc>
        <w:tc>
          <w:tcPr>
            <w:tcW w:w="16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9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1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623,132</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675,220</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640,136</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676,639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90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16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900" w:type="dxa"/>
            <w:vAlign w:val="bottom"/>
            <w:vMerge w:val="continue"/>
          </w:tcPr>
          <w:p>
            <w:pPr>
              <w:spacing w:after="0"/>
              <w:rPr>
                <w:sz w:val="18"/>
                <w:szCs w:val="18"/>
                <w:color w:val="auto"/>
              </w:rPr>
            </w:pPr>
          </w:p>
        </w:tc>
        <w:tc>
          <w:tcPr>
            <w:tcW w:w="1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9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0.32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0.54</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900" w:type="dxa"/>
            <w:vAlign w:val="bottom"/>
          </w:tcPr>
          <w:p>
            <w:pPr>
              <w:ind w:left="440"/>
              <w:spacing w:after="0"/>
              <w:rPr>
                <w:sz w:val="20"/>
                <w:szCs w:val="20"/>
                <w:color w:val="auto"/>
              </w:rPr>
            </w:pPr>
            <w:r>
              <w:rPr>
                <w:rFonts w:ascii="Arial" w:cs="Arial" w:eastAsia="Arial" w:hAnsi="Arial"/>
                <w:sz w:val="18"/>
                <w:szCs w:val="18"/>
                <w:color w:val="auto"/>
              </w:rPr>
              <w:t>Diluted</w:t>
            </w:r>
          </w:p>
        </w:tc>
        <w:tc>
          <w:tcPr>
            <w:tcW w:w="17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0.31</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0.33</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0.53</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0.63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Options to purchase 22.4 million common shares at a weighted average exercise price of $18.59 have been excluded from the computation of diluted net income per share for the three months ended July 30, 2011 because including them would have been anti-dilutive. Options to purchase 12.7 million weighted-average shares at a weighted average exercise price of $21.15 have been excluded from the computation of diluted net income per share for the three months ended July 31, 2010 because including them would have been anti-dilutive.</w:t>
      </w:r>
    </w:p>
    <w:p>
      <w:pPr>
        <w:spacing w:after="0" w:line="11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Options to purchase 17.6 million common shares at a weighted average exercise price of $19.53 have been excluded from the computation of diluted net income per share for the six months ended July 30, 2011 because including them would have been anti-dilutive. Options to purchase 10.1 million common shares at a weighted average exercise price of $22.03 have been excluded from the computation of diluted net income per share for the six months ended July 31, 2010 because including them would have been anti-dilutive.</w:t>
      </w:r>
    </w:p>
    <w:p>
      <w:pPr>
        <w:spacing w:after="0" w:line="143"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In addition, the options granted during the six months ended July 30, 2011, which contain a market condition for vesting, have been excluded from the computation of diluted net income per share for the three and six months ended July 30, 2011, as the market value of the Company’s share as of July 30, 2011 was lower than the required market condition. Refer to “Note 11 – Stock-Based Compensation” for additional details.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Comprehensive income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the components of other comprehensive income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198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Pr>
          <w:p>
            <w:pPr>
              <w:spacing w:after="0"/>
              <w:rPr>
                <w:sz w:val="14"/>
                <w:szCs w:val="14"/>
                <w:color w:val="auto"/>
              </w:rPr>
            </w:pPr>
          </w:p>
        </w:tc>
        <w:tc>
          <w:tcPr>
            <w:tcW w:w="186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440" w:type="dxa"/>
            <w:vAlign w:val="bottom"/>
          </w:tcPr>
          <w:p>
            <w:pPr>
              <w:spacing w:after="0"/>
              <w:rPr>
                <w:sz w:val="11"/>
                <w:szCs w:val="11"/>
                <w:color w:val="auto"/>
              </w:rPr>
            </w:pPr>
          </w:p>
        </w:tc>
        <w:tc>
          <w:tcPr>
            <w:tcW w:w="2020" w:type="dxa"/>
            <w:vAlign w:val="bottom"/>
          </w:tcPr>
          <w:p>
            <w:pPr>
              <w:spacing w:after="0"/>
              <w:rPr>
                <w:sz w:val="11"/>
                <w:szCs w:val="11"/>
                <w:color w:val="auto"/>
              </w:rPr>
            </w:pPr>
          </w:p>
        </w:tc>
        <w:tc>
          <w:tcPr>
            <w:tcW w:w="900" w:type="dxa"/>
            <w:vAlign w:val="bottom"/>
            <w:tcBorders>
              <w:top w:val="single" w:sz="8" w:color="auto"/>
            </w:tcBorders>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rPr>
              <w:t>July 30,</w:t>
            </w:r>
          </w:p>
        </w:tc>
        <w:tc>
          <w:tcPr>
            <w:tcW w:w="1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42"/>
              <w:spacing w:after="0" w:line="129" w:lineRule="exact"/>
              <w:rPr>
                <w:sz w:val="20"/>
                <w:szCs w:val="20"/>
                <w:color w:val="auto"/>
              </w:rPr>
            </w:pPr>
            <w:r>
              <w:rPr>
                <w:rFonts w:ascii="Arial" w:cs="Arial" w:eastAsia="Arial" w:hAnsi="Arial"/>
                <w:sz w:val="14"/>
                <w:szCs w:val="14"/>
                <w:b w:val="1"/>
                <w:bCs w:val="1"/>
                <w:color w:val="auto"/>
              </w:rPr>
              <w:t>July 31,</w:t>
            </w: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00" w:type="dxa"/>
            <w:vAlign w:val="bottom"/>
            <w:tcBorders>
              <w:top w:val="single" w:sz="8" w:color="auto"/>
            </w:tcBorders>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rPr>
              <w:t>July 30,</w:t>
            </w:r>
          </w:p>
        </w:tc>
        <w:tc>
          <w:tcPr>
            <w:tcW w:w="1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42"/>
              <w:spacing w:after="0" w:line="129"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2700" w:type="dxa"/>
            <w:vAlign w:val="bottom"/>
            <w:gridSpan w:val="2"/>
          </w:tcPr>
          <w:p>
            <w:pPr>
              <w:jc w:val="right"/>
              <w:ind w:right="142"/>
              <w:spacing w:after="0"/>
              <w:rPr>
                <w:sz w:val="20"/>
                <w:szCs w:val="20"/>
                <w:color w:val="auto"/>
              </w:rPr>
            </w:pPr>
            <w:r>
              <w:rPr>
                <w:rFonts w:ascii="Arial" w:cs="Arial" w:eastAsia="Arial" w:hAnsi="Arial"/>
                <w:sz w:val="14"/>
                <w:szCs w:val="14"/>
                <w:b w:val="1"/>
                <w:bCs w:val="1"/>
                <w:color w:val="auto"/>
              </w:rPr>
              <w:t>2011</w:t>
            </w:r>
          </w:p>
        </w:tc>
        <w:tc>
          <w:tcPr>
            <w:tcW w:w="220" w:type="dxa"/>
            <w:vAlign w:val="bottom"/>
          </w:tcPr>
          <w:p>
            <w:pPr>
              <w:spacing w:after="0"/>
              <w:rPr>
                <w:sz w:val="14"/>
                <w:szCs w:val="14"/>
                <w:color w:val="auto"/>
              </w:rPr>
            </w:pPr>
          </w:p>
        </w:tc>
        <w:tc>
          <w:tcPr>
            <w:tcW w:w="860" w:type="dxa"/>
            <w:vAlign w:val="bottom"/>
            <w:gridSpan w:val="2"/>
          </w:tcPr>
          <w:p>
            <w:pPr>
              <w:jc w:val="right"/>
              <w:ind w:right="142"/>
              <w:spacing w:after="0"/>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14"/>
                <w:szCs w:val="14"/>
                <w:color w:val="auto"/>
              </w:rPr>
            </w:pPr>
          </w:p>
        </w:tc>
        <w:tc>
          <w:tcPr>
            <w:tcW w:w="860" w:type="dxa"/>
            <w:vAlign w:val="bottom"/>
            <w:gridSpan w:val="2"/>
          </w:tcPr>
          <w:p>
            <w:pPr>
              <w:jc w:val="right"/>
              <w:ind w:right="146"/>
              <w:spacing w:after="0"/>
              <w:rPr>
                <w:sz w:val="20"/>
                <w:szCs w:val="20"/>
                <w:color w:val="auto"/>
              </w:rPr>
            </w:pPr>
            <w:r>
              <w:rPr>
                <w:rFonts w:ascii="Arial" w:cs="Arial" w:eastAsia="Arial" w:hAnsi="Arial"/>
                <w:sz w:val="14"/>
                <w:szCs w:val="14"/>
                <w:b w:val="1"/>
                <w:bCs w:val="1"/>
                <w:color w:val="auto"/>
              </w:rPr>
              <w:t>2011</w:t>
            </w:r>
          </w:p>
        </w:tc>
        <w:tc>
          <w:tcPr>
            <w:tcW w:w="220" w:type="dxa"/>
            <w:vAlign w:val="bottom"/>
          </w:tcPr>
          <w:p>
            <w:pPr>
              <w:spacing w:after="0"/>
              <w:rPr>
                <w:sz w:val="14"/>
                <w:szCs w:val="14"/>
                <w:color w:val="auto"/>
              </w:rPr>
            </w:pPr>
          </w:p>
        </w:tc>
        <w:tc>
          <w:tcPr>
            <w:tcW w:w="860" w:type="dxa"/>
            <w:vAlign w:val="bottom"/>
            <w:gridSpan w:val="2"/>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20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$192,392</w:t>
            </w: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$219,777</w:t>
            </w: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$339,253</w:t>
            </w:r>
          </w:p>
        </w:tc>
        <w:tc>
          <w:tcPr>
            <w:tcW w:w="2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$425,544</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20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unrealized gain on marketable securities</w:t>
            </w:r>
          </w:p>
        </w:tc>
        <w:tc>
          <w:tcPr>
            <w:tcW w:w="2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392</w:t>
            </w:r>
          </w:p>
        </w:tc>
        <w:tc>
          <w:tcPr>
            <w:tcW w:w="22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1,733</w:t>
            </w:r>
          </w:p>
        </w:tc>
        <w:tc>
          <w:tcPr>
            <w:tcW w:w="10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1,996</w:t>
            </w: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1,856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Net unrealized gain on auction rate securities</w:t>
            </w:r>
          </w:p>
        </w:tc>
        <w:tc>
          <w:tcPr>
            <w:tcW w:w="2700" w:type="dxa"/>
            <w:vAlign w:val="bottom"/>
            <w:gridSpan w:val="2"/>
          </w:tcPr>
          <w:p>
            <w:pPr>
              <w:jc w:val="right"/>
              <w:spacing w:after="0"/>
              <w:rPr>
                <w:sz w:val="20"/>
                <w:szCs w:val="20"/>
                <w:color w:val="auto"/>
              </w:rPr>
            </w:pPr>
            <w:r>
              <w:rPr>
                <w:rFonts w:ascii="Arial" w:cs="Arial" w:eastAsia="Arial" w:hAnsi="Arial"/>
                <w:sz w:val="18"/>
                <w:szCs w:val="18"/>
                <w:color w:val="auto"/>
              </w:rPr>
              <w:t>100</w:t>
            </w:r>
          </w:p>
        </w:tc>
        <w:tc>
          <w:tcPr>
            <w:tcW w:w="220" w:type="dxa"/>
            <w:vAlign w:val="bottom"/>
          </w:tcPr>
          <w:p>
            <w:pPr>
              <w:spacing w:after="0"/>
              <w:rPr>
                <w:sz w:val="18"/>
                <w:szCs w:val="18"/>
                <w:color w:val="auto"/>
              </w:rPr>
            </w:pPr>
          </w:p>
        </w:tc>
        <w:tc>
          <w:tcPr>
            <w:tcW w:w="1080" w:type="dxa"/>
            <w:vAlign w:val="bottom"/>
            <w:gridSpan w:val="3"/>
          </w:tcPr>
          <w:p>
            <w:pPr>
              <w:jc w:val="right"/>
              <w:ind w:right="220"/>
              <w:spacing w:after="0"/>
              <w:rPr>
                <w:sz w:val="20"/>
                <w:szCs w:val="20"/>
                <w:color w:val="auto"/>
              </w:rPr>
            </w:pPr>
            <w:r>
              <w:rPr>
                <w:rFonts w:ascii="Arial" w:cs="Arial" w:eastAsia="Arial" w:hAnsi="Arial"/>
                <w:sz w:val="18"/>
                <w:szCs w:val="18"/>
                <w:color w:val="auto"/>
              </w:rPr>
              <w:t>49</w:t>
            </w:r>
          </w:p>
        </w:tc>
        <w:tc>
          <w:tcPr>
            <w:tcW w:w="1080" w:type="dxa"/>
            <w:vAlign w:val="bottom"/>
            <w:gridSpan w:val="3"/>
          </w:tcPr>
          <w:p>
            <w:pPr>
              <w:jc w:val="right"/>
              <w:ind w:right="220"/>
              <w:spacing w:after="0"/>
              <w:rPr>
                <w:sz w:val="20"/>
                <w:szCs w:val="20"/>
                <w:color w:val="auto"/>
              </w:rPr>
            </w:pPr>
            <w:r>
              <w:rPr>
                <w:rFonts w:ascii="Arial" w:cs="Arial" w:eastAsia="Arial" w:hAnsi="Arial"/>
                <w:sz w:val="18"/>
                <w:szCs w:val="18"/>
                <w:color w:val="auto"/>
              </w:rPr>
              <w:t>44</w:t>
            </w: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unrealized gain (loss) on cash flow hedges</w:t>
            </w:r>
          </w:p>
        </w:tc>
        <w:tc>
          <w:tcPr>
            <w:tcW w:w="292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(1,205)</w:t>
            </w:r>
          </w:p>
        </w:tc>
        <w:tc>
          <w:tcPr>
            <w:tcW w:w="10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(690)</w:t>
            </w:r>
          </w:p>
        </w:tc>
        <w:tc>
          <w:tcPr>
            <w:tcW w:w="10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2,735</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Change in other</w:t>
            </w:r>
          </w:p>
        </w:tc>
        <w:tc>
          <w:tcPr>
            <w:tcW w:w="2020" w:type="dxa"/>
            <w:vAlign w:val="bottom"/>
          </w:tcPr>
          <w:p>
            <w:pPr>
              <w:spacing w:after="0"/>
              <w:rPr>
                <w:sz w:val="18"/>
                <w:szCs w:val="18"/>
                <w:color w:val="auto"/>
              </w:rPr>
            </w:pPr>
          </w:p>
        </w:tc>
        <w:tc>
          <w:tcPr>
            <w:tcW w:w="900" w:type="dxa"/>
            <w:vAlign w:val="bottom"/>
            <w:gridSpan w:val="2"/>
          </w:tcPr>
          <w:p>
            <w:pPr>
              <w:jc w:val="right"/>
              <w:ind w:right="160"/>
              <w:spacing w:after="0"/>
              <w:rPr>
                <w:sz w:val="20"/>
                <w:szCs w:val="20"/>
                <w:color w:val="auto"/>
              </w:rPr>
            </w:pPr>
            <w:r>
              <w:rPr>
                <w:rFonts w:ascii="Arial" w:cs="Arial" w:eastAsia="Arial" w:hAnsi="Arial"/>
                <w:sz w:val="18"/>
                <w:szCs w:val="18"/>
                <w:color w:val="auto"/>
              </w:rPr>
              <w:t>(115)</w:t>
            </w:r>
          </w:p>
        </w:tc>
        <w:tc>
          <w:tcPr>
            <w:tcW w:w="1080" w:type="dxa"/>
            <w:vAlign w:val="bottom"/>
            <w:gridSpan w:val="3"/>
          </w:tcPr>
          <w:p>
            <w:pPr>
              <w:jc w:val="right"/>
              <w:ind w:right="160"/>
              <w:spacing w:after="0"/>
              <w:rPr>
                <w:sz w:val="20"/>
                <w:szCs w:val="20"/>
                <w:color w:val="auto"/>
              </w:rPr>
            </w:pPr>
            <w:r>
              <w:rPr>
                <w:rFonts w:ascii="Arial" w:cs="Arial" w:eastAsia="Arial" w:hAnsi="Arial"/>
                <w:sz w:val="18"/>
                <w:szCs w:val="18"/>
                <w:color w:val="auto"/>
              </w:rPr>
              <w:t>(1)</w:t>
            </w:r>
          </w:p>
        </w:tc>
        <w:tc>
          <w:tcPr>
            <w:tcW w:w="1080" w:type="dxa"/>
            <w:vAlign w:val="bottom"/>
            <w:gridSpan w:val="3"/>
          </w:tcPr>
          <w:p>
            <w:pPr>
              <w:jc w:val="right"/>
              <w:ind w:right="160"/>
              <w:spacing w:after="0"/>
              <w:rPr>
                <w:sz w:val="20"/>
                <w:szCs w:val="20"/>
                <w:color w:val="auto"/>
              </w:rPr>
            </w:pPr>
            <w:r>
              <w:rPr>
                <w:rFonts w:ascii="Arial" w:cs="Arial" w:eastAsia="Arial" w:hAnsi="Arial"/>
                <w:sz w:val="18"/>
                <w:szCs w:val="18"/>
                <w:color w:val="auto"/>
              </w:rPr>
              <w:t>(115)</w:t>
            </w: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40" w:type="dxa"/>
            <w:vAlign w:val="bottom"/>
          </w:tcPr>
          <w:p>
            <w:pPr>
              <w:spacing w:after="0"/>
              <w:rPr>
                <w:sz w:val="2"/>
                <w:szCs w:val="2"/>
                <w:color w:val="auto"/>
              </w:rPr>
            </w:pPr>
          </w:p>
        </w:tc>
        <w:tc>
          <w:tcPr>
            <w:tcW w:w="20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Total comprehensive income</w:t>
            </w:r>
          </w:p>
        </w:tc>
        <w:tc>
          <w:tcPr>
            <w:tcW w:w="27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191,564</w:t>
            </w:r>
          </w:p>
        </w:tc>
        <w:tc>
          <w:tcPr>
            <w:tcW w:w="22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220,868</w:t>
            </w:r>
          </w:p>
        </w:tc>
        <w:tc>
          <w:tcPr>
            <w:tcW w:w="10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343,913</w:t>
            </w: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426,960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40" w:type="dxa"/>
            <w:vAlign w:val="bottom"/>
          </w:tcPr>
          <w:p>
            <w:pPr>
              <w:spacing w:after="0" w:line="20" w:lineRule="exact"/>
              <w:rPr>
                <w:sz w:val="1"/>
                <w:szCs w:val="1"/>
                <w:color w:val="auto"/>
              </w:rPr>
            </w:pPr>
          </w:p>
        </w:tc>
        <w:tc>
          <w:tcPr>
            <w:tcW w:w="2020" w:type="dxa"/>
            <w:vAlign w:val="bottom"/>
            <w:vMerge w:val="restart"/>
          </w:tcPr>
          <w:p>
            <w:pPr>
              <w:jc w:val="right"/>
              <w:ind w:right="1096"/>
              <w:spacing w:after="0"/>
              <w:rPr>
                <w:sz w:val="20"/>
                <w:szCs w:val="20"/>
                <w:color w:val="auto"/>
              </w:rPr>
            </w:pPr>
            <w:r>
              <w:rPr>
                <w:rFonts w:ascii="Arial" w:cs="Arial" w:eastAsia="Arial" w:hAnsi="Arial"/>
                <w:sz w:val="18"/>
                <w:szCs w:val="18"/>
                <w:color w:val="auto"/>
              </w:rPr>
              <w:t>9</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440" w:type="dxa"/>
            <w:vAlign w:val="bottom"/>
          </w:tcPr>
          <w:p>
            <w:pPr>
              <w:spacing w:after="0"/>
              <w:rPr>
                <w:sz w:val="24"/>
                <w:szCs w:val="24"/>
                <w:color w:val="auto"/>
              </w:rPr>
            </w:pPr>
          </w:p>
        </w:tc>
        <w:tc>
          <w:tcPr>
            <w:tcW w:w="202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components of accumulated other comprehensive income were as follows (in thousands):</w:t>
      </w:r>
    </w:p>
    <w:p>
      <w:pPr>
        <w:spacing w:after="0" w:line="195"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9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93"/>
              </w:rPr>
              <w:t>July 30,</w:t>
            </w:r>
          </w:p>
        </w:tc>
        <w:tc>
          <w:tcPr>
            <w:tcW w:w="1100" w:type="dxa"/>
            <w:vAlign w:val="bottom"/>
            <w:gridSpan w:val="4"/>
          </w:tcPr>
          <w:p>
            <w:pPr>
              <w:jc w:val="right"/>
              <w:ind w:right="120"/>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2400" w:type="dxa"/>
            <w:vAlign w:val="bottom"/>
            <w:gridSpan w:val="2"/>
          </w:tcPr>
          <w:p>
            <w:pPr>
              <w:jc w:val="right"/>
              <w:ind w:right="79"/>
              <w:spacing w:after="0"/>
              <w:rPr>
                <w:sz w:val="20"/>
                <w:szCs w:val="20"/>
                <w:color w:val="auto"/>
              </w:rPr>
            </w:pPr>
            <w:r>
              <w:rPr>
                <w:rFonts w:ascii="Arial" w:cs="Arial" w:eastAsia="Arial" w:hAnsi="Arial"/>
                <w:sz w:val="14"/>
                <w:szCs w:val="14"/>
                <w:b w:val="1"/>
                <w:bCs w:val="1"/>
                <w:color w:val="auto"/>
              </w:rPr>
              <w:t>2011</w:t>
            </w:r>
          </w:p>
        </w:tc>
        <w:tc>
          <w:tcPr>
            <w:tcW w:w="3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36"/>
              <w:spacing w:after="0"/>
              <w:rPr>
                <w:sz w:val="20"/>
                <w:szCs w:val="20"/>
                <w:color w:val="auto"/>
              </w:rPr>
            </w:pPr>
            <w:r>
              <w:rPr>
                <w:rFonts w:ascii="Arial" w:cs="Arial" w:eastAsia="Arial" w:hAnsi="Arial"/>
                <w:sz w:val="14"/>
                <w:szCs w:val="14"/>
                <w:b w:val="1"/>
                <w:bCs w:val="1"/>
                <w:color w:val="auto"/>
                <w:w w:val="96"/>
              </w:rPr>
              <w:t>2011</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Unrealized gain on marketable securities</w:t>
            </w:r>
          </w:p>
        </w:tc>
        <w:tc>
          <w:tcPr>
            <w:tcW w:w="184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$ 5,500</w:t>
            </w:r>
          </w:p>
        </w:tc>
        <w:tc>
          <w:tcPr>
            <w:tcW w:w="34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3,504</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Unrealized loss on auction rate securities</w:t>
            </w:r>
          </w:p>
        </w:tc>
        <w:tc>
          <w:tcPr>
            <w:tcW w:w="2740" w:type="dxa"/>
            <w:vAlign w:val="bottom"/>
            <w:gridSpan w:val="3"/>
          </w:tcPr>
          <w:p>
            <w:pPr>
              <w:jc w:val="right"/>
              <w:ind w:right="300"/>
              <w:spacing w:after="0"/>
              <w:rPr>
                <w:sz w:val="20"/>
                <w:szCs w:val="20"/>
                <w:color w:val="auto"/>
              </w:rPr>
            </w:pPr>
            <w:r>
              <w:rPr>
                <w:rFonts w:ascii="Arial" w:cs="Arial" w:eastAsia="Arial" w:hAnsi="Arial"/>
                <w:sz w:val="18"/>
                <w:szCs w:val="18"/>
                <w:color w:val="auto"/>
              </w:rPr>
              <w:t>(1,580)</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(1,624)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(loss) on cash flow hedges</w:t>
            </w:r>
          </w:p>
        </w:tc>
        <w:tc>
          <w:tcPr>
            <w:tcW w:w="2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1,942</w:t>
            </w:r>
          </w:p>
        </w:tc>
        <w:tc>
          <w:tcPr>
            <w:tcW w:w="3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Other</w:t>
            </w:r>
          </w:p>
        </w:tc>
        <w:tc>
          <w:tcPr>
            <w:tcW w:w="184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(110)</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820" w:type="dxa"/>
            <w:vAlign w:val="bottom"/>
          </w:tcPr>
          <w:p>
            <w:pPr>
              <w:spacing w:after="0"/>
              <w:rPr>
                <w:sz w:val="2"/>
                <w:szCs w:val="2"/>
                <w:color w:val="auto"/>
              </w:rPr>
            </w:pPr>
          </w:p>
        </w:tc>
        <w:tc>
          <w:tcPr>
            <w:tcW w:w="184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Accumulated other comprehensive income</w:t>
            </w:r>
          </w:p>
        </w:tc>
        <w:tc>
          <w:tcPr>
            <w:tcW w:w="2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$ 5,752</w:t>
            </w:r>
          </w:p>
        </w:tc>
        <w:tc>
          <w:tcPr>
            <w:tcW w:w="34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2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 term impact of currency fluctuations. The Company’s policy is to enter into foreign currency forward contracts with maturities generally less than 12 months that mitigate the impact of rate fluctuations on certain local currency denominated operating expenses. All derivatives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July 30, 2011 and January 29, 2011, the notional amounts of outstanding forward contracts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08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00" w:type="dxa"/>
            <w:vAlign w:val="bottom"/>
            <w:tcBorders>
              <w:bottom w:val="single" w:sz="8" w:color="auto"/>
            </w:tcBorders>
            <w:gridSpan w:val="4"/>
          </w:tcPr>
          <w:p>
            <w:pPr>
              <w:ind w:left="580"/>
              <w:spacing w:after="0"/>
              <w:rPr>
                <w:sz w:val="20"/>
                <w:szCs w:val="20"/>
                <w:color w:val="auto"/>
              </w:rPr>
            </w:pPr>
            <w:r>
              <w:rPr>
                <w:rFonts w:ascii="Arial" w:cs="Arial" w:eastAsia="Arial" w:hAnsi="Arial"/>
                <w:sz w:val="14"/>
                <w:szCs w:val="14"/>
                <w:b w:val="1"/>
                <w:bCs w:val="1"/>
                <w:color w:val="auto"/>
              </w:rPr>
              <w:t>July 30, 2011</w:t>
            </w:r>
          </w:p>
        </w:tc>
        <w:tc>
          <w:tcPr>
            <w:tcW w:w="500" w:type="dxa"/>
            <w:vAlign w:val="bottom"/>
            <w:tcBorders>
              <w:bottom w:val="single" w:sz="8" w:color="auto"/>
            </w:tcBorders>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560" w:type="dxa"/>
            <w:vAlign w:val="bottom"/>
            <w:tcBorders>
              <w:bottom w:val="single" w:sz="8" w:color="auto"/>
            </w:tcBorders>
            <w:gridSpan w:val="4"/>
          </w:tcPr>
          <w:p>
            <w:pPr>
              <w:ind w:left="440"/>
              <w:spacing w:after="0"/>
              <w:rPr>
                <w:sz w:val="20"/>
                <w:szCs w:val="20"/>
                <w:color w:val="auto"/>
              </w:rPr>
            </w:pPr>
            <w:r>
              <w:rPr>
                <w:rFonts w:ascii="Arial" w:cs="Arial" w:eastAsia="Arial" w:hAnsi="Arial"/>
                <w:sz w:val="14"/>
                <w:szCs w:val="14"/>
                <w:b w:val="1"/>
                <w:bCs w:val="1"/>
                <w:color w:val="auto"/>
                <w:w w:val="98"/>
              </w:rPr>
              <w:t>January 29, 2011</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5080" w:type="dxa"/>
            <w:vAlign w:val="bottom"/>
          </w:tcPr>
          <w:p>
            <w:pPr>
              <w:spacing w:after="0"/>
              <w:rPr>
                <w:sz w:val="12"/>
                <w:szCs w:val="12"/>
                <w:color w:val="auto"/>
              </w:rPr>
            </w:pPr>
          </w:p>
        </w:tc>
        <w:tc>
          <w:tcPr>
            <w:tcW w:w="118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rPr>
              <w:t>Buy Contracts</w:t>
            </w:r>
          </w:p>
        </w:tc>
        <w:tc>
          <w:tcPr>
            <w:tcW w:w="320" w:type="dxa"/>
            <w:vAlign w:val="bottom"/>
          </w:tcPr>
          <w:p>
            <w:pPr>
              <w:spacing w:after="0"/>
              <w:rPr>
                <w:sz w:val="12"/>
                <w:szCs w:val="12"/>
                <w:color w:val="auto"/>
              </w:rPr>
            </w:pPr>
          </w:p>
        </w:tc>
        <w:tc>
          <w:tcPr>
            <w:tcW w:w="82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660" w:type="dxa"/>
            <w:vAlign w:val="bottom"/>
          </w:tcPr>
          <w:p>
            <w:pPr>
              <w:spacing w:after="0"/>
              <w:rPr>
                <w:sz w:val="12"/>
                <w:szCs w:val="12"/>
                <w:color w:val="auto"/>
              </w:rPr>
            </w:pPr>
          </w:p>
        </w:tc>
        <w:tc>
          <w:tcPr>
            <w:tcW w:w="1180" w:type="dxa"/>
            <w:vAlign w:val="bottom"/>
            <w:gridSpan w:val="3"/>
          </w:tcPr>
          <w:p>
            <w:pPr>
              <w:ind w:left="20"/>
              <w:spacing w:after="0" w:line="142" w:lineRule="exact"/>
              <w:rPr>
                <w:sz w:val="20"/>
                <w:szCs w:val="20"/>
                <w:color w:val="auto"/>
              </w:rPr>
            </w:pPr>
            <w:r>
              <w:rPr>
                <w:rFonts w:ascii="Arial" w:cs="Arial" w:eastAsia="Arial" w:hAnsi="Arial"/>
                <w:sz w:val="14"/>
                <w:szCs w:val="14"/>
                <w:b w:val="1"/>
                <w:bCs w:val="1"/>
                <w:color w:val="auto"/>
              </w:rPr>
              <w:t>Buy Contracts</w:t>
            </w:r>
          </w:p>
        </w:tc>
        <w:tc>
          <w:tcPr>
            <w:tcW w:w="340" w:type="dxa"/>
            <w:vAlign w:val="bottom"/>
          </w:tcPr>
          <w:p>
            <w:pPr>
              <w:spacing w:after="0"/>
              <w:rPr>
                <w:sz w:val="12"/>
                <w:szCs w:val="12"/>
                <w:color w:val="auto"/>
              </w:rPr>
            </w:pPr>
          </w:p>
        </w:tc>
        <w:tc>
          <w:tcPr>
            <w:tcW w:w="82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100" w:type="dxa"/>
            <w:vAlign w:val="bottom"/>
          </w:tcPr>
          <w:p>
            <w:pPr>
              <w:spacing w:after="0"/>
              <w:rPr>
                <w:sz w:val="12"/>
                <w:szCs w:val="12"/>
                <w:color w:val="auto"/>
              </w:rPr>
            </w:pPr>
          </w:p>
        </w:tc>
      </w:tr>
      <w:tr>
        <w:trPr>
          <w:trHeight w:val="210"/>
        </w:trPr>
        <w:tc>
          <w:tcPr>
            <w:tcW w:w="50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46,896</w:t>
            </w:r>
          </w:p>
        </w:tc>
        <w:tc>
          <w:tcPr>
            <w:tcW w:w="34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tcBorders>
            <w:shd w:val="clear" w:color="auto" w:fill="CCEEFF"/>
          </w:tcPr>
          <w:p>
            <w:pPr>
              <w:ind w:left="120"/>
              <w:spacing w:after="0"/>
              <w:rPr>
                <w:sz w:val="20"/>
                <w:szCs w:val="20"/>
                <w:color w:val="auto"/>
              </w:rPr>
            </w:pPr>
            <w:r>
              <w:rPr>
                <w:rFonts w:ascii="Arial" w:cs="Arial" w:eastAsia="Arial" w:hAnsi="Arial"/>
                <w:sz w:val="18"/>
                <w:szCs w:val="18"/>
                <w:color w:val="auto"/>
                <w:w w:val="83"/>
              </w:rPr>
              <w:t>56,360</w:t>
            </w:r>
          </w:p>
        </w:tc>
        <w:tc>
          <w:tcPr>
            <w:tcW w:w="34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tcBorders>
            <w:shd w:val="clear" w:color="auto" w:fill="CCEEFF"/>
          </w:tcPr>
          <w:p>
            <w:pPr>
              <w:spacing w:after="0"/>
              <w:rPr>
                <w:sz w:val="18"/>
                <w:szCs w:val="18"/>
                <w:color w:val="auto"/>
              </w:rPr>
            </w:pPr>
          </w:p>
        </w:tc>
      </w:tr>
      <w:tr>
        <w:trPr>
          <w:trHeight w:val="223"/>
        </w:trPr>
        <w:tc>
          <w:tcPr>
            <w:tcW w:w="5080" w:type="dxa"/>
            <w:vAlign w:val="bottom"/>
          </w:tcPr>
          <w:p>
            <w:pPr>
              <w:spacing w:after="0"/>
              <w:rPr>
                <w:sz w:val="20"/>
                <w:szCs w:val="20"/>
                <w:color w:val="auto"/>
              </w:rPr>
            </w:pPr>
            <w:r>
              <w:rPr>
                <w:rFonts w:ascii="Arial" w:cs="Arial" w:eastAsia="Arial" w:hAnsi="Arial"/>
                <w:sz w:val="18"/>
                <w:szCs w:val="18"/>
                <w:color w:val="auto"/>
              </w:rPr>
              <w:t>Euro</w:t>
            </w:r>
          </w:p>
        </w:tc>
        <w:tc>
          <w:tcPr>
            <w:tcW w:w="2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ind w:left="34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3,698</w:t>
            </w:r>
          </w:p>
        </w:tc>
        <w:tc>
          <w:tcPr>
            <w:tcW w:w="100" w:type="dxa"/>
            <w:vAlign w:val="bottom"/>
          </w:tcPr>
          <w:p>
            <w:pPr>
              <w:spacing w:after="0"/>
              <w:rPr>
                <w:sz w:val="19"/>
                <w:szCs w:val="19"/>
                <w:color w:val="auto"/>
              </w:rPr>
            </w:pPr>
          </w:p>
        </w:tc>
      </w:tr>
      <w:tr>
        <w:trPr>
          <w:trHeight w:val="216"/>
        </w:trPr>
        <w:tc>
          <w:tcPr>
            <w:tcW w:w="50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46,896</w:t>
            </w:r>
          </w:p>
        </w:tc>
        <w:tc>
          <w:tcPr>
            <w:tcW w:w="6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56,360</w:t>
            </w:r>
          </w:p>
        </w:tc>
        <w:tc>
          <w:tcPr>
            <w:tcW w:w="62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3,698</w:t>
            </w:r>
          </w:p>
        </w:tc>
        <w:tc>
          <w:tcPr>
            <w:tcW w:w="100" w:type="dxa"/>
            <w:vAlign w:val="bottom"/>
            <w:shd w:val="clear" w:color="auto" w:fill="CCEEFF"/>
          </w:tcPr>
          <w:p>
            <w:pPr>
              <w:spacing w:after="0"/>
              <w:rPr>
                <w:sz w:val="18"/>
                <w:szCs w:val="18"/>
                <w:color w:val="auto"/>
              </w:rPr>
            </w:pPr>
          </w:p>
        </w:tc>
      </w:tr>
      <w:tr>
        <w:trPr>
          <w:trHeight w:val="20"/>
        </w:trPr>
        <w:tc>
          <w:tcPr>
            <w:tcW w:w="508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exchange contract derivatives was not significant as of any period presented.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1 - Observable inputs that reflect quoted prices (unadjusted) for identical assets or liabilities in active markets.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fair value hierarchy also requires an entity to maximize the use of observable inputs and minimize the use of unobservable inputs when measuring fair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measures its cash equivalents and marketable securities at fair value. The Company’s cash equivalents and marketable securities are primarily classified within Level 1 with the exception of its investments in auction rate securities, which are classified within Level 3. Cash equivalents and marketable securities are valued primarily using quoted market prices utilizing market observable inputs. The Company’s investments in corporate debt securities are classified within Level 2 as the market inputs to value these instruments consist of</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60"/>
          </w:cols>
          <w:pgMar w:left="240" w:top="459" w:right="29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market yields, reported trades and broker/dealer quotes. In addition, foreign currency contracts are classified within Level 2 as the valuation inputs are based on quoted prices and market observable data of similar instruments.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Some of the inputs to the cash flow model are unobservable in the market. The total amount of assets measured using Level 3 valuation methodologies represented 0.4% of total assets as of July 30, 2011.</w:t>
      </w:r>
    </w:p>
    <w:p>
      <w:pPr>
        <w:spacing w:after="0" w:line="116" w:lineRule="exact"/>
        <w:rPr>
          <w:sz w:val="20"/>
          <w:szCs w:val="20"/>
          <w:color w:val="auto"/>
        </w:rPr>
      </w:pPr>
    </w:p>
    <w:p>
      <w:pPr>
        <w:ind w:right="340"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July 30, 2011 and January 29, 2011. The tables do not include assets and liabilities that are measured at historical cost or any basis other than fair value (in thousands):</w:t>
      </w:r>
    </w:p>
    <w:p>
      <w:pPr>
        <w:spacing w:after="0" w:line="10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720" w:type="dxa"/>
            <w:vAlign w:val="bottom"/>
            <w:gridSpan w:val="4"/>
          </w:tcPr>
          <w:p>
            <w:pPr>
              <w:jc w:val="center"/>
              <w:ind w:left="299"/>
              <w:spacing w:after="0"/>
              <w:rPr>
                <w:sz w:val="20"/>
                <w:szCs w:val="20"/>
                <w:color w:val="auto"/>
              </w:rPr>
            </w:pPr>
            <w:r>
              <w:rPr>
                <w:rFonts w:ascii="Arial" w:cs="Arial" w:eastAsia="Arial" w:hAnsi="Arial"/>
                <w:sz w:val="14"/>
                <w:szCs w:val="14"/>
                <w:b w:val="1"/>
                <w:bCs w:val="1"/>
                <w:color w:val="auto"/>
                <w:w w:val="89"/>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rPr>
              <w:t>Level 1</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4"/>
              <w:spacing w:after="0"/>
              <w:rPr>
                <w:sz w:val="20"/>
                <w:szCs w:val="20"/>
                <w:color w:val="auto"/>
              </w:rPr>
            </w:pPr>
            <w:r>
              <w:rPr>
                <w:rFonts w:ascii="Arial" w:cs="Arial" w:eastAsia="Arial" w:hAnsi="Arial"/>
                <w:sz w:val="14"/>
                <w:szCs w:val="14"/>
                <w:b w:val="1"/>
                <w:bCs w:val="1"/>
                <w:color w:val="auto"/>
                <w:w w:val="88"/>
              </w:rPr>
              <w:t>Level 2</w:t>
            </w:r>
          </w:p>
        </w:tc>
        <w:tc>
          <w:tcPr>
            <w:tcW w:w="46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at July 30, 2011</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4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0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Assets</w:t>
            </w: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42,848</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42,848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agency securities</w:t>
            </w:r>
          </w:p>
        </w:tc>
        <w:tc>
          <w:tcPr>
            <w:tcW w:w="1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19,998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34,396</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34,396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w:t>
            </w:r>
          </w:p>
        </w:tc>
        <w:tc>
          <w:tcPr>
            <w:tcW w:w="1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266,237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266,237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Short-term investments:</w:t>
            </w: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agency securities</w:t>
            </w:r>
          </w:p>
        </w:tc>
        <w:tc>
          <w:tcPr>
            <w:tcW w:w="1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676,129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676,129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860,693</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860,693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26,070</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26,070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1,883</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1,883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2,552</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1,855</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4,407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1,007,764</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898,827</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26,070</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1,932,661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1460" w:type="dxa"/>
            <w:vAlign w:val="bottom"/>
            <w:vMerge w:val="restart"/>
          </w:tcPr>
          <w:p>
            <w:pPr>
              <w:jc w:val="right"/>
              <w:ind w:right="352"/>
              <w:spacing w:after="0"/>
              <w:rPr>
                <w:sz w:val="20"/>
                <w:szCs w:val="20"/>
                <w:color w:val="auto"/>
              </w:rPr>
            </w:pPr>
            <w:r>
              <w:rPr>
                <w:rFonts w:ascii="Arial" w:cs="Arial" w:eastAsia="Arial" w:hAnsi="Arial"/>
                <w:sz w:val="18"/>
                <w:szCs w:val="18"/>
                <w:color w:val="auto"/>
              </w:rPr>
              <w:t>11</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14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9"/>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4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4"/>
              </w:rPr>
              <w:t>Value Measured at Fair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3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rPr>
              <w:t>Level 1</w:t>
            </w: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ind w:left="40"/>
              <w:spacing w:after="0"/>
              <w:rPr>
                <w:sz w:val="20"/>
                <w:szCs w:val="20"/>
                <w:color w:val="auto"/>
              </w:rPr>
            </w:pPr>
            <w:r>
              <w:rPr>
                <w:rFonts w:ascii="Arial" w:cs="Arial" w:eastAsia="Arial" w:hAnsi="Arial"/>
                <w:sz w:val="14"/>
                <w:szCs w:val="14"/>
                <w:b w:val="1"/>
                <w:bCs w:val="1"/>
                <w:color w:val="auto"/>
              </w:rPr>
              <w:t>Level 2</w:t>
            </w:r>
          </w:p>
        </w:tc>
        <w:tc>
          <w:tcPr>
            <w:tcW w:w="54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at January 29, 2011</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3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2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1,230,616</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tcPr>
          <w:p>
            <w:pPr>
              <w:ind w:left="540"/>
              <w:spacing w:after="0"/>
              <w:rPr>
                <w:sz w:val="20"/>
                <w:szCs w:val="20"/>
                <w:color w:val="auto"/>
              </w:rPr>
            </w:pPr>
            <w:r>
              <w:rPr>
                <w:rFonts w:ascii="Arial" w:cs="Arial" w:eastAsia="Arial" w:hAnsi="Arial"/>
                <w:sz w:val="18"/>
                <w:szCs w:val="18"/>
                <w:color w:val="auto"/>
                <w:w w:val="7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1,230,616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agency securities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106,487</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106,487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9,797</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9,797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159,938</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159,938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agency securities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431,683</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431,683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651,273</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651,273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26,226</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 and other 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w w:val="79"/>
              </w:rPr>
              <w:t>166</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166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2,425</w:t>
            </w:r>
          </w:p>
        </w:tc>
        <w:tc>
          <w:tcPr>
            <w:tcW w:w="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2,394</w:t>
            </w:r>
          </w:p>
        </w:tc>
        <w:tc>
          <w:tcPr>
            <w:tcW w:w="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1,931,149</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663,630</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26,226</w:t>
            </w:r>
          </w:p>
        </w:tc>
        <w:tc>
          <w:tcPr>
            <w:tcW w:w="64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2,621,005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36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536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1260" w:type="dxa"/>
            <w:vAlign w:val="bottom"/>
            <w:tcBorders>
              <w:bottom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34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20"/>
                <w:szCs w:val="20"/>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tcPr>
          <w:p>
            <w:pPr>
              <w:ind w:left="320"/>
              <w:spacing w:after="0"/>
              <w:rPr>
                <w:sz w:val="20"/>
                <w:szCs w:val="20"/>
                <w:color w:val="auto"/>
              </w:rPr>
            </w:pPr>
            <w:r>
              <w:rPr>
                <w:rFonts w:ascii="Arial" w:cs="Arial" w:eastAsia="Arial" w:hAnsi="Arial"/>
                <w:sz w:val="18"/>
                <w:szCs w:val="18"/>
                <w:color w:val="auto"/>
                <w:w w:val="79"/>
              </w:rPr>
              <w:t>804</w:t>
            </w:r>
          </w:p>
        </w:tc>
        <w:tc>
          <w:tcPr>
            <w:tcW w:w="540" w:type="dxa"/>
            <w:vAlign w:val="bottom"/>
          </w:tcPr>
          <w:p>
            <w:pPr>
              <w:spacing w:after="0"/>
              <w:rPr>
                <w:sz w:val="20"/>
                <w:szCs w:val="20"/>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1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804</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w w:val="79"/>
              </w:rPr>
              <w:t>804</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tables summarize the change in fair value for Level 3 items during the six months ended July 30, 2011 and July 31, 2010 (in thousands):</w:t>
      </w:r>
    </w:p>
    <w:p>
      <w:pPr>
        <w:spacing w:after="0" w:line="230"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7060" w:type="dxa"/>
            <w:vAlign w:val="bottom"/>
          </w:tcPr>
          <w:p>
            <w:pPr>
              <w:spacing w:after="0"/>
              <w:rPr>
                <w:sz w:val="14"/>
                <w:szCs w:val="14"/>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Level 3</w:t>
            </w:r>
          </w:p>
        </w:tc>
      </w:tr>
      <w:tr>
        <w:trPr>
          <w:trHeight w:val="196"/>
        </w:trPr>
        <w:tc>
          <w:tcPr>
            <w:tcW w:w="70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Changes in fair value during the six months ended July 30, 2011 (pre-tax):</w:t>
            </w:r>
          </w:p>
        </w:tc>
        <w:tc>
          <w:tcPr>
            <w:tcW w:w="58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7060" w:type="dxa"/>
            <w:vAlign w:val="bottom"/>
          </w:tcPr>
          <w:p>
            <w:pPr>
              <w:spacing w:after="0"/>
              <w:rPr>
                <w:sz w:val="20"/>
                <w:szCs w:val="20"/>
                <w:color w:val="auto"/>
              </w:rPr>
            </w:pPr>
            <w:r>
              <w:rPr>
                <w:rFonts w:ascii="Arial" w:cs="Arial" w:eastAsia="Arial" w:hAnsi="Arial"/>
                <w:sz w:val="18"/>
                <w:szCs w:val="18"/>
                <w:color w:val="auto"/>
              </w:rPr>
              <w:t>Beginning balance at January 30, 2011</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$26,226</w:t>
            </w:r>
          </w:p>
        </w:tc>
        <w:tc>
          <w:tcPr>
            <w:tcW w:w="120" w:type="dxa"/>
            <w:vAlign w:val="bottom"/>
          </w:tcPr>
          <w:p>
            <w:pPr>
              <w:spacing w:after="0"/>
              <w:rPr>
                <w:sz w:val="18"/>
                <w:szCs w:val="18"/>
                <w:color w:val="auto"/>
              </w:rPr>
            </w:pPr>
          </w:p>
        </w:tc>
      </w:tr>
      <w:tr>
        <w:trPr>
          <w:trHeight w:val="216"/>
        </w:trPr>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7060" w:type="dxa"/>
            <w:vAlign w:val="bottom"/>
          </w:tcPr>
          <w:p>
            <w:pPr>
              <w:spacing w:after="0"/>
              <w:rPr>
                <w:sz w:val="20"/>
                <w:szCs w:val="20"/>
                <w:color w:val="auto"/>
              </w:rPr>
            </w:pPr>
            <w:r>
              <w:rPr>
                <w:rFonts w:ascii="Arial" w:cs="Arial" w:eastAsia="Arial" w:hAnsi="Arial"/>
                <w:sz w:val="18"/>
                <w:szCs w:val="18"/>
                <w:color w:val="auto"/>
              </w:rPr>
              <w:t>Sales, redemption and settlement</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(200)</w:t>
            </w:r>
          </w:p>
        </w:tc>
      </w:tr>
      <w:tr>
        <w:trPr>
          <w:trHeight w:val="216"/>
        </w:trPr>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included in accumulated other comprehensive income</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w:t>
            </w:r>
          </w:p>
        </w:tc>
        <w:tc>
          <w:tcPr>
            <w:tcW w:w="120" w:type="dxa"/>
            <w:vAlign w:val="bottom"/>
            <w:shd w:val="clear" w:color="auto" w:fill="CCEEFF"/>
          </w:tcPr>
          <w:p>
            <w:pPr>
              <w:spacing w:after="0"/>
              <w:rPr>
                <w:sz w:val="18"/>
                <w:szCs w:val="18"/>
                <w:color w:val="auto"/>
              </w:rPr>
            </w:pPr>
          </w:p>
        </w:tc>
      </w:tr>
      <w:tr>
        <w:trPr>
          <w:trHeight w:val="222"/>
        </w:trPr>
        <w:tc>
          <w:tcPr>
            <w:tcW w:w="7060" w:type="dxa"/>
            <w:vAlign w:val="bottom"/>
          </w:tcPr>
          <w:p>
            <w:pPr>
              <w:spacing w:after="0"/>
              <w:rPr>
                <w:sz w:val="20"/>
                <w:szCs w:val="20"/>
                <w:color w:val="auto"/>
              </w:rPr>
            </w:pPr>
            <w:r>
              <w:rPr>
                <w:rFonts w:ascii="Arial" w:cs="Arial" w:eastAsia="Arial" w:hAnsi="Arial"/>
                <w:sz w:val="18"/>
                <w:szCs w:val="18"/>
                <w:color w:val="auto"/>
              </w:rPr>
              <w:t>Ending balance at July 30, 2011</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26,070</w:t>
            </w:r>
          </w:p>
        </w:tc>
        <w:tc>
          <w:tcPr>
            <w:tcW w:w="120" w:type="dxa"/>
            <w:vAlign w:val="bottom"/>
          </w:tcPr>
          <w:p>
            <w:pPr>
              <w:spacing w:after="0"/>
              <w:rPr>
                <w:sz w:val="19"/>
                <w:szCs w:val="19"/>
                <w:color w:val="auto"/>
              </w:rPr>
            </w:pPr>
          </w:p>
        </w:tc>
      </w:tr>
      <w:tr>
        <w:trPr>
          <w:trHeight w:val="20"/>
        </w:trPr>
        <w:tc>
          <w:tcPr>
            <w:tcW w:w="706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346"/>
        </w:trPr>
        <w:tc>
          <w:tcPr>
            <w:tcW w:w="7060" w:type="dxa"/>
            <w:vAlign w:val="bottom"/>
          </w:tcPr>
          <w:p>
            <w:pPr>
              <w:spacing w:after="0"/>
              <w:rPr>
                <w:sz w:val="24"/>
                <w:szCs w:val="24"/>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Level 3</w:t>
            </w:r>
          </w:p>
        </w:tc>
      </w:tr>
      <w:tr>
        <w:trPr>
          <w:trHeight w:val="196"/>
        </w:trPr>
        <w:tc>
          <w:tcPr>
            <w:tcW w:w="70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Changes in fair value during the six months ended July 31, 2010 (pre-tax):</w:t>
            </w:r>
          </w:p>
        </w:tc>
        <w:tc>
          <w:tcPr>
            <w:tcW w:w="58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7060" w:type="dxa"/>
            <w:vAlign w:val="bottom"/>
          </w:tcPr>
          <w:p>
            <w:pPr>
              <w:spacing w:after="0"/>
              <w:rPr>
                <w:sz w:val="20"/>
                <w:szCs w:val="20"/>
                <w:color w:val="auto"/>
              </w:rPr>
            </w:pPr>
            <w:r>
              <w:rPr>
                <w:rFonts w:ascii="Arial" w:cs="Arial" w:eastAsia="Arial" w:hAnsi="Arial"/>
                <w:sz w:val="18"/>
                <w:szCs w:val="18"/>
                <w:color w:val="auto"/>
              </w:rPr>
              <w:t>Beginning balance at January 31, 2010</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$39,281</w:t>
            </w:r>
          </w:p>
        </w:tc>
        <w:tc>
          <w:tcPr>
            <w:tcW w:w="120" w:type="dxa"/>
            <w:vAlign w:val="bottom"/>
          </w:tcPr>
          <w:p>
            <w:pPr>
              <w:spacing w:after="0"/>
              <w:rPr>
                <w:sz w:val="18"/>
                <w:szCs w:val="18"/>
                <w:color w:val="auto"/>
              </w:rPr>
            </w:pPr>
          </w:p>
        </w:tc>
      </w:tr>
      <w:tr>
        <w:trPr>
          <w:trHeight w:val="216"/>
        </w:trPr>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7060" w:type="dxa"/>
            <w:vAlign w:val="bottom"/>
          </w:tcPr>
          <w:p>
            <w:pPr>
              <w:spacing w:after="0"/>
              <w:rPr>
                <w:sz w:val="20"/>
                <w:szCs w:val="20"/>
                <w:color w:val="auto"/>
              </w:rPr>
            </w:pPr>
            <w:r>
              <w:rPr>
                <w:rFonts w:ascii="Arial" w:cs="Arial" w:eastAsia="Arial" w:hAnsi="Arial"/>
                <w:sz w:val="18"/>
                <w:szCs w:val="18"/>
                <w:color w:val="auto"/>
              </w:rPr>
              <w:t>Sales, redemption and settlement</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(5,150)</w:t>
            </w:r>
          </w:p>
        </w:tc>
      </w:tr>
      <w:tr>
        <w:trPr>
          <w:trHeight w:val="216"/>
        </w:trPr>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included in accumulated other comprehensive income</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w:t>
            </w:r>
          </w:p>
        </w:tc>
        <w:tc>
          <w:tcPr>
            <w:tcW w:w="120" w:type="dxa"/>
            <w:vAlign w:val="bottom"/>
            <w:shd w:val="clear" w:color="auto" w:fill="CCEEFF"/>
          </w:tcPr>
          <w:p>
            <w:pPr>
              <w:spacing w:after="0"/>
              <w:rPr>
                <w:sz w:val="18"/>
                <w:szCs w:val="18"/>
                <w:color w:val="auto"/>
              </w:rPr>
            </w:pPr>
          </w:p>
        </w:tc>
      </w:tr>
      <w:tr>
        <w:trPr>
          <w:trHeight w:val="222"/>
        </w:trPr>
        <w:tc>
          <w:tcPr>
            <w:tcW w:w="7060" w:type="dxa"/>
            <w:vAlign w:val="bottom"/>
          </w:tcPr>
          <w:p>
            <w:pPr>
              <w:spacing w:after="0"/>
              <w:rPr>
                <w:sz w:val="20"/>
                <w:szCs w:val="20"/>
                <w:color w:val="auto"/>
              </w:rPr>
            </w:pPr>
            <w:r>
              <w:rPr>
                <w:rFonts w:ascii="Arial" w:cs="Arial" w:eastAsia="Arial" w:hAnsi="Arial"/>
                <w:sz w:val="18"/>
                <w:szCs w:val="18"/>
                <w:color w:val="auto"/>
              </w:rPr>
              <w:t>Ending balance at July 31, 2010</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34,184</w:t>
            </w:r>
          </w:p>
        </w:tc>
        <w:tc>
          <w:tcPr>
            <w:tcW w:w="120" w:type="dxa"/>
            <w:vAlign w:val="bottom"/>
          </w:tcPr>
          <w:p>
            <w:pPr>
              <w:spacing w:after="0"/>
              <w:rPr>
                <w:sz w:val="19"/>
                <w:szCs w:val="19"/>
                <w:color w:val="auto"/>
              </w:rPr>
            </w:pPr>
          </w:p>
        </w:tc>
      </w:tr>
      <w:tr>
        <w:trPr>
          <w:trHeight w:val="20"/>
        </w:trPr>
        <w:tc>
          <w:tcPr>
            <w:tcW w:w="706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Assets measured and recorded at fair value on a non-recurring basis as of July 30, 2011 and January 29, 2011 were not significant.</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80"/>
          </w:cols>
          <w:pgMar w:left="240" w:top="459" w:right="57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 (in thousands):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Goodwill</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activity related to the carrying value of goodwill:</w:t>
      </w:r>
    </w:p>
    <w:p>
      <w:pPr>
        <w:spacing w:after="0" w:line="22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840" w:type="dxa"/>
            <w:vAlign w:val="bottom"/>
          </w:tcPr>
          <w:p>
            <w:pPr>
              <w:spacing w:after="0"/>
              <w:rPr>
                <w:sz w:val="18"/>
                <w:szCs w:val="18"/>
                <w:color w:val="auto"/>
              </w:rPr>
            </w:pPr>
          </w:p>
        </w:tc>
        <w:tc>
          <w:tcPr>
            <w:tcW w:w="2280" w:type="dxa"/>
            <w:vAlign w:val="bottom"/>
            <w:shd w:val="clear" w:color="auto" w:fill="CCEEFF"/>
          </w:tcPr>
          <w:p>
            <w:pPr>
              <w:spacing w:after="0"/>
              <w:rPr>
                <w:sz w:val="20"/>
                <w:szCs w:val="20"/>
                <w:color w:val="auto"/>
              </w:rPr>
            </w:pPr>
            <w:r>
              <w:rPr>
                <w:rFonts w:ascii="Arial" w:cs="Arial" w:eastAsia="Arial" w:hAnsi="Arial"/>
                <w:sz w:val="18"/>
                <w:szCs w:val="18"/>
                <w:color w:val="auto"/>
                <w:w w:val="98"/>
              </w:rPr>
              <w:t>Balance at January 29, 2011</w:t>
            </w:r>
          </w:p>
        </w:tc>
        <w:tc>
          <w:tcPr>
            <w:tcW w:w="7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$2,004,833</w:t>
            </w:r>
          </w:p>
        </w:tc>
        <w:tc>
          <w:tcPr>
            <w:tcW w:w="100" w:type="dxa"/>
            <w:vAlign w:val="bottom"/>
            <w:tcBorders>
              <w:right w:val="single" w:sz="8" w:color="CCEEFF"/>
            </w:tcBorders>
            <w:shd w:val="clear" w:color="auto" w:fill="CCEEFF"/>
          </w:tcPr>
          <w:p>
            <w:pPr>
              <w:spacing w:after="0"/>
              <w:rPr>
                <w:sz w:val="18"/>
                <w:szCs w:val="18"/>
                <w:color w:val="auto"/>
              </w:rPr>
            </w:pPr>
          </w:p>
        </w:tc>
        <w:tc>
          <w:tcPr>
            <w:tcW w:w="7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840" w:type="dxa"/>
            <w:vAlign w:val="bottom"/>
          </w:tcPr>
          <w:p>
            <w:pPr>
              <w:spacing w:after="0"/>
              <w:rPr>
                <w:sz w:val="19"/>
                <w:szCs w:val="19"/>
                <w:color w:val="auto"/>
              </w:rPr>
            </w:pPr>
          </w:p>
        </w:tc>
        <w:tc>
          <w:tcPr>
            <w:tcW w:w="3320" w:type="dxa"/>
            <w:vAlign w:val="bottom"/>
            <w:gridSpan w:val="3"/>
          </w:tcPr>
          <w:p>
            <w:pPr>
              <w:spacing w:after="0"/>
              <w:rPr>
                <w:sz w:val="20"/>
                <w:szCs w:val="20"/>
                <w:color w:val="auto"/>
              </w:rPr>
            </w:pPr>
            <w:r>
              <w:rPr>
                <w:rFonts w:ascii="Arial" w:cs="Arial" w:eastAsia="Arial" w:hAnsi="Arial"/>
                <w:sz w:val="18"/>
                <w:szCs w:val="18"/>
                <w:color w:val="auto"/>
              </w:rPr>
              <w:t>Additions due to business combinations</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gridSpan w:val="2"/>
          </w:tcPr>
          <w:p>
            <w:pPr>
              <w:spacing w:after="0"/>
              <w:rPr>
                <w:sz w:val="19"/>
                <w:szCs w:val="19"/>
                <w:color w:val="auto"/>
              </w:rPr>
            </w:pPr>
          </w:p>
        </w:tc>
        <w:tc>
          <w:tcPr>
            <w:tcW w:w="800" w:type="dxa"/>
            <w:vAlign w:val="bottom"/>
            <w:tcBorders>
              <w:bottom w:val="single" w:sz="8" w:color="auto"/>
            </w:tcBorders>
            <w:gridSpan w:val="4"/>
          </w:tcPr>
          <w:p>
            <w:pPr>
              <w:jc w:val="right"/>
              <w:spacing w:after="0"/>
              <w:rPr>
                <w:sz w:val="20"/>
                <w:szCs w:val="20"/>
                <w:color w:val="auto"/>
              </w:rPr>
            </w:pPr>
            <w:r>
              <w:rPr>
                <w:rFonts w:ascii="Arial" w:cs="Arial" w:eastAsia="Arial" w:hAnsi="Arial"/>
                <w:sz w:val="18"/>
                <w:szCs w:val="18"/>
                <w:color w:val="auto"/>
              </w:rPr>
              <w:t>2,070</w:t>
            </w:r>
          </w:p>
        </w:tc>
        <w:tc>
          <w:tcPr>
            <w:tcW w:w="1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2280" w:type="dxa"/>
            <w:vAlign w:val="bottom"/>
            <w:shd w:val="clear" w:color="auto" w:fill="CCEEFF"/>
          </w:tcPr>
          <w:p>
            <w:pPr>
              <w:spacing w:after="0"/>
              <w:rPr>
                <w:sz w:val="20"/>
                <w:szCs w:val="20"/>
                <w:color w:val="auto"/>
              </w:rPr>
            </w:pPr>
            <w:r>
              <w:rPr>
                <w:rFonts w:ascii="Arial" w:cs="Arial" w:eastAsia="Arial" w:hAnsi="Arial"/>
                <w:sz w:val="18"/>
                <w:szCs w:val="18"/>
                <w:color w:val="auto"/>
              </w:rPr>
              <w:t>Balance at July 30, 2011</w:t>
            </w:r>
          </w:p>
        </w:tc>
        <w:tc>
          <w:tcPr>
            <w:tcW w:w="7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0" w:type="dxa"/>
            <w:vAlign w:val="bottom"/>
            <w:gridSpan w:val="6"/>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2,006,903</w:t>
            </w:r>
          </w:p>
        </w:tc>
        <w:tc>
          <w:tcPr>
            <w:tcW w:w="100" w:type="dxa"/>
            <w:vAlign w:val="bottom"/>
            <w:tcBorders>
              <w:right w:val="single" w:sz="8" w:color="CCEEFF"/>
            </w:tcBorders>
            <w:shd w:val="clear" w:color="auto" w:fill="CCEEFF"/>
          </w:tcPr>
          <w:p>
            <w:pPr>
              <w:spacing w:after="0"/>
              <w:rPr>
                <w:sz w:val="18"/>
                <w:szCs w:val="18"/>
                <w:color w:val="auto"/>
              </w:rPr>
            </w:pPr>
          </w:p>
        </w:tc>
        <w:tc>
          <w:tcPr>
            <w:tcW w:w="7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20" w:type="dxa"/>
            <w:vAlign w:val="bottom"/>
            <w:gridSpan w:val="2"/>
            <w:vMerge w:val="restart"/>
          </w:tcPr>
          <w:p>
            <w:pPr>
              <w:ind w:left="460"/>
              <w:spacing w:after="0"/>
              <w:rPr>
                <w:sz w:val="20"/>
                <w:szCs w:val="20"/>
                <w:color w:val="auto"/>
              </w:rPr>
            </w:pPr>
            <w:r>
              <w:rPr>
                <w:rFonts w:ascii="Arial" w:cs="Arial" w:eastAsia="Arial" w:hAnsi="Arial"/>
                <w:sz w:val="18"/>
                <w:szCs w:val="18"/>
                <w:b w:val="1"/>
                <w:bCs w:val="1"/>
                <w:color w:val="auto"/>
              </w:rPr>
              <w:t>Acquired Intangible Assets, Net</w:t>
            </w:r>
          </w:p>
        </w:tc>
        <w:tc>
          <w:tcPr>
            <w:tcW w:w="7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4120" w:type="dxa"/>
            <w:vAlign w:val="bottom"/>
            <w:gridSpan w:val="2"/>
            <w:vMerge w:val="continue"/>
          </w:tcPr>
          <w:p>
            <w:pPr>
              <w:spacing w:after="0"/>
              <w:rPr>
                <w:sz w:val="24"/>
                <w:szCs w:val="24"/>
                <w:color w:val="auto"/>
              </w:rPr>
            </w:pPr>
          </w:p>
        </w:tc>
        <w:tc>
          <w:tcPr>
            <w:tcW w:w="7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184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480" w:type="dxa"/>
            <w:vAlign w:val="bottom"/>
            <w:tcBorders>
              <w:bottom w:val="single" w:sz="8" w:color="auto"/>
            </w:tcBorders>
            <w:gridSpan w:val="4"/>
          </w:tcPr>
          <w:p>
            <w:pPr>
              <w:ind w:left="300"/>
              <w:spacing w:after="0"/>
              <w:rPr>
                <w:sz w:val="20"/>
                <w:szCs w:val="20"/>
                <w:color w:val="auto"/>
              </w:rPr>
            </w:pPr>
            <w:r>
              <w:rPr>
                <w:rFonts w:ascii="Arial" w:cs="Arial" w:eastAsia="Arial" w:hAnsi="Arial"/>
                <w:sz w:val="14"/>
                <w:szCs w:val="14"/>
                <w:b w:val="1"/>
                <w:bCs w:val="1"/>
                <w:color w:val="auto"/>
              </w:rPr>
              <w:t>July 30, 2011</w:t>
            </w:r>
          </w:p>
        </w:tc>
        <w:tc>
          <w:tcPr>
            <w:tcW w:w="8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300" w:type="dxa"/>
            <w:vAlign w:val="bottom"/>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380" w:type="dxa"/>
            <w:vAlign w:val="bottom"/>
            <w:tcBorders>
              <w:bottom w:val="single" w:sz="8" w:color="auto"/>
            </w:tcBorders>
            <w:gridSpan w:val="5"/>
          </w:tcPr>
          <w:p>
            <w:pPr>
              <w:jc w:val="right"/>
              <w:ind w:right="320"/>
              <w:spacing w:after="0"/>
              <w:rPr>
                <w:sz w:val="20"/>
                <w:szCs w:val="20"/>
                <w:color w:val="auto"/>
              </w:rPr>
            </w:pPr>
            <w:r>
              <w:rPr>
                <w:rFonts w:ascii="Arial" w:cs="Arial" w:eastAsia="Arial" w:hAnsi="Arial"/>
                <w:sz w:val="14"/>
                <w:szCs w:val="14"/>
                <w:b w:val="1"/>
                <w:bCs w:val="1"/>
                <w:color w:val="auto"/>
                <w:w w:val="92"/>
              </w:rPr>
              <w:t>January 29, 2011</w:t>
            </w:r>
          </w:p>
        </w:tc>
        <w:tc>
          <w:tcPr>
            <w:tcW w:w="8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840" w:type="dxa"/>
            <w:vAlign w:val="bottom"/>
          </w:tcPr>
          <w:p>
            <w:pPr>
              <w:spacing w:after="0"/>
              <w:rPr>
                <w:sz w:val="11"/>
                <w:szCs w:val="11"/>
                <w:color w:val="auto"/>
              </w:rPr>
            </w:pPr>
          </w:p>
        </w:tc>
        <w:tc>
          <w:tcPr>
            <w:tcW w:w="22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180" w:type="dxa"/>
            <w:vAlign w:val="bottom"/>
            <w:gridSpan w:val="3"/>
          </w:tcPr>
          <w:p>
            <w:pPr>
              <w:jc w:val="center"/>
              <w:ind w:right="30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160" w:type="dxa"/>
            <w:vAlign w:val="bottom"/>
            <w:gridSpan w:val="3"/>
          </w:tcPr>
          <w:p>
            <w:pPr>
              <w:jc w:val="center"/>
              <w:ind w:right="32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840" w:type="dxa"/>
            <w:vAlign w:val="bottom"/>
          </w:tcPr>
          <w:p>
            <w:pPr>
              <w:spacing w:after="0"/>
              <w:rPr>
                <w:sz w:val="12"/>
                <w:szCs w:val="12"/>
                <w:color w:val="auto"/>
              </w:rPr>
            </w:pPr>
          </w:p>
        </w:tc>
        <w:tc>
          <w:tcPr>
            <w:tcW w:w="22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ind w:right="139"/>
              <w:spacing w:after="0" w:line="14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12"/>
                <w:szCs w:val="12"/>
                <w:color w:val="auto"/>
              </w:rPr>
            </w:pPr>
          </w:p>
        </w:tc>
        <w:tc>
          <w:tcPr>
            <w:tcW w:w="118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80" w:type="dxa"/>
            <w:vAlign w:val="bottom"/>
          </w:tcPr>
          <w:p>
            <w:pPr>
              <w:spacing w:after="0"/>
              <w:rPr>
                <w:sz w:val="12"/>
                <w:szCs w:val="12"/>
                <w:color w:val="auto"/>
              </w:rPr>
            </w:pPr>
          </w:p>
        </w:tc>
        <w:tc>
          <w:tcPr>
            <w:tcW w:w="580" w:type="dxa"/>
            <w:vAlign w:val="bottom"/>
          </w:tcPr>
          <w:p>
            <w:pPr>
              <w:jc w:val="center"/>
              <w:ind w:right="17"/>
              <w:spacing w:after="0" w:line="149" w:lineRule="exact"/>
              <w:rPr>
                <w:sz w:val="20"/>
                <w:szCs w:val="20"/>
                <w:color w:val="auto"/>
              </w:rPr>
            </w:pPr>
            <w:r>
              <w:rPr>
                <w:rFonts w:ascii="Arial" w:cs="Arial" w:eastAsia="Arial" w:hAnsi="Arial"/>
                <w:sz w:val="14"/>
                <w:szCs w:val="14"/>
                <w:b w:val="1"/>
                <w:bCs w:val="1"/>
                <w:color w:val="auto"/>
                <w:w w:val="88"/>
              </w:rPr>
              <w:t>Net</w:t>
            </w:r>
          </w:p>
        </w:tc>
        <w:tc>
          <w:tcPr>
            <w:tcW w:w="300" w:type="dxa"/>
            <w:vAlign w:val="bottom"/>
          </w:tcPr>
          <w:p>
            <w:pPr>
              <w:spacing w:after="0"/>
              <w:rPr>
                <w:sz w:val="12"/>
                <w:szCs w:val="12"/>
                <w:color w:val="auto"/>
              </w:rPr>
            </w:pPr>
          </w:p>
        </w:tc>
        <w:tc>
          <w:tcPr>
            <w:tcW w:w="8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16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80" w:type="dxa"/>
            <w:vAlign w:val="bottom"/>
          </w:tcPr>
          <w:p>
            <w:pPr>
              <w:spacing w:after="0"/>
              <w:rPr>
                <w:sz w:val="12"/>
                <w:szCs w:val="12"/>
                <w:color w:val="auto"/>
              </w:rPr>
            </w:pPr>
          </w:p>
        </w:tc>
        <w:tc>
          <w:tcPr>
            <w:tcW w:w="6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1840" w:type="dxa"/>
            <w:vAlign w:val="bottom"/>
          </w:tcPr>
          <w:p>
            <w:pPr>
              <w:spacing w:after="0"/>
              <w:rPr>
                <w:sz w:val="12"/>
                <w:szCs w:val="12"/>
                <w:color w:val="auto"/>
              </w:rPr>
            </w:pPr>
          </w:p>
        </w:tc>
        <w:tc>
          <w:tcPr>
            <w:tcW w:w="2280" w:type="dxa"/>
            <w:vAlign w:val="bottom"/>
          </w:tcPr>
          <w:p>
            <w:pPr>
              <w:spacing w:after="0"/>
              <w:rPr>
                <w:sz w:val="12"/>
                <w:szCs w:val="12"/>
                <w:color w:val="auto"/>
              </w:rPr>
            </w:pPr>
          </w:p>
        </w:tc>
        <w:tc>
          <w:tcPr>
            <w:tcW w:w="104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rPr>
              <w:t>Range of</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ind w:right="39"/>
              <w:spacing w:after="0" w:line="149" w:lineRule="exact"/>
              <w:rPr>
                <w:sz w:val="20"/>
                <w:szCs w:val="20"/>
                <w:color w:val="auto"/>
              </w:rPr>
            </w:pPr>
            <w:r>
              <w:rPr>
                <w:rFonts w:ascii="Arial" w:cs="Arial" w:eastAsia="Arial" w:hAnsi="Arial"/>
                <w:sz w:val="14"/>
                <w:szCs w:val="14"/>
                <w:b w:val="1"/>
                <w:bCs w:val="1"/>
                <w:color w:val="auto"/>
                <w:w w:val="97"/>
              </w:rPr>
              <w:t>Carrying</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8"/>
              </w:rPr>
              <w:t>and</w:t>
            </w:r>
          </w:p>
        </w:tc>
        <w:tc>
          <w:tcPr>
            <w:tcW w:w="6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88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8"/>
              </w:rPr>
              <w:t>and</w:t>
            </w:r>
          </w:p>
        </w:tc>
        <w:tc>
          <w:tcPr>
            <w:tcW w:w="7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4"/>
              </w:rPr>
              <w:t>Useful Lives</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59"/>
              <w:spacing w:after="0"/>
              <w:rPr>
                <w:sz w:val="20"/>
                <w:szCs w:val="20"/>
                <w:color w:val="auto"/>
              </w:rPr>
            </w:pPr>
            <w:r>
              <w:rPr>
                <w:rFonts w:ascii="Arial" w:cs="Arial" w:eastAsia="Arial" w:hAnsi="Arial"/>
                <w:sz w:val="14"/>
                <w:szCs w:val="14"/>
                <w:b w:val="1"/>
                <w:bCs w:val="1"/>
                <w:color w:val="auto"/>
                <w:w w:val="88"/>
              </w:rPr>
              <w:t>Amounts</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1"/>
              </w:rPr>
              <w:t>Write-Offs</w:t>
            </w:r>
          </w:p>
        </w:tc>
        <w:tc>
          <w:tcPr>
            <w:tcW w:w="8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6"/>
              </w:rPr>
              <w:t>Amount</w:t>
            </w:r>
          </w:p>
        </w:tc>
        <w:tc>
          <w:tcPr>
            <w:tcW w:w="300" w:type="dxa"/>
            <w:vAlign w:val="bottom"/>
          </w:tcPr>
          <w:p>
            <w:pPr>
              <w:spacing w:after="0"/>
              <w:rPr>
                <w:sz w:val="14"/>
                <w:szCs w:val="14"/>
                <w:color w:val="auto"/>
              </w:rPr>
            </w:pPr>
          </w:p>
        </w:tc>
        <w:tc>
          <w:tcPr>
            <w:tcW w:w="88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1"/>
              </w:rPr>
              <w:t>Write-Offs</w:t>
            </w:r>
          </w:p>
        </w:tc>
        <w:tc>
          <w:tcPr>
            <w:tcW w:w="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6"/>
              </w:rPr>
              <w:t>Amount</w:t>
            </w:r>
          </w:p>
        </w:tc>
        <w:tc>
          <w:tcPr>
            <w:tcW w:w="0" w:type="dxa"/>
            <w:vAlign w:val="bottom"/>
          </w:tcPr>
          <w:p>
            <w:pPr>
              <w:spacing w:after="0"/>
              <w:rPr>
                <w:sz w:val="1"/>
                <w:szCs w:val="1"/>
                <w:color w:val="auto"/>
              </w:rPr>
            </w:pPr>
          </w:p>
        </w:tc>
      </w:tr>
      <w:tr>
        <w:trPr>
          <w:trHeight w:val="210"/>
        </w:trPr>
        <w:tc>
          <w:tcPr>
            <w:tcW w:w="412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1 -7 years</w:t>
            </w:r>
          </w:p>
        </w:tc>
        <w:tc>
          <w:tcPr>
            <w:tcW w:w="3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739,605</w:t>
            </w: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(705,261)</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34,344</w:t>
            </w:r>
          </w:p>
        </w:tc>
        <w:tc>
          <w:tcPr>
            <w:tcW w:w="30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1"/>
              </w:rPr>
              <w:t>$  726,040</w:t>
            </w: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(698,877)</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27,163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Core technology</w:t>
            </w: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2"/>
              </w:rPr>
              <w:t>1 -8 years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212,650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(166,862)</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45,788</w:t>
            </w:r>
          </w:p>
        </w:tc>
        <w:tc>
          <w:tcPr>
            <w:tcW w:w="1180" w:type="dxa"/>
            <w:vAlign w:val="bottom"/>
            <w:gridSpan w:val="4"/>
          </w:tcPr>
          <w:p>
            <w:pPr>
              <w:jc w:val="right"/>
              <w:ind w:right="80"/>
              <w:spacing w:after="0"/>
              <w:rPr>
                <w:sz w:val="20"/>
                <w:szCs w:val="20"/>
                <w:color w:val="auto"/>
              </w:rPr>
            </w:pPr>
            <w:r>
              <w:rPr>
                <w:rFonts w:ascii="Arial" w:cs="Arial" w:eastAsia="Arial" w:hAnsi="Arial"/>
                <w:sz w:val="18"/>
                <w:szCs w:val="18"/>
                <w:color w:val="auto"/>
              </w:rPr>
              <w:t>212,650</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(155,359)</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57,291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Trade name</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2"/>
              </w:rPr>
              <w:t>1 -5 years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(318)</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w:t>
            </w:r>
          </w:p>
        </w:tc>
        <w:tc>
          <w:tcPr>
            <w:tcW w:w="118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350</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(299)</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Customer contracts</w:t>
            </w: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2"/>
              </w:rPr>
              <w:t>4 -7 years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187,200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(164,318)</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22,882</w:t>
            </w:r>
          </w:p>
        </w:tc>
        <w:tc>
          <w:tcPr>
            <w:tcW w:w="1180" w:type="dxa"/>
            <w:vAlign w:val="bottom"/>
            <w:gridSpan w:val="4"/>
          </w:tcPr>
          <w:p>
            <w:pPr>
              <w:jc w:val="right"/>
              <w:ind w:right="80"/>
              <w:spacing w:after="0"/>
              <w:rPr>
                <w:sz w:val="20"/>
                <w:szCs w:val="20"/>
                <w:color w:val="auto"/>
              </w:rPr>
            </w:pPr>
            <w:r>
              <w:rPr>
                <w:rFonts w:ascii="Arial" w:cs="Arial" w:eastAsia="Arial" w:hAnsi="Arial"/>
                <w:sz w:val="18"/>
                <w:szCs w:val="18"/>
                <w:color w:val="auto"/>
              </w:rPr>
              <w:t>187,200</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(156,774)</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30,426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In-process research and development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300" w:type="dxa"/>
            <w:vAlign w:val="bottom"/>
            <w:shd w:val="clear" w:color="auto" w:fill="CCEEFF"/>
          </w:tcPr>
          <w:p>
            <w:pPr>
              <w:spacing w:after="0"/>
              <w:rPr>
                <w:sz w:val="18"/>
                <w:szCs w:val="18"/>
                <w:color w:val="auto"/>
              </w:rPr>
            </w:pPr>
          </w:p>
        </w:tc>
        <w:tc>
          <w:tcPr>
            <w:tcW w:w="8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right w:val="single" w:sz="8" w:color="CCEEFF"/>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120" w:type="dxa"/>
            <w:vAlign w:val="bottom"/>
            <w:gridSpan w:val="2"/>
          </w:tcPr>
          <w:p>
            <w:pPr>
              <w:ind w:left="440"/>
              <w:spacing w:after="0"/>
              <w:rPr>
                <w:sz w:val="20"/>
                <w:szCs w:val="20"/>
                <w:color w:val="auto"/>
              </w:rPr>
            </w:pPr>
            <w:r>
              <w:rPr>
                <w:rFonts w:ascii="Arial" w:cs="Arial" w:eastAsia="Arial" w:hAnsi="Arial"/>
                <w:sz w:val="18"/>
                <w:szCs w:val="18"/>
                <w:color w:val="auto"/>
              </w:rPr>
              <w:t>Total intangible assets, net</w:t>
            </w:r>
          </w:p>
        </w:tc>
        <w:tc>
          <w:tcPr>
            <w:tcW w:w="7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1,149,505</w:t>
            </w:r>
          </w:p>
        </w:tc>
        <w:tc>
          <w:tcPr>
            <w:tcW w:w="400" w:type="dxa"/>
            <w:vAlign w:val="bottom"/>
            <w:gridSpan w:val="2"/>
          </w:tcPr>
          <w:p>
            <w:pPr>
              <w:ind w:left="300"/>
              <w:spacing w:after="0"/>
              <w:rPr>
                <w:sz w:val="20"/>
                <w:szCs w:val="20"/>
                <w:color w:val="auto"/>
              </w:rPr>
            </w:pPr>
            <w:r>
              <w:rPr>
                <w:rFonts w:ascii="Arial" w:cs="Arial" w:eastAsia="Arial" w:hAnsi="Arial"/>
                <w:sz w:val="18"/>
                <w:szCs w:val="18"/>
                <w:u w:val="single" w:color="auto"/>
                <w:color w:val="auto"/>
                <w:w w:val="79"/>
              </w:rPr>
              <w:t>$</w:t>
            </w: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w w:val="86"/>
              </w:rPr>
              <w:t>(1,036,759)</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112,746</w:t>
            </w:r>
          </w:p>
        </w:tc>
        <w:tc>
          <w:tcPr>
            <w:tcW w:w="1180" w:type="dxa"/>
            <w:vAlign w:val="bottom"/>
            <w:gridSpan w:val="4"/>
          </w:tcPr>
          <w:p>
            <w:pPr>
              <w:jc w:val="right"/>
              <w:ind w:right="8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1,135,940</w:t>
            </w:r>
          </w:p>
        </w:tc>
        <w:tc>
          <w:tcPr>
            <w:tcW w:w="32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w w:val="84"/>
              </w:rPr>
              <w:t>(1,011,309)</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124,631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84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jc w:val="both"/>
        <w:ind w:left="220" w:right="200" w:hanging="212"/>
        <w:spacing w:after="0" w:line="259"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Upon completion of the project, the related in-process research and development (“IPR&amp;D”) assets will be amortized over its estimated useful life. If any of the projects are abandoned or the forecast of the project indicates that the fair value is less than the carrying amount, the Company will be required to impair the related IPR&amp;D asset.</w:t>
      </w:r>
    </w:p>
    <w:p>
      <w:pPr>
        <w:spacing w:after="0" w:line="140"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April 2011, the Company acquired the PHY business of a company which specializes in the design of networking devices. Under the purchase method of accounting, the total purchase price was determined to be $16.3 million and was preliminarily allocated to tangible and intangible assets based on their fair values as of the date of the completion of the purchase.</w:t>
      </w:r>
    </w:p>
    <w:p>
      <w:pPr>
        <w:spacing w:after="0" w:line="140"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Based on the identified intangible assets recorded at July 30, 2011, the future amortization expense excluding IPR&amp;D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38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26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2012</w:t>
            </w:r>
          </w:p>
        </w:tc>
        <w:tc>
          <w:tcPr>
            <w:tcW w:w="2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2013</w:t>
            </w:r>
          </w:p>
        </w:tc>
        <w:tc>
          <w:tcPr>
            <w:tcW w:w="3720" w:type="dxa"/>
            <w:vAlign w:val="bottom"/>
          </w:tcPr>
          <w:p>
            <w:pPr>
              <w:spacing w:after="0"/>
              <w:rPr>
                <w:sz w:val="18"/>
                <w:szCs w:val="18"/>
                <w:color w:val="auto"/>
              </w:rPr>
            </w:pPr>
          </w:p>
        </w:tc>
        <w:tc>
          <w:tcPr>
            <w:tcW w:w="2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41,436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2014</w:t>
            </w:r>
          </w:p>
        </w:tc>
        <w:tc>
          <w:tcPr>
            <w:tcW w:w="3720" w:type="dxa"/>
            <w:vAlign w:val="bottom"/>
            <w:shd w:val="clear" w:color="auto" w:fill="CCEEFF"/>
          </w:tcPr>
          <w:p>
            <w:pPr>
              <w:spacing w:after="0"/>
              <w:rPr>
                <w:sz w:val="18"/>
                <w:szCs w:val="18"/>
                <w:color w:val="auto"/>
              </w:rPr>
            </w:pPr>
          </w:p>
        </w:tc>
        <w:tc>
          <w:tcPr>
            <w:tcW w:w="2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26,753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2015</w:t>
            </w:r>
          </w:p>
        </w:tc>
        <w:tc>
          <w:tcPr>
            <w:tcW w:w="3720" w:type="dxa"/>
            <w:vAlign w:val="bottom"/>
          </w:tcPr>
          <w:p>
            <w:pPr>
              <w:spacing w:after="0"/>
              <w:rPr>
                <w:sz w:val="18"/>
                <w:szCs w:val="18"/>
                <w:color w:val="auto"/>
              </w:rPr>
            </w:pPr>
          </w:p>
        </w:tc>
        <w:tc>
          <w:tcPr>
            <w:tcW w:w="2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5,351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2016</w:t>
            </w:r>
          </w:p>
        </w:tc>
        <w:tc>
          <w:tcPr>
            <w:tcW w:w="3720" w:type="dxa"/>
            <w:vAlign w:val="bottom"/>
            <w:shd w:val="clear" w:color="auto" w:fill="CCEEFF"/>
          </w:tcPr>
          <w:p>
            <w:pPr>
              <w:spacing w:after="0"/>
              <w:rPr>
                <w:sz w:val="18"/>
                <w:szCs w:val="18"/>
                <w:color w:val="auto"/>
              </w:rPr>
            </w:pPr>
          </w:p>
        </w:tc>
        <w:tc>
          <w:tcPr>
            <w:tcW w:w="2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36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6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4,624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720" w:type="dxa"/>
            <w:vAlign w:val="bottom"/>
            <w:shd w:val="clear" w:color="auto" w:fill="CCEEFF"/>
          </w:tcPr>
          <w:p>
            <w:pPr>
              <w:spacing w:after="0"/>
              <w:rPr>
                <w:sz w:val="18"/>
                <w:szCs w:val="18"/>
                <w:color w:val="auto"/>
              </w:rPr>
            </w:pPr>
          </w:p>
        </w:tc>
        <w:tc>
          <w:tcPr>
            <w:tcW w:w="2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103,046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w:t>
      </w:r>
    </w:p>
    <w:p>
      <w:pPr>
        <w:spacing w:after="0" w:line="9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During the three months ended July 31, 2010, as a result of the anticipated sale of one of its facilities, the Company classified the carrying value of the building as held for sale within prepaid expenses and other current assets. This resulted in a charge of $1.1 million to write-down the carrying value to fair value in research and development. During the three months ended July 30, 2011, the Company completed the sale of the building held for sale to an independent third party for $6.8 million, equal to the revised carrying value of the building.</w:t>
      </w:r>
    </w:p>
    <w:p>
      <w:pPr>
        <w:spacing w:after="0" w:line="113"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In addition, the Company continued to make payments and incur on-going operating expenses from its previously vacated facilities during the three and six months ended July 30, 2011.</w:t>
      </w:r>
    </w:p>
    <w:p>
      <w:pPr>
        <w:spacing w:after="0" w:line="132" w:lineRule="exact"/>
        <w:rPr>
          <w:sz w:val="20"/>
          <w:szCs w:val="20"/>
          <w:color w:val="auto"/>
        </w:rPr>
      </w:pPr>
    </w:p>
    <w:p>
      <w:pPr>
        <w:ind w:right="720" w:firstLine="456"/>
        <w:spacing w:after="0" w:line="268" w:lineRule="auto"/>
        <w:rPr>
          <w:sz w:val="20"/>
          <w:szCs w:val="20"/>
          <w:color w:val="auto"/>
        </w:rPr>
      </w:pPr>
      <w:r>
        <w:rPr>
          <w:rFonts w:ascii="Arial" w:cs="Arial" w:eastAsia="Arial" w:hAnsi="Arial"/>
          <w:sz w:val="18"/>
          <w:szCs w:val="18"/>
          <w:color w:val="auto"/>
        </w:rPr>
        <w:t>During the six months ended July 31, 2010, the Company subleased one of its previously vacated facilities and thus recorded an adjustment to the restructuring liabilities.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an analysis of the components of the restructuring charges and the payments made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820" w:type="dxa"/>
            <w:vAlign w:val="bottom"/>
          </w:tcPr>
          <w:p>
            <w:pPr>
              <w:spacing w:after="0"/>
              <w:rPr>
                <w:sz w:val="14"/>
                <w:szCs w:val="14"/>
                <w:color w:val="auto"/>
              </w:rPr>
            </w:pPr>
          </w:p>
        </w:tc>
        <w:tc>
          <w:tcPr>
            <w:tcW w:w="2040" w:type="dxa"/>
            <w:vAlign w:val="bottom"/>
            <w:gridSpan w:val="5"/>
          </w:tcPr>
          <w:p>
            <w:pPr>
              <w:jc w:val="right"/>
              <w:ind w:right="640"/>
              <w:spacing w:after="0"/>
              <w:rPr>
                <w:sz w:val="20"/>
                <w:szCs w:val="20"/>
                <w:color w:val="auto"/>
              </w:rPr>
            </w:pPr>
            <w:r>
              <w:rPr>
                <w:rFonts w:ascii="Arial" w:cs="Arial" w:eastAsia="Arial" w:hAnsi="Arial"/>
                <w:sz w:val="14"/>
                <w:szCs w:val="14"/>
                <w:b w:val="1"/>
                <w:bCs w:val="1"/>
                <w:color w:val="auto"/>
                <w:w w:val="99"/>
              </w:rPr>
              <w:t>Three Months Ended</w:t>
            </w:r>
          </w:p>
        </w:tc>
        <w:tc>
          <w:tcPr>
            <w:tcW w:w="1640" w:type="dxa"/>
            <w:vAlign w:val="bottom"/>
            <w:gridSpan w:val="5"/>
          </w:tcPr>
          <w:p>
            <w:pPr>
              <w:ind w:left="2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6820" w:type="dxa"/>
            <w:vAlign w:val="bottom"/>
          </w:tcPr>
          <w:p>
            <w:pPr>
              <w:spacing w:after="0"/>
              <w:rPr>
                <w:sz w:val="11"/>
                <w:szCs w:val="11"/>
                <w:color w:val="auto"/>
              </w:rPr>
            </w:pPr>
          </w:p>
        </w:tc>
        <w:tc>
          <w:tcPr>
            <w:tcW w:w="78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9"/>
              </w:rPr>
              <w:t>July 30,</w:t>
            </w:r>
          </w:p>
        </w:tc>
        <w:tc>
          <w:tcPr>
            <w:tcW w:w="22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July 31,</w:t>
            </w:r>
          </w:p>
        </w:tc>
        <w:tc>
          <w:tcPr>
            <w:tcW w:w="500" w:type="dxa"/>
            <w:vAlign w:val="bottom"/>
          </w:tcPr>
          <w:p>
            <w:pPr>
              <w:spacing w:after="0"/>
              <w:rPr>
                <w:sz w:val="11"/>
                <w:szCs w:val="11"/>
                <w:color w:val="auto"/>
              </w:rPr>
            </w:pPr>
          </w:p>
        </w:tc>
        <w:tc>
          <w:tcPr>
            <w:tcW w:w="7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rPr>
              <w:t>July 30,</w:t>
            </w:r>
          </w:p>
        </w:tc>
        <w:tc>
          <w:tcPr>
            <w:tcW w:w="22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July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820" w:type="dxa"/>
            <w:vAlign w:val="bottom"/>
          </w:tcPr>
          <w:p>
            <w:pPr>
              <w:spacing w:after="0"/>
              <w:rPr>
                <w:sz w:val="14"/>
                <w:szCs w:val="14"/>
                <w:color w:val="auto"/>
              </w:rPr>
            </w:pPr>
          </w:p>
        </w:tc>
        <w:tc>
          <w:tcPr>
            <w:tcW w:w="500" w:type="dxa"/>
            <w:vAlign w:val="bottom"/>
          </w:tcPr>
          <w:p>
            <w:pPr>
              <w:jc w:val="right"/>
              <w:ind w:right="39"/>
              <w:spacing w:after="0"/>
              <w:rPr>
                <w:sz w:val="20"/>
                <w:szCs w:val="20"/>
                <w:color w:val="auto"/>
              </w:rPr>
            </w:pPr>
            <w:r>
              <w:rPr>
                <w:rFonts w:ascii="Arial" w:cs="Arial" w:eastAsia="Arial" w:hAnsi="Arial"/>
                <w:sz w:val="14"/>
                <w:szCs w:val="14"/>
                <w:b w:val="1"/>
                <w:bCs w:val="1"/>
                <w:color w:val="auto"/>
              </w:rPr>
              <w:t>2011</w:t>
            </w:r>
          </w:p>
        </w:tc>
        <w:tc>
          <w:tcPr>
            <w:tcW w:w="280" w:type="dxa"/>
            <w:vAlign w:val="bottom"/>
          </w:tcPr>
          <w:p>
            <w:pPr>
              <w:spacing w:after="0"/>
              <w:rPr>
                <w:sz w:val="14"/>
                <w:szCs w:val="14"/>
                <w:color w:val="auto"/>
              </w:rPr>
            </w:pPr>
          </w:p>
        </w:tc>
        <w:tc>
          <w:tcPr>
            <w:tcW w:w="760" w:type="dxa"/>
            <w:vAlign w:val="bottom"/>
            <w:gridSpan w:val="2"/>
          </w:tcPr>
          <w:p>
            <w:pPr>
              <w:jc w:val="right"/>
              <w:ind w:right="59"/>
              <w:spacing w:after="0"/>
              <w:rPr>
                <w:sz w:val="20"/>
                <w:szCs w:val="20"/>
                <w:color w:val="auto"/>
              </w:rPr>
            </w:pPr>
            <w:r>
              <w:rPr>
                <w:rFonts w:ascii="Arial" w:cs="Arial" w:eastAsia="Arial" w:hAnsi="Arial"/>
                <w:sz w:val="14"/>
                <w:szCs w:val="14"/>
                <w:b w:val="1"/>
                <w:bCs w:val="1"/>
                <w:color w:val="auto"/>
              </w:rPr>
              <w:t>2010</w:t>
            </w:r>
          </w:p>
        </w:tc>
        <w:tc>
          <w:tcPr>
            <w:tcW w:w="500" w:type="dxa"/>
            <w:vAlign w:val="bottom"/>
          </w:tcPr>
          <w:p>
            <w:pPr>
              <w:spacing w:after="0"/>
              <w:rPr>
                <w:sz w:val="14"/>
                <w:szCs w:val="14"/>
                <w:color w:val="auto"/>
              </w:rPr>
            </w:pPr>
          </w:p>
        </w:tc>
        <w:tc>
          <w:tcPr>
            <w:tcW w:w="500" w:type="dxa"/>
            <w:vAlign w:val="bottom"/>
          </w:tcPr>
          <w:p>
            <w:pPr>
              <w:jc w:val="right"/>
              <w:ind w:right="39"/>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780" w:type="dxa"/>
            <w:vAlign w:val="bottom"/>
            <w:gridSpan w:val="2"/>
          </w:tcPr>
          <w:p>
            <w:pPr>
              <w:jc w:val="right"/>
              <w:ind w:right="59"/>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8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Restructuring liabilities, beginning of period</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$3,425</w:t>
            </w:r>
          </w:p>
        </w:tc>
        <w:tc>
          <w:tcPr>
            <w:tcW w:w="2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$ 4,964</w:t>
            </w:r>
          </w:p>
        </w:tc>
        <w:tc>
          <w:tcPr>
            <w:tcW w:w="50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$3,306</w:t>
            </w:r>
          </w:p>
        </w:tc>
        <w:tc>
          <w:tcPr>
            <w:tcW w:w="2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$ 5,397</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820" w:type="dxa"/>
            <w:vAlign w:val="bottom"/>
          </w:tcPr>
          <w:p>
            <w:pPr>
              <w:ind w:left="440"/>
              <w:spacing w:after="0"/>
              <w:rPr>
                <w:sz w:val="20"/>
                <w:szCs w:val="20"/>
                <w:color w:val="auto"/>
              </w:rPr>
            </w:pPr>
            <w:r>
              <w:rPr>
                <w:rFonts w:ascii="Arial" w:cs="Arial" w:eastAsia="Arial" w:hAnsi="Arial"/>
                <w:sz w:val="18"/>
                <w:szCs w:val="18"/>
                <w:color w:val="auto"/>
              </w:rPr>
              <w:t>Facilities and related charges</w:t>
            </w:r>
          </w:p>
        </w:tc>
        <w:tc>
          <w:tcPr>
            <w:tcW w:w="500" w:type="dxa"/>
            <w:vAlign w:val="bottom"/>
          </w:tcPr>
          <w:p>
            <w:pPr>
              <w:jc w:val="right"/>
              <w:spacing w:after="0"/>
              <w:rPr>
                <w:sz w:val="20"/>
                <w:szCs w:val="20"/>
                <w:color w:val="auto"/>
              </w:rPr>
            </w:pPr>
            <w:r>
              <w:rPr>
                <w:rFonts w:ascii="Arial" w:cs="Arial" w:eastAsia="Arial" w:hAnsi="Arial"/>
                <w:sz w:val="18"/>
                <w:szCs w:val="18"/>
                <w:color w:val="auto"/>
              </w:rPr>
              <w:t>567</w:t>
            </w:r>
          </w:p>
        </w:tc>
        <w:tc>
          <w:tcPr>
            <w:tcW w:w="280" w:type="dxa"/>
            <w:vAlign w:val="bottom"/>
          </w:tcPr>
          <w:p>
            <w:pPr>
              <w:spacing w:after="0"/>
              <w:rPr>
                <w:sz w:val="18"/>
                <w:szCs w:val="18"/>
                <w:color w:val="auto"/>
              </w:rPr>
            </w:pPr>
          </w:p>
        </w:tc>
        <w:tc>
          <w:tcPr>
            <w:tcW w:w="1260" w:type="dxa"/>
            <w:vAlign w:val="bottom"/>
            <w:gridSpan w:val="3"/>
          </w:tcPr>
          <w:p>
            <w:pPr>
              <w:jc w:val="right"/>
              <w:ind w:right="500"/>
              <w:spacing w:after="0"/>
              <w:rPr>
                <w:sz w:val="20"/>
                <w:szCs w:val="20"/>
                <w:color w:val="auto"/>
              </w:rPr>
            </w:pPr>
            <w:r>
              <w:rPr>
                <w:rFonts w:ascii="Arial" w:cs="Arial" w:eastAsia="Arial" w:hAnsi="Arial"/>
                <w:sz w:val="18"/>
                <w:szCs w:val="18"/>
                <w:color w:val="auto"/>
              </w:rPr>
              <w:t>1,660</w:t>
            </w:r>
          </w:p>
        </w:tc>
        <w:tc>
          <w:tcPr>
            <w:tcW w:w="500" w:type="dxa"/>
            <w:vAlign w:val="bottom"/>
          </w:tcPr>
          <w:p>
            <w:pPr>
              <w:jc w:val="right"/>
              <w:spacing w:after="0"/>
              <w:rPr>
                <w:sz w:val="20"/>
                <w:szCs w:val="20"/>
                <w:color w:val="auto"/>
              </w:rPr>
            </w:pPr>
            <w:r>
              <w:rPr>
                <w:rFonts w:ascii="Arial" w:cs="Arial" w:eastAsia="Arial" w:hAnsi="Arial"/>
                <w:sz w:val="18"/>
                <w:szCs w:val="18"/>
                <w:color w:val="auto"/>
              </w:rPr>
              <w:t>1,186</w:t>
            </w:r>
          </w:p>
        </w:tc>
        <w:tc>
          <w:tcPr>
            <w:tcW w:w="260" w:type="dxa"/>
            <w:vAlign w:val="bottom"/>
          </w:tcPr>
          <w:p>
            <w:pPr>
              <w:spacing w:after="0"/>
              <w:rPr>
                <w:sz w:val="18"/>
                <w:szCs w:val="18"/>
                <w:color w:val="auto"/>
              </w:rPr>
            </w:pPr>
          </w:p>
        </w:tc>
        <w:tc>
          <w:tcPr>
            <w:tcW w:w="880" w:type="dxa"/>
            <w:vAlign w:val="bottom"/>
            <w:gridSpan w:val="3"/>
          </w:tcPr>
          <w:p>
            <w:pPr>
              <w:jc w:val="right"/>
              <w:ind w:right="100"/>
              <w:spacing w:after="0"/>
              <w:rPr>
                <w:sz w:val="20"/>
                <w:szCs w:val="20"/>
                <w:color w:val="auto"/>
              </w:rPr>
            </w:pPr>
            <w:r>
              <w:rPr>
                <w:rFonts w:ascii="Arial" w:cs="Arial" w:eastAsia="Arial" w:hAnsi="Arial"/>
                <w:sz w:val="18"/>
                <w:szCs w:val="18"/>
                <w:color w:val="auto"/>
              </w:rPr>
              <w:t>2,347</w:t>
            </w:r>
          </w:p>
        </w:tc>
        <w:tc>
          <w:tcPr>
            <w:tcW w:w="0" w:type="dxa"/>
            <w:vAlign w:val="bottom"/>
          </w:tcPr>
          <w:p>
            <w:pPr>
              <w:spacing w:after="0"/>
              <w:rPr>
                <w:sz w:val="1"/>
                <w:szCs w:val="1"/>
                <w:color w:val="auto"/>
              </w:rPr>
            </w:pPr>
          </w:p>
        </w:tc>
      </w:tr>
      <w:tr>
        <w:trPr>
          <w:trHeight w:val="216"/>
        </w:trPr>
        <w:tc>
          <w:tcPr>
            <w:tcW w:w="6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Non-cash adjustment</w:t>
            </w: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(407)</w:t>
            </w:r>
          </w:p>
        </w:tc>
        <w:tc>
          <w:tcPr>
            <w:tcW w:w="126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(1,140)</w:t>
            </w:r>
          </w:p>
        </w:tc>
        <w:tc>
          <w:tcPr>
            <w:tcW w:w="7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(395)</w:t>
            </w:r>
          </w:p>
        </w:tc>
        <w:tc>
          <w:tcPr>
            <w:tcW w:w="8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(1,458)</w:t>
            </w:r>
          </w:p>
        </w:tc>
        <w:tc>
          <w:tcPr>
            <w:tcW w:w="0" w:type="dxa"/>
            <w:vAlign w:val="bottom"/>
          </w:tcPr>
          <w:p>
            <w:pPr>
              <w:spacing w:after="0"/>
              <w:rPr>
                <w:sz w:val="1"/>
                <w:szCs w:val="1"/>
                <w:color w:val="auto"/>
              </w:rPr>
            </w:pPr>
          </w:p>
        </w:tc>
      </w:tr>
      <w:tr>
        <w:trPr>
          <w:trHeight w:val="216"/>
        </w:trPr>
        <w:tc>
          <w:tcPr>
            <w:tcW w:w="6820" w:type="dxa"/>
            <w:vAlign w:val="bottom"/>
          </w:tcPr>
          <w:p>
            <w:pPr>
              <w:ind w:left="440"/>
              <w:spacing w:after="0"/>
              <w:rPr>
                <w:sz w:val="20"/>
                <w:szCs w:val="20"/>
                <w:color w:val="auto"/>
              </w:rPr>
            </w:pPr>
            <w:r>
              <w:rPr>
                <w:rFonts w:ascii="Arial" w:cs="Arial" w:eastAsia="Arial" w:hAnsi="Arial"/>
                <w:sz w:val="18"/>
                <w:szCs w:val="18"/>
                <w:color w:val="auto"/>
              </w:rPr>
              <w:t>Net cash payments</w:t>
            </w: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rPr>
              <w:t>(376)</w:t>
            </w:r>
          </w:p>
        </w:tc>
        <w:tc>
          <w:tcPr>
            <w:tcW w:w="1260" w:type="dxa"/>
            <w:vAlign w:val="bottom"/>
            <w:gridSpan w:val="3"/>
          </w:tcPr>
          <w:p>
            <w:pPr>
              <w:jc w:val="right"/>
              <w:ind w:right="440"/>
              <w:spacing w:after="0"/>
              <w:rPr>
                <w:sz w:val="20"/>
                <w:szCs w:val="20"/>
                <w:color w:val="auto"/>
              </w:rPr>
            </w:pPr>
            <w:r>
              <w:rPr>
                <w:rFonts w:ascii="Arial" w:cs="Arial" w:eastAsia="Arial" w:hAnsi="Arial"/>
                <w:sz w:val="18"/>
                <w:szCs w:val="18"/>
                <w:color w:val="auto"/>
              </w:rPr>
              <w:t>(642)</w:t>
            </w:r>
          </w:p>
        </w:tc>
        <w:tc>
          <w:tcPr>
            <w:tcW w:w="760" w:type="dxa"/>
            <w:vAlign w:val="bottom"/>
            <w:gridSpan w:val="2"/>
          </w:tcPr>
          <w:p>
            <w:pPr>
              <w:jc w:val="right"/>
              <w:ind w:right="200"/>
              <w:spacing w:after="0"/>
              <w:rPr>
                <w:sz w:val="20"/>
                <w:szCs w:val="20"/>
                <w:color w:val="auto"/>
              </w:rPr>
            </w:pPr>
            <w:r>
              <w:rPr>
                <w:rFonts w:ascii="Arial" w:cs="Arial" w:eastAsia="Arial" w:hAnsi="Arial"/>
                <w:sz w:val="18"/>
                <w:szCs w:val="18"/>
                <w:color w:val="auto"/>
              </w:rPr>
              <w:t>(888)</w:t>
            </w:r>
          </w:p>
        </w:tc>
        <w:tc>
          <w:tcPr>
            <w:tcW w:w="880" w:type="dxa"/>
            <w:vAlign w:val="bottom"/>
            <w:gridSpan w:val="3"/>
          </w:tcPr>
          <w:p>
            <w:pPr>
              <w:jc w:val="right"/>
              <w:ind w:right="40"/>
              <w:spacing w:after="0"/>
              <w:rPr>
                <w:sz w:val="20"/>
                <w:szCs w:val="20"/>
                <w:color w:val="auto"/>
              </w:rPr>
            </w:pPr>
            <w:r>
              <w:rPr>
                <w:rFonts w:ascii="Arial" w:cs="Arial" w:eastAsia="Arial" w:hAnsi="Arial"/>
                <w:sz w:val="18"/>
                <w:szCs w:val="18"/>
                <w:color w:val="auto"/>
              </w:rPr>
              <w:t>(1,343)</w:t>
            </w:r>
          </w:p>
        </w:tc>
        <w:tc>
          <w:tcPr>
            <w:tcW w:w="0" w:type="dxa"/>
            <w:vAlign w:val="bottom"/>
          </w:tcPr>
          <w:p>
            <w:pPr>
              <w:spacing w:after="0"/>
              <w:rPr>
                <w:sz w:val="1"/>
                <w:szCs w:val="1"/>
                <w:color w:val="auto"/>
              </w:rPr>
            </w:pPr>
          </w:p>
        </w:tc>
      </w:tr>
      <w:tr>
        <w:trPr>
          <w:trHeight w:val="216"/>
        </w:trPr>
        <w:tc>
          <w:tcPr>
            <w:tcW w:w="6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previous assumptions</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(101)</w:t>
            </w:r>
          </w:p>
        </w:tc>
        <w:tc>
          <w:tcPr>
            <w:tcW w:w="0" w:type="dxa"/>
            <w:vAlign w:val="bottom"/>
          </w:tcPr>
          <w:p>
            <w:pPr>
              <w:spacing w:after="0"/>
              <w:rPr>
                <w:sz w:val="1"/>
                <w:szCs w:val="1"/>
                <w:color w:val="auto"/>
              </w:rPr>
            </w:pPr>
          </w:p>
        </w:tc>
      </w:tr>
      <w:tr>
        <w:trPr>
          <w:trHeight w:val="20"/>
        </w:trPr>
        <w:tc>
          <w:tcPr>
            <w:tcW w:w="6820" w:type="dxa"/>
            <w:vAlign w:val="bottom"/>
            <w:vMerge w:val="restart"/>
          </w:tcPr>
          <w:p>
            <w:pPr>
              <w:spacing w:after="0"/>
              <w:rPr>
                <w:sz w:val="20"/>
                <w:szCs w:val="20"/>
                <w:color w:val="auto"/>
              </w:rPr>
            </w:pPr>
            <w:r>
              <w:rPr>
                <w:rFonts w:ascii="Arial" w:cs="Arial" w:eastAsia="Arial" w:hAnsi="Arial"/>
                <w:sz w:val="18"/>
                <w:szCs w:val="18"/>
                <w:color w:val="auto"/>
              </w:rPr>
              <w:t>Restructuring liabilities, end of period</w:t>
            </w: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820" w:type="dxa"/>
            <w:vAlign w:val="bottom"/>
            <w:vMerge w:val="continue"/>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3,209</w:t>
            </w:r>
          </w:p>
        </w:tc>
        <w:tc>
          <w:tcPr>
            <w:tcW w:w="280" w:type="dxa"/>
            <w:vAlign w:val="bottom"/>
          </w:tcPr>
          <w:p>
            <w:pPr>
              <w:spacing w:after="0"/>
              <w:rPr>
                <w:sz w:val="19"/>
                <w:szCs w:val="19"/>
                <w:color w:val="auto"/>
              </w:rPr>
            </w:pPr>
          </w:p>
        </w:tc>
        <w:tc>
          <w:tcPr>
            <w:tcW w:w="1260" w:type="dxa"/>
            <w:vAlign w:val="bottom"/>
            <w:gridSpan w:val="3"/>
          </w:tcPr>
          <w:p>
            <w:pPr>
              <w:jc w:val="right"/>
              <w:ind w:right="500"/>
              <w:spacing w:after="0"/>
              <w:rPr>
                <w:sz w:val="20"/>
                <w:szCs w:val="20"/>
                <w:color w:val="auto"/>
              </w:rPr>
            </w:pPr>
            <w:r>
              <w:rPr>
                <w:rFonts w:ascii="Arial" w:cs="Arial" w:eastAsia="Arial" w:hAnsi="Arial"/>
                <w:sz w:val="18"/>
                <w:szCs w:val="18"/>
                <w:color w:val="auto"/>
              </w:rPr>
              <w:t>$ 4,842</w:t>
            </w:r>
          </w:p>
        </w:tc>
        <w:tc>
          <w:tcPr>
            <w:tcW w:w="50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3,209</w:t>
            </w:r>
          </w:p>
        </w:tc>
        <w:tc>
          <w:tcPr>
            <w:tcW w:w="260" w:type="dxa"/>
            <w:vAlign w:val="bottom"/>
          </w:tcPr>
          <w:p>
            <w:pPr>
              <w:spacing w:after="0"/>
              <w:rPr>
                <w:sz w:val="19"/>
                <w:szCs w:val="19"/>
                <w:color w:val="auto"/>
              </w:rPr>
            </w:pPr>
          </w:p>
        </w:tc>
        <w:tc>
          <w:tcPr>
            <w:tcW w:w="880" w:type="dxa"/>
            <w:vAlign w:val="bottom"/>
            <w:gridSpan w:val="3"/>
          </w:tcPr>
          <w:p>
            <w:pPr>
              <w:jc w:val="right"/>
              <w:ind w:right="100"/>
              <w:spacing w:after="0"/>
              <w:rPr>
                <w:sz w:val="20"/>
                <w:szCs w:val="20"/>
                <w:color w:val="auto"/>
              </w:rPr>
            </w:pPr>
            <w:r>
              <w:rPr>
                <w:rFonts w:ascii="Arial" w:cs="Arial" w:eastAsia="Arial" w:hAnsi="Arial"/>
                <w:sz w:val="18"/>
                <w:szCs w:val="18"/>
                <w:color w:val="auto"/>
              </w:rPr>
              <w:t>$ 4,842</w:t>
            </w:r>
          </w:p>
        </w:tc>
        <w:tc>
          <w:tcPr>
            <w:tcW w:w="0" w:type="dxa"/>
            <w:vAlign w:val="bottom"/>
          </w:tcPr>
          <w:p>
            <w:pPr>
              <w:spacing w:after="0"/>
              <w:rPr>
                <w:sz w:val="1"/>
                <w:szCs w:val="1"/>
                <w:color w:val="auto"/>
              </w:rPr>
            </w:pPr>
          </w:p>
        </w:tc>
      </w:tr>
      <w:tr>
        <w:trPr>
          <w:trHeight w:val="20"/>
        </w:trPr>
        <w:tc>
          <w:tcPr>
            <w:tcW w:w="682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9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40" w:type="dxa"/>
            <w:vAlign w:val="bottom"/>
            <w:gridSpan w:val="4"/>
          </w:tcPr>
          <w:p>
            <w:pPr>
              <w:jc w:val="right"/>
              <w:ind w:right="76"/>
              <w:spacing w:after="0"/>
              <w:rPr>
                <w:sz w:val="20"/>
                <w:szCs w:val="20"/>
                <w:color w:val="auto"/>
              </w:rPr>
            </w:pPr>
            <w:r>
              <w:rPr>
                <w:rFonts w:ascii="Arial" w:cs="Arial" w:eastAsia="Arial" w:hAnsi="Arial"/>
                <w:sz w:val="14"/>
                <w:szCs w:val="14"/>
                <w:b w:val="1"/>
                <w:bCs w:val="1"/>
                <w:color w:val="auto"/>
                <w:w w:val="90"/>
              </w:rPr>
              <w:t>Three Months Ended</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4"/>
          </w:tcPr>
          <w:p>
            <w:pPr>
              <w:ind w:left="10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69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July 30,</w:t>
            </w:r>
          </w:p>
        </w:tc>
        <w:tc>
          <w:tcPr>
            <w:tcW w:w="4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July 31,</w:t>
            </w:r>
          </w:p>
        </w:tc>
        <w:tc>
          <w:tcPr>
            <w:tcW w:w="480" w:type="dxa"/>
            <w:vAlign w:val="bottom"/>
          </w:tcPr>
          <w:p>
            <w:pPr>
              <w:spacing w:after="0"/>
              <w:rPr>
                <w:sz w:val="11"/>
                <w:szCs w:val="11"/>
                <w:color w:val="auto"/>
              </w:rPr>
            </w:pPr>
          </w:p>
        </w:tc>
        <w:tc>
          <w:tcPr>
            <w:tcW w:w="5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July 30,</w:t>
            </w:r>
          </w:p>
        </w:tc>
        <w:tc>
          <w:tcPr>
            <w:tcW w:w="46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9"/>
              </w:rPr>
              <w:t>July 31,</w:t>
            </w:r>
          </w:p>
        </w:tc>
        <w:tc>
          <w:tcPr>
            <w:tcW w:w="100" w:type="dxa"/>
            <w:vAlign w:val="bottom"/>
          </w:tcPr>
          <w:p>
            <w:pPr>
              <w:spacing w:after="0"/>
              <w:rPr>
                <w:sz w:val="11"/>
                <w:szCs w:val="11"/>
                <w:color w:val="auto"/>
              </w:rPr>
            </w:pPr>
          </w:p>
        </w:tc>
      </w:tr>
      <w:tr>
        <w:trPr>
          <w:trHeight w:val="161"/>
        </w:trPr>
        <w:tc>
          <w:tcPr>
            <w:tcW w:w="69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80" w:type="dxa"/>
            <w:vAlign w:val="bottom"/>
          </w:tcPr>
          <w:p>
            <w:pPr>
              <w:ind w:left="20"/>
              <w:spacing w:after="0"/>
              <w:rPr>
                <w:sz w:val="20"/>
                <w:szCs w:val="20"/>
                <w:color w:val="auto"/>
              </w:rPr>
            </w:pPr>
            <w:r>
              <w:rPr>
                <w:rFonts w:ascii="Arial" w:cs="Arial" w:eastAsia="Arial" w:hAnsi="Arial"/>
                <w:sz w:val="14"/>
                <w:szCs w:val="14"/>
                <w:b w:val="1"/>
                <w:bCs w:val="1"/>
                <w:color w:val="auto"/>
              </w:rPr>
              <w:t>2011</w:t>
            </w: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60" w:type="dxa"/>
            <w:vAlign w:val="bottom"/>
          </w:tcPr>
          <w:p>
            <w:pPr>
              <w:jc w:val="right"/>
              <w:ind w:right="76"/>
              <w:spacing w:after="0"/>
              <w:rPr>
                <w:sz w:val="20"/>
                <w:szCs w:val="20"/>
                <w:color w:val="auto"/>
              </w:rPr>
            </w:pPr>
            <w:r>
              <w:rPr>
                <w:rFonts w:ascii="Arial" w:cs="Arial" w:eastAsia="Arial" w:hAnsi="Arial"/>
                <w:sz w:val="14"/>
                <w:szCs w:val="14"/>
                <w:b w:val="1"/>
                <w:bCs w:val="1"/>
                <w:color w:val="auto"/>
                <w:w w:val="89"/>
              </w:rPr>
              <w:t>2010</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tcPr>
          <w:p>
            <w:pPr>
              <w:jc w:val="right"/>
              <w:ind w:right="39"/>
              <w:spacing w:after="0"/>
              <w:rPr>
                <w:sz w:val="20"/>
                <w:szCs w:val="20"/>
                <w:color w:val="auto"/>
              </w:rPr>
            </w:pPr>
            <w:r>
              <w:rPr>
                <w:rFonts w:ascii="Arial" w:cs="Arial" w:eastAsia="Arial" w:hAnsi="Arial"/>
                <w:sz w:val="14"/>
                <w:szCs w:val="14"/>
                <w:b w:val="1"/>
                <w:bCs w:val="1"/>
                <w:color w:val="auto"/>
                <w:w w:val="83"/>
              </w:rPr>
              <w:t>2011</w:t>
            </w:r>
          </w:p>
        </w:tc>
        <w:tc>
          <w:tcPr>
            <w:tcW w:w="960" w:type="dxa"/>
            <w:vAlign w:val="bottom"/>
            <w:gridSpan w:val="2"/>
          </w:tcPr>
          <w:p>
            <w:pPr>
              <w:jc w:val="right"/>
              <w:ind w:right="17"/>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r>
      <w:tr>
        <w:trPr>
          <w:trHeight w:val="210"/>
        </w:trPr>
        <w:tc>
          <w:tcPr>
            <w:tcW w:w="69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Research and development</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380" w:type="dxa"/>
            <w:vAlign w:val="bottom"/>
            <w:tcBorders>
              <w:top w:val="single" w:sz="8" w:color="auto"/>
            </w:tcBorders>
            <w:shd w:val="clear" w:color="auto" w:fill="CCEEFF"/>
          </w:tcPr>
          <w:p>
            <w:pPr>
              <w:ind w:left="120"/>
              <w:spacing w:after="0"/>
              <w:rPr>
                <w:sz w:val="20"/>
                <w:szCs w:val="20"/>
                <w:color w:val="auto"/>
              </w:rPr>
            </w:pPr>
            <w:r>
              <w:rPr>
                <w:rFonts w:ascii="Arial" w:cs="Arial" w:eastAsia="Arial" w:hAnsi="Arial"/>
                <w:sz w:val="18"/>
                <w:szCs w:val="18"/>
                <w:color w:val="auto"/>
                <w:w w:val="79"/>
              </w:rPr>
              <w:t>139</w:t>
            </w:r>
          </w:p>
        </w:tc>
        <w:tc>
          <w:tcPr>
            <w:tcW w:w="4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1,370</w:t>
            </w:r>
          </w:p>
        </w:tc>
        <w:tc>
          <w:tcPr>
            <w:tcW w:w="4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307</w:t>
            </w:r>
          </w:p>
        </w:tc>
        <w:tc>
          <w:tcPr>
            <w:tcW w:w="46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$1,499</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920" w:type="dxa"/>
            <w:vAlign w:val="bottom"/>
          </w:tcPr>
          <w:p>
            <w:pPr>
              <w:spacing w:after="0"/>
              <w:rPr>
                <w:sz w:val="20"/>
                <w:szCs w:val="20"/>
                <w:color w:val="auto"/>
              </w:rPr>
            </w:pPr>
            <w:r>
              <w:rPr>
                <w:rFonts w:ascii="Arial" w:cs="Arial" w:eastAsia="Arial" w:hAnsi="Arial"/>
                <w:sz w:val="18"/>
                <w:szCs w:val="18"/>
                <w:color w:val="auto"/>
              </w:rPr>
              <w:t>Selling and marketing</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80" w:type="dxa"/>
            <w:vAlign w:val="bottom"/>
          </w:tcPr>
          <w:p>
            <w:pPr>
              <w:ind w:left="120"/>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jc w:val="right"/>
              <w:ind w:right="19"/>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600" w:type="dxa"/>
            <w:vAlign w:val="bottom"/>
            <w:gridSpan w:val="2"/>
          </w:tcPr>
          <w:p>
            <w:pPr>
              <w:ind w:left="240"/>
              <w:spacing w:after="0"/>
              <w:rPr>
                <w:sz w:val="20"/>
                <w:szCs w:val="20"/>
                <w:color w:val="auto"/>
              </w:rPr>
            </w:pPr>
            <w:r>
              <w:rPr>
                <w:rFonts w:ascii="Arial" w:cs="Arial" w:eastAsia="Arial" w:hAnsi="Arial"/>
                <w:sz w:val="18"/>
                <w:szCs w:val="18"/>
                <w:color w:val="auto"/>
              </w:rPr>
              <w:t>—</w:t>
            </w:r>
          </w:p>
        </w:tc>
      </w:tr>
      <w:tr>
        <w:trPr>
          <w:trHeight w:val="216"/>
        </w:trPr>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380" w:type="dxa"/>
            <w:vAlign w:val="bottom"/>
            <w:tcBorders>
              <w:bottom w:val="single" w:sz="8" w:color="auto"/>
            </w:tcBorders>
            <w:shd w:val="clear" w:color="auto" w:fill="CCEEFF"/>
          </w:tcPr>
          <w:p>
            <w:pPr>
              <w:ind w:left="120"/>
              <w:spacing w:after="0"/>
              <w:rPr>
                <w:sz w:val="20"/>
                <w:szCs w:val="20"/>
                <w:color w:val="auto"/>
              </w:rPr>
            </w:pPr>
            <w:r>
              <w:rPr>
                <w:rFonts w:ascii="Arial" w:cs="Arial" w:eastAsia="Arial" w:hAnsi="Arial"/>
                <w:sz w:val="18"/>
                <w:szCs w:val="18"/>
                <w:color w:val="auto"/>
                <w:w w:val="79"/>
              </w:rPr>
              <w:t>428</w:t>
            </w:r>
          </w:p>
        </w:tc>
        <w:tc>
          <w:tcPr>
            <w:tcW w:w="4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290</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879</w:t>
            </w:r>
          </w:p>
        </w:tc>
        <w:tc>
          <w:tcPr>
            <w:tcW w:w="46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747</w:t>
            </w:r>
          </w:p>
        </w:tc>
        <w:tc>
          <w:tcPr>
            <w:tcW w:w="100" w:type="dxa"/>
            <w:vAlign w:val="bottom"/>
            <w:shd w:val="clear" w:color="auto" w:fill="CCEEFF"/>
          </w:tcPr>
          <w:p>
            <w:pPr>
              <w:spacing w:after="0"/>
              <w:rPr>
                <w:sz w:val="18"/>
                <w:szCs w:val="18"/>
                <w:color w:val="auto"/>
              </w:rPr>
            </w:pPr>
          </w:p>
        </w:tc>
      </w:tr>
      <w:tr>
        <w:trPr>
          <w:trHeight w:val="222"/>
        </w:trPr>
        <w:tc>
          <w:tcPr>
            <w:tcW w:w="6920" w:type="dxa"/>
            <w:vAlign w:val="bottom"/>
          </w:tcPr>
          <w:p>
            <w:pPr>
              <w:spacing w:after="0"/>
              <w:rPr>
                <w:sz w:val="19"/>
                <w:szCs w:val="19"/>
                <w:color w:val="auto"/>
              </w:rPr>
            </w:pP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380" w:type="dxa"/>
            <w:vAlign w:val="bottom"/>
          </w:tcPr>
          <w:p>
            <w:pPr>
              <w:ind w:left="120"/>
              <w:spacing w:after="0"/>
              <w:rPr>
                <w:sz w:val="20"/>
                <w:szCs w:val="20"/>
                <w:color w:val="auto"/>
              </w:rPr>
            </w:pPr>
            <w:r>
              <w:rPr>
                <w:rFonts w:ascii="Arial" w:cs="Arial" w:eastAsia="Arial" w:hAnsi="Arial"/>
                <w:sz w:val="18"/>
                <w:szCs w:val="18"/>
                <w:color w:val="auto"/>
                <w:w w:val="79"/>
              </w:rPr>
              <w:t>567</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1,660</w:t>
            </w:r>
          </w:p>
        </w:tc>
        <w:tc>
          <w:tcPr>
            <w:tcW w:w="5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1,186</w:t>
            </w:r>
          </w:p>
        </w:tc>
        <w:tc>
          <w:tcPr>
            <w:tcW w:w="9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2,246</w:t>
            </w:r>
          </w:p>
        </w:tc>
        <w:tc>
          <w:tcPr>
            <w:tcW w:w="100" w:type="dxa"/>
            <w:vAlign w:val="bottom"/>
          </w:tcPr>
          <w:p>
            <w:pPr>
              <w:spacing w:after="0"/>
              <w:rPr>
                <w:sz w:val="19"/>
                <w:szCs w:val="19"/>
                <w:color w:val="auto"/>
              </w:rPr>
            </w:pPr>
          </w:p>
        </w:tc>
      </w:tr>
      <w:tr>
        <w:trPr>
          <w:trHeight w:val="20"/>
        </w:trPr>
        <w:tc>
          <w:tcPr>
            <w:tcW w:w="69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remaining facility lease charges included in the restructuring liabilities will be paid out through fiscal 2018.</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Commitments and Contingencies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Purchase commitments</w:t>
      </w:r>
    </w:p>
    <w:p>
      <w:pPr>
        <w:spacing w:after="0" w:line="96" w:lineRule="exact"/>
        <w:rPr>
          <w:sz w:val="20"/>
          <w:szCs w:val="20"/>
          <w:color w:val="auto"/>
        </w:rPr>
      </w:pPr>
    </w:p>
    <w:p>
      <w:pPr>
        <w:jc w:val="both"/>
        <w:ind w:right="58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repayment of all expenses incurred through the date of cancellation. As of July 30, 2011, the total value of open purchase orders with these foundries was approximately $259.1 million.</w:t>
      </w:r>
    </w:p>
    <w:p>
      <w:pPr>
        <w:spacing w:after="0" w:line="134"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Intellectual property indemnification</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1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Contingencies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i w:val="1"/>
          <w:iCs w:val="1"/>
          <w:color w:val="auto"/>
        </w:rPr>
        <w:t>IPO Securities Litigation</w:t>
      </w:r>
      <w:r>
        <w:rPr>
          <w:rFonts w:ascii="Arial" w:cs="Arial" w:eastAsia="Arial" w:hAnsi="Arial"/>
          <w:sz w:val="16"/>
          <w:szCs w:val="16"/>
          <w:color w:val="auto"/>
        </w:rPr>
        <w:t>. In 2001, two putative class action lawsuits were filed in the United States District Court for the Southern District of New York</w:t>
      </w:r>
      <w:r>
        <w:rPr>
          <w:rFonts w:ascii="Arial" w:cs="Arial" w:eastAsia="Arial" w:hAnsi="Arial"/>
          <w:sz w:val="16"/>
          <w:szCs w:val="16"/>
          <w:i w:val="1"/>
          <w:iCs w:val="1"/>
          <w:color w:val="auto"/>
        </w:rPr>
        <w:t xml:space="preserve"> </w:t>
      </w:r>
      <w:r>
        <w:rPr>
          <w:rFonts w:ascii="Arial" w:cs="Arial" w:eastAsia="Arial" w:hAnsi="Arial"/>
          <w:sz w:val="16"/>
          <w:szCs w:val="16"/>
          <w:color w:val="auto"/>
        </w:rPr>
        <w:t>concerning certain alleged underwriting practices related to the Company’s initial public offering (the “IPO”) on June 29, 2000. The actions were consolidated and a consolidated complaint was filed, naming as defendants certain investment banks that participated in the IPO, the Company, and two of its officers, one of whom is also a director. Plaintiffs claim that defendants violated certain provisions of the Securities Act of 1933, as amended, and the Securities Exchange Act of 1934, as amended (the “Exchange Act”), by allegedly failing to disclose that the underwriters received “excessive” and undisclosed commissions and entered into unlawful “tie-in” agreements with certain of their clients. The consolidated complaint seeks unspecified damages, interest and fees. In addition, this case has been coordinated with hundreds of other lawsuits filed by plaintiffs against underwriters and issuers for approximately 300 other IPOs. Defendants in the coordinated proceedings moved to dismiss the actions. In February 2003, the trial court granted the motions in part and denied them in part, allowing certain claims to proceed.</w:t>
      </w:r>
    </w:p>
    <w:p>
      <w:pPr>
        <w:spacing w:after="0" w:line="1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45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parties have reached a global settlement of the coordinated litigation. Under the settlement, the insurers will pay the full amount of settlement share allocated to the Company, and the Company will bear no financial liability. The Company and other defendants will receive complete dismissals from the case. In 2009, the Court issued an order of final approval of the settlement. Certain objectors filed appeals, a number of which were dismissed by agreement or by the appellate court. Following remand from the appellate court, in August 2011, the district court issued an order determining that the last remaining appellant was not a class member and thus lacked standing to object to the settlement. If for any reason the settlement does not become effective, the Company believes it has meritorious defenses to the claims against it and intends to defend the action vigorously.</w:t>
      </w:r>
    </w:p>
    <w:p>
      <w:pPr>
        <w:spacing w:after="0" w:line="12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Section 16(b) Litigation</w:t>
      </w:r>
      <w:r>
        <w:rPr>
          <w:rFonts w:ascii="Arial" w:cs="Arial" w:eastAsia="Arial" w:hAnsi="Arial"/>
          <w:sz w:val="16"/>
          <w:szCs w:val="16"/>
          <w:color w:val="auto"/>
        </w:rPr>
        <w:t>. On October 9, 2007, a purported shareholder of the Company filed a complaint for violation of Section 16(b) of the Exchange Act,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which prohibits short swing trading, against the Company’s IPO underwriters. The complaint </w:t>
      </w:r>
      <w:r>
        <w:rPr>
          <w:rFonts w:ascii="Arial" w:cs="Arial" w:eastAsia="Arial" w:hAnsi="Arial"/>
          <w:sz w:val="16"/>
          <w:szCs w:val="16"/>
          <w:i w:val="1"/>
          <w:iCs w:val="1"/>
          <w:color w:val="auto"/>
        </w:rPr>
        <w:t>Vanessa Simmonds v. The Goldman Sachs Group, et al.</w:t>
      </w:r>
      <w:r>
        <w:rPr>
          <w:rFonts w:ascii="Arial" w:cs="Arial" w:eastAsia="Arial" w:hAnsi="Arial"/>
          <w:sz w:val="16"/>
          <w:szCs w:val="16"/>
          <w:color w:val="auto"/>
        </w:rPr>
        <w:t>, Case</w:t>
      </w:r>
    </w:p>
    <w:p>
      <w:pPr>
        <w:ind w:right="60"/>
        <w:spacing w:after="0" w:line="287" w:lineRule="auto"/>
        <w:rPr>
          <w:sz w:val="20"/>
          <w:szCs w:val="20"/>
          <w:color w:val="auto"/>
        </w:rPr>
      </w:pPr>
      <w:r>
        <w:rPr>
          <w:rFonts w:ascii="Arial" w:cs="Arial" w:eastAsia="Arial" w:hAnsi="Arial"/>
          <w:sz w:val="16"/>
          <w:szCs w:val="16"/>
          <w:color w:val="auto"/>
        </w:rPr>
        <w:t>No. C07-1632 filed in District Court for the Western District of Washington, seeks the recovery of short swing profits. The Company is named as a nominal defendant only, and no recovery is sought from the Company. In March 2009, the district court granted a motion to dismiss filed by the underwriter defendants, which caused the case against the Company to be dismissed. The plaintiff appealed to the U.S. Court of Appeals for the Ninth Circuit, and in December 2010, the Ninth Circuit reversed the dismissal and remanded to the district court. On January 25, 2011, the Ninth Circuit entered an Order staying the mandate pending the filing of petitions for writ of certiorari in the United States Supreme Court by the underwriter defendants. No discovery has taken place. Both sides have filed petitions for writ of certiorari to the United States Supreme Court. The Supreme Court denied plaintiff’s writ, but granted the underwriters’ writ, which argued that the case should have been dismissed on statute of limitations grounds. A decision is expected during the next term of court, October 2011-June 2012. If the Supreme Court reverses the Ninth Circuit, the case will be concluded. If the Supreme Court affirms the Ninth Circuit, the case will be remanded to the District Court for further proceedings.</w:t>
      </w:r>
    </w:p>
    <w:p>
      <w:pPr>
        <w:spacing w:after="0" w:line="120"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Marvell Semiconductor, Inc. (“MSI”) and three of its officers for allegedly improperly obtaining and using information and technologies during the course of the negotiations with its personnel regarding the potential acquisition of certain Jasmine assets by MSI.</w:t>
      </w:r>
    </w:p>
    <w:p>
      <w:pPr>
        <w:spacing w:after="0" w:line="107" w:lineRule="exact"/>
        <w:rPr>
          <w:sz w:val="20"/>
          <w:szCs w:val="20"/>
          <w:color w:val="auto"/>
        </w:rPr>
      </w:pPr>
    </w:p>
    <w:p>
      <w:pPr>
        <w:ind w:right="60" w:firstLine="456"/>
        <w:spacing w:after="0" w:line="318" w:lineRule="auto"/>
        <w:rPr>
          <w:sz w:val="20"/>
          <w:szCs w:val="20"/>
          <w:color w:val="auto"/>
        </w:rPr>
      </w:pPr>
      <w:r>
        <w:rPr>
          <w:rFonts w:ascii="Arial" w:cs="Arial" w:eastAsia="Arial" w:hAnsi="Arial"/>
          <w:sz w:val="15"/>
          <w:szCs w:val="15"/>
          <w:color w:val="auto"/>
        </w:rPr>
        <w:t>The case proceeded to trial on September 20, 2010. On November 24, 2010, a Santa Clara County jury returned a verdict in favor of MSI on all claims. On January 7, 2011, the Court entered judgment in MSI’s favor. Pursuant to California Civil Procedure provisions, Jasmine filed motions for a new trial and for a judgment notwithstanding the verdict. These motions were heard by the Court on February 25, 2011 and denied in written orders. Jasmine filed a notice of appeal in March 2011 and MSI intends to contest any such appeal vigorously. The Company does not believe, based on currently available facts and circumstances, that it is reasonably possible to predict the final outcome of this case and, as such, the Company has not accrued for any amount as of July 30, 2011.</w:t>
      </w:r>
    </w:p>
    <w:p>
      <w:pPr>
        <w:spacing w:after="0" w:line="100"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i w:val="1"/>
          <w:iCs w:val="1"/>
          <w:color w:val="auto"/>
        </w:rPr>
        <w:t>Wage and Hour Class Action</w:t>
      </w:r>
      <w:r>
        <w:rPr>
          <w:rFonts w:ascii="Arial" w:cs="Arial" w:eastAsia="Arial" w:hAnsi="Arial"/>
          <w:sz w:val="16"/>
          <w:szCs w:val="16"/>
          <w:color w:val="auto"/>
        </w:rPr>
        <w:t>. On October 18, 2006, Dan Holton (“Holton”), a former employee of MSI, filed a civil complaint in Santa Clara County</w:t>
      </w:r>
      <w:r>
        <w:rPr>
          <w:rFonts w:ascii="Arial" w:cs="Arial" w:eastAsia="Arial" w:hAnsi="Arial"/>
          <w:sz w:val="16"/>
          <w:szCs w:val="16"/>
          <w:i w:val="1"/>
          <w:iCs w:val="1"/>
          <w:color w:val="auto"/>
        </w:rPr>
        <w:t xml:space="preserve"> </w:t>
      </w:r>
      <w:r>
        <w:rPr>
          <w:rFonts w:ascii="Arial" w:cs="Arial" w:eastAsia="Arial" w:hAnsi="Arial"/>
          <w:sz w:val="16"/>
          <w:szCs w:val="16"/>
          <w:color w:val="auto"/>
        </w:rPr>
        <w:t>Superior Court. Holton alleges that MSI misclassified him as an exempt employee. Holton claims that due to its misclassification MSI owes him unpaid wages for overtime, penalties for missed meal periods, and various other penalties under the California Labor Code, as well as interest. Holton also pursues a cause of action for unfair business practices under the California Business &amp; Profession Code. Holton brought his complaint as a class action. On July 8, 2009, the Court granted certification of the following class: “All Individual Contributor Engineers who held the title of PCB Designer, Associate Engineer, Engineer, Staff Engineer and Senior Engineers, who at any time during the class period while holding these positions did not have a degree above a baccalaureate degree nor a degree above a baccalaureate degree in a field of science related to the work performed, and worked for MSI in California, at any time from October 19, 2002 through the present.” MSI disputes all of plaintiff’s class claims, and intends to defend this matter vigorously. On June 23, 2011, MSI filed a motion for decertification of the class, which was heard by the Court on August 25, 2011. The parties are currently awaiting a decision from the Court. The matter has been set for trial on October 17, 2011.</w:t>
      </w:r>
    </w:p>
    <w:p>
      <w:pPr>
        <w:spacing w:after="0" w:line="123"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 xml:space="preserve">Carnegie Mellon Litigation. </w:t>
      </w:r>
      <w:r>
        <w:rPr>
          <w:rFonts w:ascii="Arial" w:cs="Arial" w:eastAsia="Arial" w:hAnsi="Arial"/>
          <w:sz w:val="16"/>
          <w:szCs w:val="16"/>
          <w:color w:val="auto"/>
        </w:rPr>
        <w:t>On March 6, 2009, Carnegie Mellon University (“CMU”) filed a complaint in the United States District Court for the Western</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of Pennsylvania naming MSI and the Company as defendants and alleging patent infringement. CMU has asserted two patents (U.S. Patent Nos. 6,201,839 and 6,438,180) purportedly relating to read-channel integrated circuit devices and the hard disk drive products incorporating such devices. The complaint seeks unspecified damages and an injunction. On June 1, 2009, MSI and the Company filed their answers and MSI filed counterclaims to the complaint seeking declaratory judgments of non-infringement and invalidity as to both of the asserted patents. The claim construction hearing was held on April 12 and 13, 2010, and a ruling was issued on October 1, 2010. On April 29, 2010, MSI and the Company filed their amended answers and counterclaims. The Company and MSI filed a motion for partial summary judgment of invalidity on December 22, 2010. Two hearings on this matter were held on March 31, 2011 and May 17, 2011, respectively. The Court has not yet scheduled a trial date. MSI and the Company believe that they do not infringe any valid and enforceable claims of the asserted CMU patents and intend to contest this action vigorously.</w:t>
      </w:r>
    </w:p>
    <w:p>
      <w:pPr>
        <w:spacing w:after="0" w:line="120"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i w:val="1"/>
          <w:iCs w:val="1"/>
          <w:color w:val="auto"/>
        </w:rPr>
        <w:t>Xpoint Patent Litigation</w:t>
      </w:r>
      <w:r>
        <w:rPr>
          <w:rFonts w:ascii="Arial" w:cs="Arial" w:eastAsia="Arial" w:hAnsi="Arial"/>
          <w:sz w:val="18"/>
          <w:szCs w:val="18"/>
          <w:color w:val="auto"/>
        </w:rPr>
        <w:t>. On August 21, 2009, Xpoint Technologies, Inc. filed a complaint in the United States District of Delaware, which names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 MSI and thirty-six other companies as defendants. The complaint alleged infringement of U.S. Patent No. 5,913,028 which purportedly relates to data traffic delivery. The complaint seeks unspecified damages and an injunction. A first amended complaint was filed on September 18, 2009 and a second amended complaint was filed on August 20, 2010. On October 28, 2009, the Company was dismissed from the lawsuit. On April 20, 2011, MSI was dismissed from the lawsuit.</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i w:val="1"/>
          <w:iCs w:val="1"/>
          <w:color w:val="auto"/>
        </w:rPr>
        <w:t>USEI Litigation</w:t>
      </w:r>
      <w:r>
        <w:rPr>
          <w:rFonts w:ascii="Arial" w:cs="Arial" w:eastAsia="Arial" w:hAnsi="Arial"/>
          <w:sz w:val="18"/>
          <w:szCs w:val="18"/>
          <w:color w:val="auto"/>
        </w:rPr>
        <w:t>. On October 9, 2009, U.S. Ethernet Innovations, LLC (“USEI”) filed a complaint in the Eastern District of Texas, in which USEI has</w:t>
      </w:r>
      <w:r>
        <w:rPr>
          <w:rFonts w:ascii="Arial" w:cs="Arial" w:eastAsia="Arial" w:hAnsi="Arial"/>
          <w:sz w:val="18"/>
          <w:szCs w:val="18"/>
          <w:i w:val="1"/>
          <w:iCs w:val="1"/>
          <w:color w:val="auto"/>
        </w:rPr>
        <w:t xml:space="preserve"> </w:t>
      </w:r>
      <w:r>
        <w:rPr>
          <w:rFonts w:ascii="Arial" w:cs="Arial" w:eastAsia="Arial" w:hAnsi="Arial"/>
          <w:sz w:val="18"/>
          <w:szCs w:val="18"/>
          <w:color w:val="auto"/>
        </w:rPr>
        <w:t>accused a number of system manufacturers, including the Company’s customers, of patent infringement (the “USEI litigation”). Specifically, USEI has asserted that these customers infringe U.S. Patent Nos. 5,307,459, 5,434,872, 5,732,094, and 5,299,313 (collectively, the “USEI patents in suit”), which purportedly relate to Ethernet technologies. The complaint seeks unspecified damages and an injunction.</w:t>
      </w:r>
    </w:p>
    <w:p>
      <w:pPr>
        <w:spacing w:after="0" w:line="143"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Court issued an order granting the Defendants’ motion to transfer the action to the Northern District of California; the case was formally transferred on August 23, 2010. A technology tutorial hearing was held on February 25, 2010. A claim construction hearing is scheduled for October 28, 2011. The Court has not yet set dates for trial. MSI believes that it does not infringe any valid and enforceable claim of the USEI patents in suit, and intends to litigate this action vigorously.</w:t>
      </w:r>
    </w:p>
    <w:p>
      <w:pPr>
        <w:spacing w:after="0" w:line="113"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i w:val="1"/>
          <w:iCs w:val="1"/>
          <w:color w:val="auto"/>
        </w:rPr>
        <w:t xml:space="preserve">Lake Cherokee Patent Litigation. </w:t>
      </w:r>
      <w:r>
        <w:rPr>
          <w:rFonts w:ascii="Arial" w:cs="Arial" w:eastAsia="Arial" w:hAnsi="Arial"/>
          <w:sz w:val="16"/>
          <w:szCs w:val="16"/>
          <w:color w:val="auto"/>
        </w:rPr>
        <w:t>On June 30, 2010, Lake Cherokee Hard Drive Technologies, L.L.C. filed a complaint in the United States District Court</w:t>
      </w:r>
      <w:r>
        <w:rPr>
          <w:rFonts w:ascii="Arial" w:cs="Arial" w:eastAsia="Arial" w:hAnsi="Arial"/>
          <w:sz w:val="16"/>
          <w:szCs w:val="16"/>
          <w:i w:val="1"/>
          <w:iCs w:val="1"/>
          <w:color w:val="auto"/>
        </w:rPr>
        <w:t xml:space="preserve"> </w:t>
      </w:r>
      <w:r>
        <w:rPr>
          <w:rFonts w:ascii="Arial" w:cs="Arial" w:eastAsia="Arial" w:hAnsi="Arial"/>
          <w:sz w:val="16"/>
          <w:szCs w:val="16"/>
          <w:color w:val="auto"/>
        </w:rPr>
        <w:t>in the Eastern District of Texas. The complaint names MSI and seven other defendants, and alleges infringement of United States Patent Nos. 5,844,738 and 5,978,162 (collectively, the “Lake Cherokee patents in suit”). The Lake Cherokee patents in suit are purportedly relating to read-channel integrated circuit devices, and allegedly, to certain unspecified hard disk drive products incorporating such devices. The complaint seeks unspecified damages and a permanent injunction. MSI filed its answer and counterclaims to the complaint on September 13, 2010. Defendants filed a motion to transfer on April 1, 2011. Lake Cherokee filed an amended complaint on April 21, 2011. MSI filed its answer and counterclaims to the amended complaint on May 9, 2011. A Markman hearing is scheduled for May 23, 2012, and trial is set for August 5, 2013. MSI intends to vigorously defend this action.</w:t>
      </w:r>
    </w:p>
    <w:p>
      <w:pPr>
        <w:spacing w:after="0" w:line="118"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i w:val="1"/>
          <w:iCs w:val="1"/>
          <w:color w:val="auto"/>
        </w:rPr>
        <w:t xml:space="preserve">APT Patent Litigation. </w:t>
      </w:r>
      <w:r>
        <w:rPr>
          <w:rFonts w:ascii="Arial" w:cs="Arial" w:eastAsia="Arial" w:hAnsi="Arial"/>
          <w:sz w:val="16"/>
          <w:szCs w:val="16"/>
          <w:color w:val="auto"/>
        </w:rPr>
        <w:t>On January 18, 2011, Advanced Processor Technologies LLC filed a complaint in the United States District Court in the Eastern</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of Texas. The complaint names MSI and eight other defendants and alleges infringement of United States Patent Nos. 6,047,359 (“’359 patent”) and 5,796,978 (“’978 patent”). The asserted patents purportedly relate to microprocessor technologies. The complaint seeks unspecified damages and a permanent injunction. A first amended complaint was filed on January 26, 2011. The first amended complaint continues to assert the ‘359 patent against MSI, but appears to no longer assert the ‘978 patent against MSI. MSI filed its answer and counterclaims on April 15, 2011. MSI intends to vigorously defend this action.</w:t>
      </w:r>
    </w:p>
    <w:p>
      <w:pPr>
        <w:spacing w:after="0" w:line="116"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i w:val="1"/>
          <w:iCs w:val="1"/>
          <w:color w:val="auto"/>
        </w:rPr>
        <w:t xml:space="preserve">LAMD Patent Litigations. </w:t>
      </w:r>
      <w:r>
        <w:rPr>
          <w:rFonts w:ascii="Arial" w:cs="Arial" w:eastAsia="Arial" w:hAnsi="Arial"/>
          <w:sz w:val="16"/>
          <w:szCs w:val="16"/>
          <w:color w:val="auto"/>
        </w:rPr>
        <w:t>On October 11, 2010, Marvell International Ltd. (“MIL”) filed a complaint against Link-A-Media Devices Corporation</w:t>
      </w:r>
      <w:r>
        <w:rPr>
          <w:rFonts w:ascii="Arial" w:cs="Arial" w:eastAsia="Arial" w:hAnsi="Arial"/>
          <w:sz w:val="16"/>
          <w:szCs w:val="16"/>
          <w:i w:val="1"/>
          <w:iCs w:val="1"/>
          <w:color w:val="auto"/>
        </w:rPr>
        <w:t xml:space="preserve"> </w:t>
      </w:r>
      <w:r>
        <w:rPr>
          <w:rFonts w:ascii="Arial" w:cs="Arial" w:eastAsia="Arial" w:hAnsi="Arial"/>
          <w:sz w:val="16"/>
          <w:szCs w:val="16"/>
          <w:color w:val="auto"/>
        </w:rPr>
        <w:t>(“LAMD”) in the United States District Court for the District of Delaware. The complaint asserts that LAMD infringes its United States Patent Nos. 7,328,395, 7,751,138, 7,099,411 and 7,228,485. On June 30, 2011, MIL filed a motion to amend its complaint to add U.S. Patent Nos. 6,903,448 and 7,528,013. The complaint seeks unspecified damages and a permanent injunction. A claim construction hearing is scheduled for May 25, 2012, and trial is set for July 23, 2012.</w:t>
      </w:r>
    </w:p>
    <w:p>
      <w:pPr>
        <w:spacing w:after="0" w:line="113" w:lineRule="exact"/>
        <w:rPr>
          <w:sz w:val="20"/>
          <w:szCs w:val="20"/>
          <w:color w:val="auto"/>
        </w:rPr>
      </w:pPr>
    </w:p>
    <w:p>
      <w:pPr>
        <w:ind w:right="380" w:firstLine="456"/>
        <w:spacing w:after="0" w:line="298" w:lineRule="auto"/>
        <w:rPr>
          <w:sz w:val="20"/>
          <w:szCs w:val="20"/>
          <w:color w:val="auto"/>
        </w:rPr>
      </w:pPr>
      <w:r>
        <w:rPr>
          <w:rFonts w:ascii="Arial" w:cs="Arial" w:eastAsia="Arial" w:hAnsi="Arial"/>
          <w:sz w:val="16"/>
          <w:szCs w:val="16"/>
          <w:color w:val="auto"/>
        </w:rPr>
        <w:t>On February 10, 2011, LAMD filed a complaint against MSI in the United States District Court for the Northern District of California. The complaint asserts that MSI infringes LAMD’s United States Patent No. 7,590,927. The complaint seeks unspecified damages and a permanent injunction. MSI filed its answer and counterclaims on May 3, 2011. MSI believes that it does not infringe any valid and enforceable claim of the LAMD patent in suit. A claim construction hearing is scheduled for February 21, 2012, and trial is set for October 15, 2012. MSI intends to litigate both actions vigorously.</w:t>
      </w:r>
    </w:p>
    <w:p>
      <w:pPr>
        <w:spacing w:after="0" w:line="11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i w:val="1"/>
          <w:iCs w:val="1"/>
          <w:color w:val="auto"/>
        </w:rPr>
        <w:t>MOSAID Litigation</w:t>
      </w:r>
      <w:r>
        <w:rPr>
          <w:rFonts w:ascii="Arial" w:cs="Arial" w:eastAsia="Arial" w:hAnsi="Arial"/>
          <w:sz w:val="18"/>
          <w:szCs w:val="18"/>
          <w:color w:val="auto"/>
        </w:rPr>
        <w:t>. On March 16, 2011, MOSAID Technologies Inc. filed suit in the Eastern District of Texas against MSI and 16 other companies. The</w:t>
      </w:r>
      <w:r>
        <w:rPr>
          <w:rFonts w:ascii="Arial" w:cs="Arial" w:eastAsia="Arial" w:hAnsi="Arial"/>
          <w:sz w:val="18"/>
          <w:szCs w:val="18"/>
          <w:i w:val="1"/>
          <w:iCs w:val="1"/>
          <w:color w:val="auto"/>
        </w:rPr>
        <w:t xml:space="preserve"> </w:t>
      </w:r>
      <w:r>
        <w:rPr>
          <w:rFonts w:ascii="Arial" w:cs="Arial" w:eastAsia="Arial" w:hAnsi="Arial"/>
          <w:sz w:val="18"/>
          <w:szCs w:val="18"/>
          <w:color w:val="auto"/>
        </w:rPr>
        <w:t>suit alleges that the defendants’ products, which operate in compliance with the IEEE 802.11a, 802.11b, 802.11g, and 802.11n standards, infringe the six asserted patents (U.S. Patent nos. 5,131,006; 5,151,920; 5,422,887; 5,706,428; 6,563,768; 6,992,972). MSI filed its answer and counterclaims on June 9, 2011. MSI intends to vigorously defend this action.</w:t>
      </w:r>
    </w:p>
    <w:p>
      <w:pPr>
        <w:spacing w:after="0" w:line="143"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i w:val="1"/>
          <w:iCs w:val="1"/>
          <w:color w:val="auto"/>
        </w:rPr>
        <w:t>Azure Networks Litigation</w:t>
      </w:r>
      <w:r>
        <w:rPr>
          <w:rFonts w:ascii="Arial" w:cs="Arial" w:eastAsia="Arial" w:hAnsi="Arial"/>
          <w:sz w:val="18"/>
          <w:szCs w:val="18"/>
          <w:color w:val="auto"/>
        </w:rPr>
        <w:t>. On March 22, 2011, Azure Networks LLC. filed suit in the Eastern District of Texas against MSI and eight other companies.</w:t>
      </w:r>
      <w:r>
        <w:rPr>
          <w:rFonts w:ascii="Arial" w:cs="Arial" w:eastAsia="Arial" w:hAnsi="Arial"/>
          <w:sz w:val="18"/>
          <w:szCs w:val="18"/>
          <w:i w:val="1"/>
          <w:iCs w:val="1"/>
          <w:color w:val="auto"/>
        </w:rPr>
        <w:t xml:space="preserve"> </w:t>
      </w:r>
      <w:r>
        <w:rPr>
          <w:rFonts w:ascii="Arial" w:cs="Arial" w:eastAsia="Arial" w:hAnsi="Arial"/>
          <w:sz w:val="18"/>
          <w:szCs w:val="18"/>
          <w:color w:val="auto"/>
        </w:rPr>
        <w:t>The suit alleges that MSI’s Bluetooth products infringe its U.S. Patent No. 7,756,129. MSI filed its answer and counterclaims on July 20, 2011. MSI intends to vigorously defend this action.</w:t>
      </w:r>
    </w:p>
    <w:p>
      <w:pPr>
        <w:spacing w:after="0" w:line="14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 xml:space="preserve">Power Management Systems Litigation. </w:t>
      </w:r>
      <w:r>
        <w:rPr>
          <w:rFonts w:ascii="Arial" w:cs="Arial" w:eastAsia="Arial" w:hAnsi="Arial"/>
          <w:sz w:val="18"/>
          <w:szCs w:val="18"/>
          <w:color w:val="auto"/>
        </w:rPr>
        <w:t>On August 22, 2011, Power Management Systems LLC (a subsidiary of Acacia Research Corp.) filed a Complaint</w:t>
      </w:r>
      <w:r>
        <w:rPr>
          <w:rFonts w:ascii="Arial" w:cs="Arial" w:eastAsia="Arial" w:hAnsi="Arial"/>
          <w:sz w:val="18"/>
          <w:szCs w:val="18"/>
          <w:i w:val="1"/>
          <w:iCs w:val="1"/>
          <w:color w:val="auto"/>
        </w:rPr>
        <w:t xml:space="preserve"> </w:t>
      </w:r>
      <w:r>
        <w:rPr>
          <w:rFonts w:ascii="Arial" w:cs="Arial" w:eastAsia="Arial" w:hAnsi="Arial"/>
          <w:sz w:val="18"/>
          <w:szCs w:val="18"/>
          <w:color w:val="auto"/>
        </w:rPr>
        <w:t>against the Company’s Delaware subsidiary, Marvell Semiconductor, Ltd. (“MSL”), in federal district court for the District of Delaware and two other defendants. The Complaint asserts U.S. Patent no. 5,504,909, which purportedly relates to a power management apparatus, against various products. The Complaint seeks unspecified damages. MSL intends to vigorously defend this action.</w:t>
      </w:r>
    </w:p>
    <w:p>
      <w:pPr>
        <w:spacing w:after="0" w:line="14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i w:val="1"/>
          <w:iCs w:val="1"/>
          <w:color w:val="auto"/>
        </w:rPr>
        <w:t xml:space="preserve">HSM/TPL Litigation. </w:t>
      </w:r>
      <w:r>
        <w:rPr>
          <w:rFonts w:ascii="Arial" w:cs="Arial" w:eastAsia="Arial" w:hAnsi="Arial"/>
          <w:sz w:val="18"/>
          <w:szCs w:val="18"/>
          <w:color w:val="auto"/>
        </w:rPr>
        <w:t>On September 1, 2011, HSM Portfolio, LLC and Technology Properties Limited, LLC filed a Complaint against the Company and</w:t>
      </w:r>
      <w:r>
        <w:rPr>
          <w:rFonts w:ascii="Arial" w:cs="Arial" w:eastAsia="Arial" w:hAnsi="Arial"/>
          <w:sz w:val="18"/>
          <w:szCs w:val="18"/>
          <w:i w:val="1"/>
          <w:iCs w:val="1"/>
          <w:color w:val="auto"/>
        </w:rPr>
        <w:t xml:space="preserve"> </w:t>
      </w:r>
      <w:r>
        <w:rPr>
          <w:rFonts w:ascii="Arial" w:cs="Arial" w:eastAsia="Arial" w:hAnsi="Arial"/>
          <w:sz w:val="18"/>
          <w:szCs w:val="18"/>
          <w:color w:val="auto"/>
        </w:rPr>
        <w:t>MSL, in federal district court for the District of Delaware. The Complaint also named numerous other defendants. The Complaint asserts U.S. Patent No. 5,030,853, purportedly relating to high speed logic and memory circuitry, against various products. The Complaint seeks unspecified damages. The Company and MSL intend to vigorously defend this action.</w:t>
      </w:r>
    </w:p>
    <w:p>
      <w:pPr>
        <w:spacing w:after="0" w:line="143" w:lineRule="exact"/>
        <w:rPr>
          <w:sz w:val="20"/>
          <w:szCs w:val="20"/>
          <w:color w:val="auto"/>
        </w:rPr>
      </w:pPr>
    </w:p>
    <w:p>
      <w:pPr>
        <w:ind w:right="160" w:firstLine="456"/>
        <w:spacing w:after="0" w:line="290"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various other legal proceedings and claims arising in the normal course of business. The legal proceedings and</w:t>
      </w:r>
      <w:r>
        <w:rPr>
          <w:rFonts w:ascii="Arial" w:cs="Arial" w:eastAsia="Arial" w:hAnsi="Arial"/>
          <w:sz w:val="16"/>
          <w:szCs w:val="16"/>
          <w:i w:val="1"/>
          <w:iCs w:val="1"/>
          <w:color w:val="auto"/>
        </w:rPr>
        <w:t xml:space="preserve"> </w:t>
      </w:r>
      <w:r>
        <w:rPr>
          <w:rFonts w:ascii="Arial" w:cs="Arial" w:eastAsia="Arial" w:hAnsi="Arial"/>
          <w:sz w:val="16"/>
          <w:szCs w:val="16"/>
          <w:color w:val="auto"/>
        </w:rPr>
        <w:t>claims described above could result in substantial costs and could divert the attention and resources of the Company’s management. Although the legal responsibility and financial impact with respect to each of these proceedings and claims cannot currently be ascertained, an unfavorable outcome in any of such actions could have a material adverse effect on the Company’s cash flows. As to each of the above mentioned legal matters, the Company is currently unable to estimate a possible loss or range of loss, if any. Litigation is subject to inherent uncertainties and unfavorable rulings could occur. An unfavorable ruling in litigation could require the Company to pay damages or one-time license fees or royalty payments, which could adversely impact gross margins and financial results in future periods, or could prevent</w:t>
      </w:r>
    </w:p>
    <w:p>
      <w:pPr>
        <w:sectPr>
          <w:pgSz w:w="11900" w:h="16838" w:orient="portrait"/>
          <w:cols w:equalWidth="0" w:num="1">
            <w:col w:w="11380"/>
          </w:cols>
          <w:pgMar w:left="240" w:top="459" w:right="279" w:bottom="1440" w:gutter="0" w:footer="0" w:header="0"/>
        </w:sectPr>
      </w:pP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16</w:t>
      </w:r>
    </w:p>
    <w:p>
      <w:pPr>
        <w:sectPr>
          <w:pgSz w:w="11900" w:h="16838" w:orient="portrait"/>
          <w:cols w:equalWidth="0" w:num="1">
            <w:col w:w="11380"/>
          </w:cols>
          <w:pgMar w:left="240" w:top="459" w:right="279" w:bottom="1440" w:gutter="0" w:footer="0" w:header="0"/>
          <w:type w:val="continuous"/>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0"/>
        <w:spacing w:after="0" w:line="298" w:lineRule="auto"/>
        <w:rPr>
          <w:sz w:val="20"/>
          <w:szCs w:val="20"/>
          <w:color w:val="auto"/>
        </w:rPr>
      </w:pPr>
      <w:r>
        <w:rPr>
          <w:rFonts w:ascii="Arial" w:cs="Arial" w:eastAsia="Arial" w:hAnsi="Arial"/>
          <w:sz w:val="16"/>
          <w:szCs w:val="16"/>
          <w:color w:val="auto"/>
        </w:rPr>
        <w:t>the Company from manufacturing or selling some of its products or limit or restrict the type of work that employees involved in such litigation may perform for the Company, which could adversely affect financial results in future periods. The Company believes that it competes lawfully and that its marketing, business and intellectual property benefit is customers and shareholders, and it will continue to conduct a vigorous defense in these proceedings. There can be no assurance that these matters will be resolved in a manner that is not adverse to the Company’s business, financial condition, results of operations or cash flows.</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80" w:firstLine="456"/>
        <w:spacing w:after="0" w:line="287"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Consolidated Balance Sheets. The Company does, however, accrue for losses for any known contingent liability, including those that may arise from indemnification provisions, when future payment is probable.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right="360" w:firstLine="456"/>
        <w:spacing w:after="0" w:line="259" w:lineRule="auto"/>
        <w:rPr>
          <w:sz w:val="20"/>
          <w:szCs w:val="20"/>
          <w:color w:val="auto"/>
        </w:rPr>
      </w:pPr>
      <w:r>
        <w:rPr>
          <w:rFonts w:ascii="Arial" w:cs="Arial" w:eastAsia="Arial" w:hAnsi="Arial"/>
          <w:sz w:val="18"/>
          <w:szCs w:val="18"/>
          <w:color w:val="auto"/>
        </w:rPr>
        <w:t>During the three months ended April 30, 2011, the Company issued stock options with a market price condition for a group of senior employees. The Company believes that such awards better align the interests of those employees with the interests of its shareholders. If the market price condition is not met within five years from the date of grant, the options automatically expire.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under the Company’s stock option plans for the six months ended July 30, 2011 is summarized below (in thousands, except per share amounts):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40" w:type="dxa"/>
            <w:vAlign w:val="bottom"/>
          </w:tcPr>
          <w:p>
            <w:pPr>
              <w:spacing w:after="0"/>
              <w:rPr>
                <w:sz w:val="14"/>
                <w:szCs w:val="14"/>
                <w:color w:val="auto"/>
              </w:rPr>
            </w:pPr>
          </w:p>
        </w:tc>
        <w:tc>
          <w:tcPr>
            <w:tcW w:w="2400" w:type="dxa"/>
            <w:vAlign w:val="bottom"/>
            <w:gridSpan w:val="5"/>
          </w:tcPr>
          <w:p>
            <w:pPr>
              <w:ind w:left="400"/>
              <w:spacing w:after="0"/>
              <w:rPr>
                <w:sz w:val="20"/>
                <w:szCs w:val="20"/>
                <w:color w:val="auto"/>
              </w:rPr>
            </w:pPr>
            <w:r>
              <w:rPr>
                <w:rFonts w:ascii="Arial" w:cs="Arial" w:eastAsia="Arial" w:hAnsi="Arial"/>
                <w:sz w:val="14"/>
                <w:szCs w:val="14"/>
                <w:b w:val="1"/>
                <w:bCs w:val="1"/>
                <w:color w:val="auto"/>
              </w:rPr>
              <w:t>Time-Based Options</w:t>
            </w:r>
          </w:p>
        </w:tc>
        <w:tc>
          <w:tcPr>
            <w:tcW w:w="2620" w:type="dxa"/>
            <w:vAlign w:val="bottom"/>
            <w:gridSpan w:val="6"/>
          </w:tcPr>
          <w:p>
            <w:pPr>
              <w:ind w:left="440"/>
              <w:spacing w:after="0"/>
              <w:rPr>
                <w:sz w:val="20"/>
                <w:szCs w:val="20"/>
                <w:color w:val="auto"/>
              </w:rPr>
            </w:pPr>
            <w:r>
              <w:rPr>
                <w:rFonts w:ascii="Arial" w:cs="Arial" w:eastAsia="Arial" w:hAnsi="Arial"/>
                <w:sz w:val="14"/>
                <w:szCs w:val="14"/>
                <w:b w:val="1"/>
                <w:bCs w:val="1"/>
                <w:color w:val="auto"/>
              </w:rPr>
              <w:t>Market-Based Options</w:t>
            </w:r>
          </w:p>
        </w:tc>
        <w:tc>
          <w:tcPr>
            <w:tcW w:w="7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40" w:type="dxa"/>
            <w:vAlign w:val="bottom"/>
            <w:gridSpan w:val="2"/>
          </w:tcPr>
          <w:p>
            <w:pPr>
              <w:ind w:left="60"/>
              <w:spacing w:after="0"/>
              <w:rPr>
                <w:sz w:val="20"/>
                <w:szCs w:val="20"/>
                <w:color w:val="auto"/>
              </w:rPr>
            </w:pPr>
            <w:r>
              <w:rPr>
                <w:rFonts w:ascii="Arial" w:cs="Arial" w:eastAsia="Arial" w:hAnsi="Arial"/>
                <w:sz w:val="14"/>
                <w:szCs w:val="14"/>
                <w:b w:val="1"/>
                <w:bCs w:val="1"/>
                <w:color w:val="auto"/>
              </w:rPr>
              <w:t>Total</w:t>
            </w:r>
          </w:p>
        </w:tc>
        <w:tc>
          <w:tcPr>
            <w:tcW w:w="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4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4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17"/>
              <w:spacing w:after="0" w:line="129" w:lineRule="exact"/>
              <w:rPr>
                <w:sz w:val="20"/>
                <w:szCs w:val="20"/>
                <w:color w:val="auto"/>
              </w:rPr>
            </w:pPr>
            <w:r>
              <w:rPr>
                <w:rFonts w:ascii="Arial" w:cs="Arial" w:eastAsia="Arial" w:hAnsi="Arial"/>
                <w:sz w:val="14"/>
                <w:szCs w:val="14"/>
                <w:b w:val="1"/>
                <w:bCs w:val="1"/>
                <w:color w:val="auto"/>
                <w:w w:val="85"/>
              </w:rPr>
              <w:t>Weighted</w:t>
            </w:r>
          </w:p>
        </w:tc>
        <w:tc>
          <w:tcPr>
            <w:tcW w:w="42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60" w:type="dxa"/>
            <w:vAlign w:val="bottom"/>
            <w:tcBorders>
              <w:top w:val="single" w:sz="8" w:color="auto"/>
            </w:tcBorders>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840" w:type="dxa"/>
            <w:vAlign w:val="bottom"/>
            <w:tcBorders>
              <w:top w:val="single" w:sz="8" w:color="auto"/>
            </w:tcBorders>
          </w:tcPr>
          <w:p>
            <w:pPr>
              <w:jc w:val="center"/>
              <w:ind w:right="57"/>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40" w:type="dxa"/>
            <w:vAlign w:val="bottom"/>
          </w:tcPr>
          <w:p>
            <w:pPr>
              <w:spacing w:after="0"/>
              <w:rPr>
                <w:sz w:val="12"/>
                <w:szCs w:val="12"/>
                <w:color w:val="auto"/>
              </w:rPr>
            </w:pPr>
          </w:p>
        </w:tc>
        <w:tc>
          <w:tcPr>
            <w:tcW w:w="1160" w:type="dxa"/>
            <w:vAlign w:val="bottom"/>
            <w:gridSpan w:val="2"/>
          </w:tcPr>
          <w:p>
            <w:pPr>
              <w:jc w:val="right"/>
              <w:ind w:right="560"/>
              <w:spacing w:after="0" w:line="149" w:lineRule="exact"/>
              <w:rPr>
                <w:sz w:val="20"/>
                <w:szCs w:val="20"/>
                <w:color w:val="auto"/>
              </w:rPr>
            </w:pPr>
            <w:r>
              <w:rPr>
                <w:rFonts w:ascii="Arial" w:cs="Arial" w:eastAsia="Arial" w:hAnsi="Arial"/>
                <w:sz w:val="14"/>
                <w:szCs w:val="14"/>
                <w:b w:val="1"/>
                <w:bCs w:val="1"/>
                <w:color w:val="auto"/>
              </w:rPr>
              <w:t>Options</w:t>
            </w:r>
          </w:p>
        </w:tc>
        <w:tc>
          <w:tcPr>
            <w:tcW w:w="100" w:type="dxa"/>
            <w:vAlign w:val="bottom"/>
          </w:tcPr>
          <w:p>
            <w:pPr>
              <w:spacing w:after="0"/>
              <w:rPr>
                <w:sz w:val="12"/>
                <w:szCs w:val="12"/>
                <w:color w:val="auto"/>
              </w:rPr>
            </w:pPr>
          </w:p>
        </w:tc>
        <w:tc>
          <w:tcPr>
            <w:tcW w:w="114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3"/>
              </w:rPr>
              <w:t>Average</w:t>
            </w:r>
          </w:p>
        </w:tc>
        <w:tc>
          <w:tcPr>
            <w:tcW w:w="940" w:type="dxa"/>
            <w:vAlign w:val="bottom"/>
            <w:gridSpan w:val="2"/>
          </w:tcPr>
          <w:p>
            <w:pPr>
              <w:ind w:left="140"/>
              <w:spacing w:after="0" w:line="149" w:lineRule="exact"/>
              <w:rPr>
                <w:sz w:val="20"/>
                <w:szCs w:val="20"/>
                <w:color w:val="auto"/>
              </w:rPr>
            </w:pPr>
            <w:r>
              <w:rPr>
                <w:rFonts w:ascii="Arial" w:cs="Arial" w:eastAsia="Arial" w:hAnsi="Arial"/>
                <w:sz w:val="14"/>
                <w:szCs w:val="14"/>
                <w:b w:val="1"/>
                <w:bCs w:val="1"/>
                <w:color w:val="auto"/>
              </w:rPr>
              <w:t>Options</w:t>
            </w:r>
          </w:p>
        </w:tc>
        <w:tc>
          <w:tcPr>
            <w:tcW w:w="200" w:type="dxa"/>
            <w:vAlign w:val="bottom"/>
          </w:tcPr>
          <w:p>
            <w:pPr>
              <w:spacing w:after="0"/>
              <w:rPr>
                <w:sz w:val="12"/>
                <w:szCs w:val="12"/>
                <w:color w:val="auto"/>
              </w:rPr>
            </w:pPr>
          </w:p>
        </w:tc>
        <w:tc>
          <w:tcPr>
            <w:tcW w:w="148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Weighted Average</w:t>
            </w:r>
          </w:p>
        </w:tc>
        <w:tc>
          <w:tcPr>
            <w:tcW w:w="86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rPr>
              <w:t>Options</w:t>
            </w:r>
          </w:p>
        </w:tc>
        <w:tc>
          <w:tcPr>
            <w:tcW w:w="280" w:type="dxa"/>
            <w:vAlign w:val="bottom"/>
          </w:tcPr>
          <w:p>
            <w:pPr>
              <w:spacing w:after="0"/>
              <w:rPr>
                <w:sz w:val="12"/>
                <w:szCs w:val="12"/>
                <w:color w:val="auto"/>
              </w:rPr>
            </w:pPr>
          </w:p>
        </w:tc>
        <w:tc>
          <w:tcPr>
            <w:tcW w:w="110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w w:val="90"/>
              </w:rPr>
              <w:t>Average Exercise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40" w:type="dxa"/>
            <w:vAlign w:val="bottom"/>
          </w:tcPr>
          <w:p>
            <w:pPr>
              <w:spacing w:after="0"/>
              <w:rPr>
                <w:sz w:val="14"/>
                <w:szCs w:val="14"/>
                <w:color w:val="auto"/>
              </w:rPr>
            </w:pPr>
          </w:p>
        </w:tc>
        <w:tc>
          <w:tcPr>
            <w:tcW w:w="116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7"/>
              </w:rPr>
              <w:t>Outstanding</w:t>
            </w:r>
          </w:p>
        </w:tc>
        <w:tc>
          <w:tcPr>
            <w:tcW w:w="124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94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w w:val="84"/>
              </w:rPr>
              <w:t>Outstanding</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2"/>
          </w:tcPr>
          <w:p>
            <w:pPr>
              <w:ind w:left="20"/>
              <w:spacing w:after="0"/>
              <w:rPr>
                <w:sz w:val="20"/>
                <w:szCs w:val="20"/>
                <w:color w:val="auto"/>
              </w:rPr>
            </w:pPr>
            <w:r>
              <w:rPr>
                <w:rFonts w:ascii="Arial" w:cs="Arial" w:eastAsia="Arial" w:hAnsi="Arial"/>
                <w:sz w:val="14"/>
                <w:szCs w:val="14"/>
                <w:b w:val="1"/>
                <w:bCs w:val="1"/>
                <w:color w:val="auto"/>
              </w:rPr>
              <w:t>Exercise Price</w:t>
            </w:r>
          </w:p>
        </w:tc>
        <w:tc>
          <w:tcPr>
            <w:tcW w:w="860" w:type="dxa"/>
            <w:vAlign w:val="bottom"/>
            <w:gridSpan w:val="2"/>
          </w:tcPr>
          <w:p>
            <w:pPr>
              <w:jc w:val="right"/>
              <w:ind w:right="140"/>
              <w:spacing w:after="0"/>
              <w:rPr>
                <w:sz w:val="20"/>
                <w:szCs w:val="20"/>
                <w:color w:val="auto"/>
              </w:rPr>
            </w:pPr>
            <w:r>
              <w:rPr>
                <w:rFonts w:ascii="Arial" w:cs="Arial" w:eastAsia="Arial" w:hAnsi="Arial"/>
                <w:sz w:val="14"/>
                <w:szCs w:val="14"/>
                <w:b w:val="1"/>
                <w:bCs w:val="1"/>
                <w:color w:val="auto"/>
                <w:w w:val="84"/>
              </w:rPr>
              <w:t>Outstanding</w:t>
            </w: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29, 2011</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56,325</w:t>
            </w:r>
          </w:p>
        </w:tc>
        <w:tc>
          <w:tcPr>
            <w:tcW w:w="4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11.96</w:t>
            </w:r>
          </w:p>
        </w:tc>
        <w:tc>
          <w:tcPr>
            <w:tcW w:w="4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56,325</w:t>
            </w:r>
          </w:p>
        </w:tc>
        <w:tc>
          <w:tcPr>
            <w:tcW w:w="1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ind w:left="420"/>
              <w:spacing w:after="0"/>
              <w:rPr>
                <w:sz w:val="20"/>
                <w:szCs w:val="20"/>
                <w:color w:val="auto"/>
              </w:rPr>
            </w:pPr>
            <w:r>
              <w:rPr>
                <w:rFonts w:ascii="Arial" w:cs="Arial" w:eastAsia="Arial" w:hAnsi="Arial"/>
                <w:sz w:val="18"/>
                <w:szCs w:val="18"/>
                <w:color w:val="auto"/>
              </w:rPr>
              <w:t>Granted</w:t>
            </w:r>
          </w:p>
        </w:tc>
        <w:tc>
          <w:tcPr>
            <w:tcW w:w="1160" w:type="dxa"/>
            <w:vAlign w:val="bottom"/>
            <w:gridSpan w:val="2"/>
          </w:tcPr>
          <w:p>
            <w:pPr>
              <w:jc w:val="right"/>
              <w:ind w:right="420"/>
              <w:spacing w:after="0"/>
              <w:rPr>
                <w:sz w:val="20"/>
                <w:szCs w:val="20"/>
                <w:color w:val="auto"/>
              </w:rPr>
            </w:pPr>
            <w:r>
              <w:rPr>
                <w:rFonts w:ascii="Arial" w:cs="Arial" w:eastAsia="Arial" w:hAnsi="Arial"/>
                <w:sz w:val="18"/>
                <w:szCs w:val="18"/>
                <w:color w:val="auto"/>
              </w:rPr>
              <w:t>2,976</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15.52</w:t>
            </w:r>
          </w:p>
        </w:tc>
        <w:tc>
          <w:tcPr>
            <w:tcW w:w="42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3,149</w:t>
            </w:r>
          </w:p>
        </w:tc>
        <w:tc>
          <w:tcPr>
            <w:tcW w:w="300" w:type="dxa"/>
            <w:vAlign w:val="bottom"/>
            <w:gridSpan w:val="2"/>
          </w:tcPr>
          <w:p>
            <w:pPr>
              <w:ind w:left="200"/>
              <w:spacing w:after="0"/>
              <w:rPr>
                <w:sz w:val="20"/>
                <w:szCs w:val="20"/>
                <w:color w:val="auto"/>
              </w:rPr>
            </w:pPr>
            <w:r>
              <w:rPr>
                <w:rFonts w:ascii="Arial" w:cs="Arial" w:eastAsia="Arial" w:hAnsi="Arial"/>
                <w:sz w:val="18"/>
                <w:szCs w:val="18"/>
                <w:color w:val="auto"/>
                <w:w w:val="79"/>
              </w:rPr>
              <w:t>$</w:t>
            </w:r>
          </w:p>
        </w:tc>
        <w:tc>
          <w:tcPr>
            <w:tcW w:w="960" w:type="dxa"/>
            <w:vAlign w:val="bottom"/>
          </w:tcPr>
          <w:p>
            <w:pPr>
              <w:ind w:left="560"/>
              <w:spacing w:after="0"/>
              <w:rPr>
                <w:sz w:val="20"/>
                <w:szCs w:val="20"/>
                <w:color w:val="auto"/>
              </w:rPr>
            </w:pPr>
            <w:r>
              <w:rPr>
                <w:rFonts w:ascii="Arial" w:cs="Arial" w:eastAsia="Arial" w:hAnsi="Arial"/>
                <w:sz w:val="18"/>
                <w:szCs w:val="18"/>
                <w:color w:val="auto"/>
                <w:w w:val="84"/>
              </w:rPr>
              <w:t>15.43</w:t>
            </w:r>
          </w:p>
        </w:tc>
        <w:tc>
          <w:tcPr>
            <w:tcW w:w="42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6,125</w:t>
            </w:r>
          </w:p>
        </w:tc>
        <w:tc>
          <w:tcPr>
            <w:tcW w:w="4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15.47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(973)</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14.90</w:t>
            </w:r>
          </w:p>
        </w:tc>
        <w:tc>
          <w:tcPr>
            <w:tcW w:w="4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138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(973)</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tcPr>
          <w:p>
            <w:pPr>
              <w:ind w:left="420"/>
              <w:spacing w:after="0"/>
              <w:rPr>
                <w:sz w:val="20"/>
                <w:szCs w:val="20"/>
                <w:color w:val="auto"/>
              </w:rPr>
            </w:pPr>
            <w:r>
              <w:rPr>
                <w:rFonts w:ascii="Arial" w:cs="Arial" w:eastAsia="Arial" w:hAnsi="Arial"/>
                <w:sz w:val="18"/>
                <w:szCs w:val="18"/>
                <w:color w:val="auto"/>
              </w:rPr>
              <w:t>Exercised or issued</w:t>
            </w:r>
          </w:p>
        </w:tc>
        <w:tc>
          <w:tcPr>
            <w:tcW w:w="1160" w:type="dxa"/>
            <w:vAlign w:val="bottom"/>
            <w:gridSpan w:val="2"/>
          </w:tcPr>
          <w:p>
            <w:pPr>
              <w:jc w:val="right"/>
              <w:ind w:right="360"/>
              <w:spacing w:after="0"/>
              <w:rPr>
                <w:sz w:val="20"/>
                <w:szCs w:val="20"/>
                <w:color w:val="auto"/>
              </w:rPr>
            </w:pPr>
            <w:r>
              <w:rPr>
                <w:rFonts w:ascii="Arial" w:cs="Arial" w:eastAsia="Arial" w:hAnsi="Arial"/>
                <w:sz w:val="18"/>
                <w:szCs w:val="18"/>
                <w:color w:val="auto"/>
              </w:rPr>
              <w:t>(2,001)</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7.95</w:t>
            </w:r>
          </w:p>
        </w:tc>
        <w:tc>
          <w:tcPr>
            <w:tcW w:w="420" w:type="dxa"/>
            <w:vAlign w:val="bottom"/>
          </w:tcPr>
          <w:p>
            <w:pPr>
              <w:spacing w:after="0"/>
              <w:rPr>
                <w:sz w:val="18"/>
                <w:szCs w:val="18"/>
                <w:color w:val="auto"/>
              </w:rPr>
            </w:pPr>
          </w:p>
        </w:tc>
        <w:tc>
          <w:tcPr>
            <w:tcW w:w="94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300" w:type="dxa"/>
            <w:vAlign w:val="bottom"/>
            <w:gridSpan w:val="2"/>
          </w:tcPr>
          <w:p>
            <w:pPr>
              <w:ind w:left="200"/>
              <w:spacing w:after="0"/>
              <w:rPr>
                <w:sz w:val="20"/>
                <w:szCs w:val="20"/>
                <w:color w:val="auto"/>
              </w:rPr>
            </w:pPr>
            <w:r>
              <w:rPr>
                <w:rFonts w:ascii="Arial" w:cs="Arial" w:eastAsia="Arial" w:hAnsi="Arial"/>
                <w:sz w:val="18"/>
                <w:szCs w:val="18"/>
                <w:color w:val="auto"/>
                <w:w w:val="79"/>
              </w:rPr>
              <w:t>$</w:t>
            </w:r>
          </w:p>
        </w:tc>
        <w:tc>
          <w:tcPr>
            <w:tcW w:w="138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80"/>
              <w:spacing w:after="0"/>
              <w:rPr>
                <w:sz w:val="20"/>
                <w:szCs w:val="20"/>
                <w:color w:val="auto"/>
              </w:rPr>
            </w:pPr>
            <w:r>
              <w:rPr>
                <w:rFonts w:ascii="Arial" w:cs="Arial" w:eastAsia="Arial" w:hAnsi="Arial"/>
                <w:sz w:val="18"/>
                <w:szCs w:val="18"/>
                <w:color w:val="auto"/>
              </w:rPr>
              <w:t>(2,001)</w:t>
            </w:r>
          </w:p>
        </w:tc>
        <w:tc>
          <w:tcPr>
            <w:tcW w:w="4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7.95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4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960" w:type="dxa"/>
            <w:vAlign w:val="bottom"/>
          </w:tcPr>
          <w:p>
            <w:pPr>
              <w:spacing w:after="0"/>
              <w:rPr>
                <w:sz w:val="2"/>
                <w:szCs w:val="2"/>
                <w:color w:val="auto"/>
              </w:rPr>
            </w:pPr>
          </w:p>
        </w:tc>
        <w:tc>
          <w:tcPr>
            <w:tcW w:w="4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Balance at July 30, 2011</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56,327</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12.24</w:t>
            </w:r>
          </w:p>
        </w:tc>
        <w:tc>
          <w:tcPr>
            <w:tcW w:w="4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3,149</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ind w:left="560"/>
              <w:spacing w:after="0"/>
              <w:rPr>
                <w:sz w:val="20"/>
                <w:szCs w:val="20"/>
                <w:color w:val="auto"/>
              </w:rPr>
            </w:pPr>
            <w:r>
              <w:rPr>
                <w:rFonts w:ascii="Arial" w:cs="Arial" w:eastAsia="Arial" w:hAnsi="Arial"/>
                <w:sz w:val="18"/>
                <w:szCs w:val="18"/>
                <w:color w:val="auto"/>
                <w:w w:val="84"/>
              </w:rPr>
              <w:t>15.43</w:t>
            </w:r>
          </w:p>
        </w:tc>
        <w:tc>
          <w:tcPr>
            <w:tcW w:w="4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59,476</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6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July 30, 2011</w:t>
            </w:r>
          </w:p>
        </w:tc>
        <w:tc>
          <w:tcPr>
            <w:tcW w:w="7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vMerge w:val="restart"/>
          </w:tcPr>
          <w:p>
            <w:pPr>
              <w:spacing w:after="0"/>
              <w:rPr>
                <w:sz w:val="20"/>
                <w:szCs w:val="20"/>
                <w:color w:val="auto"/>
              </w:rPr>
            </w:pPr>
            <w:r>
              <w:rPr>
                <w:rFonts w:ascii="Arial" w:cs="Arial" w:eastAsia="Arial" w:hAnsi="Arial"/>
                <w:sz w:val="18"/>
                <w:szCs w:val="18"/>
                <w:color w:val="auto"/>
                <w:w w:val="79"/>
              </w:rPr>
              <w:t>$</w:t>
            </w: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rPr>
              <w:t>12.22</w:t>
            </w: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gridSpan w:val="2"/>
            <w:vMerge w:val="restart"/>
          </w:tcPr>
          <w:p>
            <w:pPr>
              <w:ind w:left="200"/>
              <w:spacing w:after="0"/>
              <w:rPr>
                <w:sz w:val="20"/>
                <w:szCs w:val="20"/>
                <w:color w:val="auto"/>
              </w:rPr>
            </w:pPr>
            <w:r>
              <w:rPr>
                <w:rFonts w:ascii="Arial" w:cs="Arial" w:eastAsia="Arial" w:hAnsi="Arial"/>
                <w:sz w:val="18"/>
                <w:szCs w:val="18"/>
                <w:color w:val="auto"/>
                <w:w w:val="79"/>
              </w:rPr>
              <w:t>$</w:t>
            </w:r>
          </w:p>
        </w:tc>
        <w:tc>
          <w:tcPr>
            <w:tcW w:w="960" w:type="dxa"/>
            <w:vAlign w:val="bottom"/>
            <w:vMerge w:val="restart"/>
          </w:tcPr>
          <w:p>
            <w:pPr>
              <w:ind w:left="560"/>
              <w:spacing w:after="0"/>
              <w:rPr>
                <w:sz w:val="20"/>
                <w:szCs w:val="20"/>
                <w:color w:val="auto"/>
              </w:rPr>
            </w:pPr>
            <w:r>
              <w:rPr>
                <w:rFonts w:ascii="Arial" w:cs="Arial" w:eastAsia="Arial" w:hAnsi="Arial"/>
                <w:sz w:val="18"/>
                <w:szCs w:val="18"/>
                <w:color w:val="auto"/>
                <w:w w:val="84"/>
              </w:rPr>
              <w:t>15.43</w:t>
            </w: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40" w:type="dxa"/>
            <w:vAlign w:val="bottom"/>
            <w:gridSpan w:val="2"/>
            <w:vMerge w:val="restart"/>
          </w:tcPr>
          <w:p>
            <w:pPr>
              <w:ind w:left="280"/>
              <w:spacing w:after="0"/>
              <w:rPr>
                <w:sz w:val="20"/>
                <w:szCs w:val="20"/>
                <w:color w:val="auto"/>
              </w:rPr>
            </w:pPr>
            <w:r>
              <w:rPr>
                <w:rFonts w:ascii="Arial" w:cs="Arial" w:eastAsia="Arial" w:hAnsi="Arial"/>
                <w:sz w:val="18"/>
                <w:szCs w:val="18"/>
                <w:color w:val="auto"/>
              </w:rPr>
              <w:t>$</w:t>
            </w:r>
          </w:p>
        </w:tc>
        <w:tc>
          <w:tcPr>
            <w:tcW w:w="840" w:type="dxa"/>
            <w:vAlign w:val="bottom"/>
            <w:vMerge w:val="restart"/>
          </w:tcPr>
          <w:p>
            <w:pPr>
              <w:jc w:val="right"/>
              <w:spacing w:after="0"/>
              <w:rPr>
                <w:sz w:val="20"/>
                <w:szCs w:val="20"/>
                <w:color w:val="auto"/>
              </w:rPr>
            </w:pPr>
            <w:r>
              <w:rPr>
                <w:rFonts w:ascii="Arial" w:cs="Arial" w:eastAsia="Arial" w:hAnsi="Arial"/>
                <w:sz w:val="18"/>
                <w:szCs w:val="18"/>
                <w:color w:val="auto"/>
              </w:rPr>
              <w:t>12.38</w:t>
            </w: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160" w:type="dxa"/>
            <w:vAlign w:val="bottom"/>
            <w:gridSpan w:val="2"/>
            <w:vMerge w:val="continue"/>
          </w:tcPr>
          <w:p>
            <w:pPr>
              <w:spacing w:after="0"/>
              <w:rPr>
                <w:sz w:val="18"/>
                <w:szCs w:val="18"/>
                <w:color w:val="auto"/>
              </w:rPr>
            </w:pPr>
          </w:p>
        </w:tc>
        <w:tc>
          <w:tcPr>
            <w:tcW w:w="1160" w:type="dxa"/>
            <w:vAlign w:val="bottom"/>
            <w:gridSpan w:val="2"/>
          </w:tcPr>
          <w:p>
            <w:pPr>
              <w:jc w:val="right"/>
              <w:ind w:right="420"/>
              <w:spacing w:after="0"/>
              <w:rPr>
                <w:sz w:val="20"/>
                <w:szCs w:val="20"/>
                <w:color w:val="auto"/>
              </w:rPr>
            </w:pPr>
            <w:r>
              <w:rPr>
                <w:rFonts w:ascii="Arial" w:cs="Arial" w:eastAsia="Arial" w:hAnsi="Arial"/>
                <w:sz w:val="18"/>
                <w:szCs w:val="18"/>
                <w:color w:val="auto"/>
              </w:rPr>
              <w:t>55,133</w:t>
            </w:r>
          </w:p>
        </w:tc>
        <w:tc>
          <w:tcPr>
            <w:tcW w:w="100" w:type="dxa"/>
            <w:vAlign w:val="bottom"/>
            <w:vMerge w:val="continue"/>
          </w:tcPr>
          <w:p>
            <w:pPr>
              <w:spacing w:after="0"/>
              <w:rPr>
                <w:sz w:val="18"/>
                <w:szCs w:val="18"/>
                <w:color w:val="auto"/>
              </w:rPr>
            </w:pPr>
          </w:p>
        </w:tc>
        <w:tc>
          <w:tcPr>
            <w:tcW w:w="720" w:type="dxa"/>
            <w:vAlign w:val="bottom"/>
            <w:vMerge w:val="continue"/>
          </w:tcPr>
          <w:p>
            <w:pPr>
              <w:spacing w:after="0"/>
              <w:rPr>
                <w:sz w:val="18"/>
                <w:szCs w:val="18"/>
                <w:color w:val="auto"/>
              </w:rPr>
            </w:pPr>
          </w:p>
        </w:tc>
        <w:tc>
          <w:tcPr>
            <w:tcW w:w="42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2,964</w:t>
            </w:r>
          </w:p>
        </w:tc>
        <w:tc>
          <w:tcPr>
            <w:tcW w:w="300" w:type="dxa"/>
            <w:vAlign w:val="bottom"/>
            <w:gridSpan w:val="2"/>
            <w:vMerge w:val="continue"/>
          </w:tcPr>
          <w:p>
            <w:pPr>
              <w:spacing w:after="0"/>
              <w:rPr>
                <w:sz w:val="18"/>
                <w:szCs w:val="18"/>
                <w:color w:val="auto"/>
              </w:rPr>
            </w:pPr>
          </w:p>
        </w:tc>
        <w:tc>
          <w:tcPr>
            <w:tcW w:w="960" w:type="dxa"/>
            <w:vAlign w:val="bottom"/>
            <w:vMerge w:val="continue"/>
          </w:tcPr>
          <w:p>
            <w:pPr>
              <w:spacing w:after="0"/>
              <w:rPr>
                <w:sz w:val="18"/>
                <w:szCs w:val="18"/>
                <w:color w:val="auto"/>
              </w:rPr>
            </w:pPr>
          </w:p>
        </w:tc>
        <w:tc>
          <w:tcPr>
            <w:tcW w:w="42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58,097</w:t>
            </w:r>
          </w:p>
        </w:tc>
        <w:tc>
          <w:tcPr>
            <w:tcW w:w="440" w:type="dxa"/>
            <w:vAlign w:val="bottom"/>
            <w:gridSpan w:val="2"/>
            <w:vMerge w:val="continue"/>
          </w:tcPr>
          <w:p>
            <w:pPr>
              <w:spacing w:after="0"/>
              <w:rPr>
                <w:sz w:val="18"/>
                <w:szCs w:val="18"/>
                <w:color w:val="auto"/>
              </w:rPr>
            </w:pPr>
          </w:p>
        </w:tc>
        <w:tc>
          <w:tcPr>
            <w:tcW w:w="8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July 30, 2011</w:t>
            </w: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42,921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12.41</w:t>
            </w:r>
          </w:p>
        </w:tc>
        <w:tc>
          <w:tcPr>
            <w:tcW w:w="42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138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42,921</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aggregate intrinsic value and weighted average remaining contractual term of time-based stock options vested and expected to vest at July 30, 2011 was $225.4 million and 4.8 years, respectively.</w:t>
      </w:r>
    </w:p>
    <w:p>
      <w:pPr>
        <w:spacing w:after="0" w:line="132"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aggregate intrinsic value and weighted average remaining contractual term of market-based stock options vested and expected to vest at July 30, 2011 was $0 and 9.7 years, respectively.</w:t>
      </w:r>
    </w:p>
    <w:p>
      <w:pPr>
        <w:spacing w:after="0" w:line="132"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The aggregate intrinsic value is calculated based on the Company’s closing stock price as reported on the NASDAQ Global Select Market for all in-the-money options as of July 29, 2011.</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July 30, 2011, compensation costs related to stock options and restricted stock units not yet recognized amounted to $196.2 million.</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The unamortized compensation expense for time-based and market-based stock options will be amortized on a straight-line basis and is expected to be recognized over a weighted-average period of 2.1 years and 2.4 years, respectively. The unamortized compensation expense for restricted stock units will be amortized on a straight-line basis and is expected to be recognized over a weighted-average period of 1.8 years. Historically, the Company issued new shares to satisfy stock option exercises.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restricted stock units as follows (in thousands, except for prices):</w:t>
      </w:r>
    </w:p>
    <w:p>
      <w:pPr>
        <w:spacing w:after="0" w:line="21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8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24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4"/>
              </w:rPr>
              <w:t>Restricted</w:t>
            </w:r>
          </w:p>
        </w:tc>
        <w:tc>
          <w:tcPr>
            <w:tcW w:w="4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388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24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3"/>
              </w:rPr>
              <w:t>Stock</w:t>
            </w:r>
          </w:p>
        </w:tc>
        <w:tc>
          <w:tcPr>
            <w:tcW w:w="1620" w:type="dxa"/>
            <w:vAlign w:val="bottom"/>
            <w:gridSpan w:val="4"/>
          </w:tcPr>
          <w:p>
            <w:pPr>
              <w:ind w:left="460"/>
              <w:spacing w:after="0" w:line="149" w:lineRule="exact"/>
              <w:rPr>
                <w:sz w:val="20"/>
                <w:szCs w:val="20"/>
                <w:color w:val="auto"/>
              </w:rPr>
            </w:pPr>
            <w:r>
              <w:rPr>
                <w:rFonts w:ascii="Arial" w:cs="Arial" w:eastAsia="Arial" w:hAnsi="Arial"/>
                <w:sz w:val="14"/>
                <w:szCs w:val="14"/>
                <w:b w:val="1"/>
                <w:bCs w:val="1"/>
                <w:color w:val="auto"/>
                <w:w w:val="93"/>
              </w:rPr>
              <w:t>Weighted Average</w:t>
            </w:r>
          </w:p>
        </w:tc>
      </w:tr>
      <w:tr>
        <w:trPr>
          <w:trHeight w:val="149"/>
        </w:trPr>
        <w:tc>
          <w:tcPr>
            <w:tcW w:w="20" w:type="dxa"/>
            <w:vAlign w:val="bottom"/>
          </w:tcPr>
          <w:p>
            <w:pPr>
              <w:spacing w:after="0"/>
              <w:rPr>
                <w:sz w:val="12"/>
                <w:szCs w:val="12"/>
                <w:color w:val="auto"/>
              </w:rPr>
            </w:pPr>
          </w:p>
        </w:tc>
        <w:tc>
          <w:tcPr>
            <w:tcW w:w="388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24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5"/>
              </w:rPr>
              <w:t>Units</w:t>
            </w:r>
          </w:p>
        </w:tc>
        <w:tc>
          <w:tcPr>
            <w:tcW w:w="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2"/>
              </w:rPr>
              <w:t>Grant Date</w:t>
            </w:r>
          </w:p>
        </w:tc>
      </w:tr>
      <w:tr>
        <w:trPr>
          <w:trHeight w:val="161"/>
        </w:trPr>
        <w:tc>
          <w:tcPr>
            <w:tcW w:w="20" w:type="dxa"/>
            <w:vAlign w:val="bottom"/>
          </w:tcPr>
          <w:p>
            <w:pPr>
              <w:spacing w:after="0"/>
              <w:rPr>
                <w:sz w:val="14"/>
                <w:szCs w:val="14"/>
                <w:color w:val="auto"/>
              </w:rPr>
            </w:pPr>
          </w:p>
        </w:tc>
        <w:tc>
          <w:tcPr>
            <w:tcW w:w="3880" w:type="dxa"/>
            <w:vAlign w:val="bottom"/>
          </w:tcPr>
          <w:p>
            <w:pPr>
              <w:spacing w:after="0"/>
              <w:rPr>
                <w:sz w:val="14"/>
                <w:szCs w:val="14"/>
                <w:color w:val="auto"/>
              </w:rPr>
            </w:pPr>
          </w:p>
        </w:tc>
        <w:tc>
          <w:tcPr>
            <w:tcW w:w="3160" w:type="dxa"/>
            <w:vAlign w:val="bottom"/>
            <w:gridSpan w:val="3"/>
          </w:tcPr>
          <w:p>
            <w:pPr>
              <w:jc w:val="center"/>
              <w:ind w:left="1319"/>
              <w:spacing w:after="0"/>
              <w:rPr>
                <w:sz w:val="20"/>
                <w:szCs w:val="20"/>
                <w:color w:val="auto"/>
              </w:rPr>
            </w:pPr>
            <w:r>
              <w:rPr>
                <w:rFonts w:ascii="Arial" w:cs="Arial" w:eastAsia="Arial" w:hAnsi="Arial"/>
                <w:sz w:val="14"/>
                <w:szCs w:val="14"/>
                <w:b w:val="1"/>
                <w:bCs w:val="1"/>
                <w:color w:val="auto"/>
                <w:w w:val="87"/>
              </w:rPr>
              <w:t>Outstanding</w:t>
            </w:r>
          </w:p>
        </w:tc>
        <w:tc>
          <w:tcPr>
            <w:tcW w:w="4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Fair Value</w:t>
            </w:r>
          </w:p>
        </w:tc>
      </w:tr>
      <w:tr>
        <w:trPr>
          <w:trHeight w:val="210"/>
        </w:trPr>
        <w:tc>
          <w:tcPr>
            <w:tcW w:w="20" w:type="dxa"/>
            <w:vAlign w:val="bottom"/>
          </w:tcPr>
          <w:p>
            <w:pPr>
              <w:spacing w:after="0"/>
              <w:rPr>
                <w:sz w:val="18"/>
                <w:szCs w:val="18"/>
                <w:color w:val="auto"/>
              </w:rPr>
            </w:pPr>
          </w:p>
        </w:tc>
        <w:tc>
          <w:tcPr>
            <w:tcW w:w="38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29, 2011</w:t>
            </w:r>
          </w:p>
        </w:tc>
        <w:tc>
          <w:tcPr>
            <w:tcW w:w="19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5,486</w:t>
            </w:r>
          </w:p>
        </w:tc>
        <w:tc>
          <w:tcPr>
            <w:tcW w:w="50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18.75</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80" w:type="dxa"/>
            <w:vAlign w:val="bottom"/>
          </w:tcPr>
          <w:p>
            <w:pPr>
              <w:ind w:left="420"/>
              <w:spacing w:after="0"/>
              <w:rPr>
                <w:sz w:val="20"/>
                <w:szCs w:val="20"/>
                <w:color w:val="auto"/>
              </w:rPr>
            </w:pPr>
            <w:r>
              <w:rPr>
                <w:rFonts w:ascii="Arial" w:cs="Arial" w:eastAsia="Arial" w:hAnsi="Arial"/>
                <w:sz w:val="18"/>
                <w:szCs w:val="18"/>
                <w:color w:val="auto"/>
              </w:rPr>
              <w:t>Granted</w:t>
            </w:r>
          </w:p>
        </w:tc>
        <w:tc>
          <w:tcPr>
            <w:tcW w:w="2660" w:type="dxa"/>
            <w:vAlign w:val="bottom"/>
            <w:gridSpan w:val="2"/>
          </w:tcPr>
          <w:p>
            <w:pPr>
              <w:jc w:val="right"/>
              <w:spacing w:after="0"/>
              <w:rPr>
                <w:sz w:val="20"/>
                <w:szCs w:val="20"/>
                <w:color w:val="auto"/>
              </w:rPr>
            </w:pPr>
            <w:r>
              <w:rPr>
                <w:rFonts w:ascii="Arial" w:cs="Arial" w:eastAsia="Arial" w:hAnsi="Arial"/>
                <w:sz w:val="18"/>
                <w:szCs w:val="18"/>
                <w:color w:val="auto"/>
              </w:rPr>
              <w:t>6,019</w:t>
            </w:r>
          </w:p>
        </w:tc>
        <w:tc>
          <w:tcPr>
            <w:tcW w:w="500" w:type="dxa"/>
            <w:vAlign w:val="bottom"/>
          </w:tcPr>
          <w:p>
            <w:pPr>
              <w:spacing w:after="0"/>
              <w:rPr>
                <w:sz w:val="18"/>
                <w:szCs w:val="18"/>
                <w:color w:val="auto"/>
              </w:rPr>
            </w:pPr>
          </w:p>
        </w:tc>
        <w:tc>
          <w:tcPr>
            <w:tcW w:w="6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16.01</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Released</w:t>
            </w:r>
          </w:p>
        </w:tc>
        <w:tc>
          <w:tcPr>
            <w:tcW w:w="316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(1,221)</w:t>
            </w:r>
          </w:p>
        </w:tc>
        <w:tc>
          <w:tcPr>
            <w:tcW w:w="6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19.86</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88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920" w:type="dxa"/>
            <w:vAlign w:val="bottom"/>
          </w:tcPr>
          <w:p>
            <w:pPr>
              <w:spacing w:after="0"/>
              <w:rPr>
                <w:sz w:val="19"/>
                <w:szCs w:val="19"/>
                <w:color w:val="auto"/>
              </w:rPr>
            </w:pPr>
          </w:p>
        </w:tc>
        <w:tc>
          <w:tcPr>
            <w:tcW w:w="1240" w:type="dxa"/>
            <w:vAlign w:val="bottom"/>
            <w:gridSpan w:val="2"/>
          </w:tcPr>
          <w:p>
            <w:pPr>
              <w:jc w:val="right"/>
              <w:ind w:right="460"/>
              <w:spacing w:after="0"/>
              <w:rPr>
                <w:sz w:val="20"/>
                <w:szCs w:val="20"/>
                <w:color w:val="auto"/>
              </w:rPr>
            </w:pPr>
            <w:r>
              <w:rPr>
                <w:rFonts w:ascii="Arial" w:cs="Arial" w:eastAsia="Arial" w:hAnsi="Arial"/>
                <w:sz w:val="18"/>
                <w:szCs w:val="18"/>
                <w:color w:val="auto"/>
              </w:rPr>
              <w:t>(364)</w:t>
            </w:r>
          </w:p>
        </w:tc>
        <w:tc>
          <w:tcPr>
            <w:tcW w:w="6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17.01</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Balance at July 30, 2011</w:t>
            </w:r>
          </w:p>
        </w:tc>
        <w:tc>
          <w:tcPr>
            <w:tcW w:w="192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9,920</w:t>
            </w:r>
          </w:p>
        </w:tc>
        <w:tc>
          <w:tcPr>
            <w:tcW w:w="5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17.02</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88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480" w:firstLine="456"/>
        <w:spacing w:after="0" w:line="259" w:lineRule="auto"/>
        <w:rPr>
          <w:sz w:val="20"/>
          <w:szCs w:val="20"/>
          <w:color w:val="auto"/>
        </w:rPr>
      </w:pPr>
      <w:r>
        <w:rPr>
          <w:rFonts w:ascii="Arial" w:cs="Arial" w:eastAsia="Arial" w:hAnsi="Arial"/>
          <w:sz w:val="18"/>
          <w:szCs w:val="18"/>
          <w:color w:val="auto"/>
        </w:rPr>
        <w:t>In June 2000, the Company adopted the 2000 Employee Stock Purchase Plan (the “Purchase Plan”), and on October 22, 2009, the Purchase Plan was amended and restated (the “Restated Purchase Plan”). The Restated Purchase Plan had 20.7 million common shares reserved for issuance thereunder as of July 30, 2011.</w:t>
      </w:r>
    </w:p>
    <w:p>
      <w:pPr>
        <w:spacing w:after="0" w:line="140"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During the three and six months ended July 30, 2011, a total of 2.4 million shares were issued under the Restated Purchase Plan at a weighted-average price of $12.57. As of July 30, 2011, there was $6.9 million of unrecognized compensation cost related to the Restated Purchase Plan.</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Repurchase Program</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August 2010, the Company announced that its board of directors had authorized a stock repurchase program of up to $500 million of the Company’s common shares in open market, privately negotiated or block transactions. In March 2011, the Company announced that its Board of Directors authorized the Company to repurchase up to an additional $500 million, for a total of $1 billion, of its outstanding common shares. In July 2011, the Company announced that its Board of Directors authorized the Company to repurchase up to an additional $500 million of its outstanding common shares under its share repurchase program, for a total of $1.5 billion. The repurchase program is subject to market conditions and other factors and does not obligate the Company to repurchase any dollar amount or number of its common shares. The program may be extended, modified, suspended or discontinued at any time.</w:t>
      </w:r>
    </w:p>
    <w:p>
      <w:pPr>
        <w:spacing w:after="0" w:line="12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Company repurchased 59.4 million shares for $939.2 million in cash during the six months ended July 30, 2011. The repurchased shares were retired immediately after the repurchases were completed. As of July 30, 2011, the Company had completed share repurchases totaling $1,026.7 million under this stock repurchase program, with $473.3 million remaining available for repurchases under the program.</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Stock-Based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60" w:type="dxa"/>
            <w:vAlign w:val="bottom"/>
            <w:gridSpan w:val="5"/>
          </w:tcPr>
          <w:p>
            <w:pPr>
              <w:ind w:left="80"/>
              <w:spacing w:after="0"/>
              <w:rPr>
                <w:sz w:val="20"/>
                <w:szCs w:val="20"/>
                <w:color w:val="auto"/>
              </w:rPr>
            </w:pPr>
            <w:r>
              <w:rPr>
                <w:rFonts w:ascii="Arial" w:cs="Arial" w:eastAsia="Arial" w:hAnsi="Arial"/>
                <w:sz w:val="14"/>
                <w:szCs w:val="14"/>
                <w:b w:val="1"/>
                <w:bCs w:val="1"/>
                <w:color w:val="auto"/>
              </w:rPr>
              <w:t>Three Months Ended</w:t>
            </w:r>
          </w:p>
        </w:tc>
        <w:tc>
          <w:tcPr>
            <w:tcW w:w="8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6900" w:type="dxa"/>
            <w:vAlign w:val="bottom"/>
          </w:tcPr>
          <w:p>
            <w:pPr>
              <w:spacing w:after="0"/>
              <w:rPr>
                <w:sz w:val="11"/>
                <w:szCs w:val="11"/>
                <w:color w:val="auto"/>
              </w:rPr>
            </w:pPr>
          </w:p>
        </w:tc>
        <w:tc>
          <w:tcPr>
            <w:tcW w:w="980" w:type="dxa"/>
            <w:vAlign w:val="bottom"/>
            <w:tcBorders>
              <w:top w:val="single" w:sz="8" w:color="auto"/>
            </w:tcBorders>
            <w:gridSpan w:val="3"/>
          </w:tcPr>
          <w:p>
            <w:pPr>
              <w:jc w:val="right"/>
              <w:ind w:right="460"/>
              <w:spacing w:after="0" w:line="129" w:lineRule="exact"/>
              <w:rPr>
                <w:sz w:val="20"/>
                <w:szCs w:val="20"/>
                <w:color w:val="auto"/>
              </w:rPr>
            </w:pPr>
            <w:r>
              <w:rPr>
                <w:rFonts w:ascii="Arial" w:cs="Arial" w:eastAsia="Arial" w:hAnsi="Arial"/>
                <w:sz w:val="14"/>
                <w:szCs w:val="14"/>
                <w:b w:val="1"/>
                <w:bCs w:val="1"/>
                <w:color w:val="auto"/>
                <w:w w:val="97"/>
              </w:rPr>
              <w:t>July 30,</w:t>
            </w: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July 31,</w:t>
            </w:r>
          </w:p>
        </w:tc>
        <w:tc>
          <w:tcPr>
            <w:tcW w:w="400" w:type="dxa"/>
            <w:vAlign w:val="bottom"/>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July 30,</w:t>
            </w:r>
          </w:p>
        </w:tc>
        <w:tc>
          <w:tcPr>
            <w:tcW w:w="3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July 31,</w:t>
            </w:r>
          </w:p>
        </w:tc>
        <w:tc>
          <w:tcPr>
            <w:tcW w:w="100" w:type="dxa"/>
            <w:vAlign w:val="bottom"/>
          </w:tcPr>
          <w:p>
            <w:pPr>
              <w:spacing w:after="0"/>
              <w:rPr>
                <w:sz w:val="11"/>
                <w:szCs w:val="11"/>
                <w:color w:val="auto"/>
              </w:rPr>
            </w:pPr>
          </w:p>
        </w:tc>
      </w:tr>
      <w:tr>
        <w:trPr>
          <w:trHeight w:val="161"/>
        </w:trPr>
        <w:tc>
          <w:tcPr>
            <w:tcW w:w="69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2011</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96"/>
              </w:rPr>
              <w:t>2010</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2011</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rPr>
              <w:t>2010</w:t>
            </w:r>
          </w:p>
        </w:tc>
        <w:tc>
          <w:tcPr>
            <w:tcW w:w="100" w:type="dxa"/>
            <w:vAlign w:val="bottom"/>
            <w:tcBorders>
              <w:bottom w:val="single" w:sz="8" w:color="CCEEFF"/>
            </w:tcBorders>
          </w:tcPr>
          <w:p>
            <w:pPr>
              <w:spacing w:after="0"/>
              <w:rPr>
                <w:sz w:val="14"/>
                <w:szCs w:val="14"/>
                <w:color w:val="auto"/>
              </w:rPr>
            </w:pPr>
          </w:p>
        </w:tc>
      </w:tr>
      <w:tr>
        <w:trPr>
          <w:trHeight w:val="210"/>
        </w:trPr>
        <w:tc>
          <w:tcPr>
            <w:tcW w:w="69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1,916</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1,692</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3,611</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3,928</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w w:val="83"/>
              </w:rPr>
              <w:t>22,128</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22,089</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41,721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40,940</w:t>
            </w:r>
          </w:p>
        </w:tc>
        <w:tc>
          <w:tcPr>
            <w:tcW w:w="100" w:type="dxa"/>
            <w:vAlign w:val="bottom"/>
          </w:tcPr>
          <w:p>
            <w:pPr>
              <w:spacing w:after="0"/>
              <w:rPr>
                <w:sz w:val="18"/>
                <w:szCs w:val="18"/>
                <w:color w:val="auto"/>
              </w:rPr>
            </w:pPr>
          </w:p>
        </w:tc>
      </w:tr>
      <w:tr>
        <w:trPr>
          <w:trHeight w:val="216"/>
        </w:trPr>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3,207</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2,397</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5,861</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5,570</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rPr>
              <w:t>3,104</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rPr>
              <w:t>4,511</w:t>
            </w: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6,642</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7,147</w:t>
            </w:r>
          </w:p>
        </w:tc>
        <w:tc>
          <w:tcPr>
            <w:tcW w:w="100" w:type="dxa"/>
            <w:vAlign w:val="bottom"/>
          </w:tcPr>
          <w:p>
            <w:pPr>
              <w:spacing w:after="0"/>
              <w:rPr>
                <w:sz w:val="18"/>
                <w:szCs w:val="18"/>
                <w:color w:val="auto"/>
              </w:rPr>
            </w:pPr>
          </w:p>
        </w:tc>
      </w:tr>
      <w:tr>
        <w:trPr>
          <w:trHeight w:val="27"/>
        </w:trPr>
        <w:tc>
          <w:tcPr>
            <w:tcW w:w="6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9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3"/>
              </w:rPr>
              <w:t>30,355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30,689</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57,835</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57,585</w:t>
            </w:r>
          </w:p>
        </w:tc>
        <w:tc>
          <w:tcPr>
            <w:tcW w:w="100" w:type="dxa"/>
            <w:vAlign w:val="bottom"/>
            <w:shd w:val="clear" w:color="auto" w:fill="CCEEFF"/>
          </w:tcPr>
          <w:p>
            <w:pPr>
              <w:spacing w:after="0"/>
              <w:rPr>
                <w:sz w:val="18"/>
                <w:szCs w:val="18"/>
                <w:color w:val="auto"/>
              </w:rPr>
            </w:pPr>
          </w:p>
        </w:tc>
      </w:tr>
      <w:tr>
        <w:trPr>
          <w:trHeight w:val="20"/>
        </w:trPr>
        <w:tc>
          <w:tcPr>
            <w:tcW w:w="6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Stock-based compensation of $1.5 million was capitalized in inventory as of July 30, 2011 and January 29, 2011.</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following weighted average assumptions were used for each respective period to calculate the fair value of each time-based equity award on the date of grant using the Black-Scholes option pricing model and of each market-based equity award using a Monte Carlo simulation model:</w:t>
      </w:r>
    </w:p>
    <w:p>
      <w:pPr>
        <w:spacing w:after="0" w:line="79"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Time-based Stock Options</w:t>
      </w:r>
    </w:p>
    <w:p>
      <w:pPr>
        <w:spacing w:after="0" w:line="21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80" w:type="dxa"/>
            <w:vAlign w:val="bottom"/>
            <w:gridSpan w:val="7"/>
          </w:tcPr>
          <w:p>
            <w:pPr>
              <w:jc w:val="right"/>
              <w:ind w:right="480"/>
              <w:spacing w:after="0"/>
              <w:rPr>
                <w:sz w:val="20"/>
                <w:szCs w:val="20"/>
                <w:color w:val="auto"/>
              </w:rPr>
            </w:pPr>
            <w:r>
              <w:rPr>
                <w:rFonts w:ascii="Arial" w:cs="Arial" w:eastAsia="Arial" w:hAnsi="Arial"/>
                <w:sz w:val="14"/>
                <w:szCs w:val="14"/>
                <w:b w:val="1"/>
                <w:bCs w:val="1"/>
                <w:color w:val="auto"/>
                <w:w w:val="99"/>
              </w:rPr>
              <w:t>Three Months Ended</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40" w:type="dxa"/>
            <w:vAlign w:val="bottom"/>
            <w:gridSpan w:val="6"/>
          </w:tcPr>
          <w:p>
            <w:pPr>
              <w:jc w:val="right"/>
              <w:ind w:right="44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920" w:type="dxa"/>
            <w:vAlign w:val="bottom"/>
          </w:tcPr>
          <w:p>
            <w:pPr>
              <w:spacing w:after="0"/>
              <w:rPr>
                <w:sz w:val="11"/>
                <w:szCs w:val="11"/>
                <w:color w:val="auto"/>
              </w:rPr>
            </w:pPr>
          </w:p>
        </w:tc>
        <w:tc>
          <w:tcPr>
            <w:tcW w:w="3560" w:type="dxa"/>
            <w:vAlign w:val="bottom"/>
          </w:tcPr>
          <w:p>
            <w:pPr>
              <w:spacing w:after="0"/>
              <w:rPr>
                <w:sz w:val="11"/>
                <w:szCs w:val="11"/>
                <w:color w:val="auto"/>
              </w:rPr>
            </w:pPr>
          </w:p>
        </w:tc>
        <w:tc>
          <w:tcPr>
            <w:tcW w:w="2060" w:type="dxa"/>
            <w:vAlign w:val="bottom"/>
          </w:tcPr>
          <w:p>
            <w:pPr>
              <w:spacing w:after="0"/>
              <w:rPr>
                <w:sz w:val="11"/>
                <w:szCs w:val="11"/>
                <w:color w:val="auto"/>
              </w:rPr>
            </w:pPr>
          </w:p>
        </w:tc>
        <w:tc>
          <w:tcPr>
            <w:tcW w:w="740" w:type="dxa"/>
            <w:vAlign w:val="bottom"/>
            <w:tcBorders>
              <w:top w:val="single" w:sz="8" w:color="auto"/>
            </w:tcBorders>
            <w:gridSpan w:val="3"/>
          </w:tcPr>
          <w:p>
            <w:pPr>
              <w:jc w:val="right"/>
              <w:ind w:right="280"/>
              <w:spacing w:after="0" w:line="129" w:lineRule="exact"/>
              <w:rPr>
                <w:sz w:val="20"/>
                <w:szCs w:val="20"/>
                <w:color w:val="auto"/>
              </w:rPr>
            </w:pPr>
            <w:r>
              <w:rPr>
                <w:rFonts w:ascii="Arial" w:cs="Arial" w:eastAsia="Arial" w:hAnsi="Arial"/>
                <w:sz w:val="14"/>
                <w:szCs w:val="14"/>
                <w:b w:val="1"/>
                <w:bCs w:val="1"/>
                <w:color w:val="auto"/>
                <w:w w:val="85"/>
              </w:rPr>
              <w:t>July 30,</w:t>
            </w:r>
          </w:p>
        </w:tc>
        <w:tc>
          <w:tcPr>
            <w:tcW w:w="28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9"/>
              </w:rPr>
              <w:t>July 31,</w:t>
            </w:r>
          </w:p>
        </w:tc>
        <w:tc>
          <w:tcPr>
            <w:tcW w:w="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40" w:type="dxa"/>
            <w:vAlign w:val="bottom"/>
            <w:tcBorders>
              <w:top w:val="single" w:sz="8" w:color="auto"/>
            </w:tcBorders>
            <w:gridSpan w:val="3"/>
          </w:tcPr>
          <w:p>
            <w:pPr>
              <w:jc w:val="center"/>
              <w:ind w:right="380"/>
              <w:spacing w:after="0" w:line="129" w:lineRule="exact"/>
              <w:rPr>
                <w:sz w:val="20"/>
                <w:szCs w:val="20"/>
                <w:color w:val="auto"/>
              </w:rPr>
            </w:pPr>
            <w:r>
              <w:rPr>
                <w:rFonts w:ascii="Arial" w:cs="Arial" w:eastAsia="Arial" w:hAnsi="Arial"/>
                <w:sz w:val="14"/>
                <w:szCs w:val="14"/>
                <w:b w:val="1"/>
                <w:bCs w:val="1"/>
                <w:color w:val="auto"/>
                <w:w w:val="89"/>
              </w:rPr>
              <w:t>July 30,</w:t>
            </w:r>
          </w:p>
        </w:tc>
        <w:tc>
          <w:tcPr>
            <w:tcW w:w="24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July 31,</w:t>
            </w:r>
          </w:p>
        </w:tc>
        <w:tc>
          <w:tcPr>
            <w:tcW w:w="200" w:type="dxa"/>
            <w:vAlign w:val="bottom"/>
          </w:tcPr>
          <w:p>
            <w:pPr>
              <w:spacing w:after="0"/>
              <w:rPr>
                <w:sz w:val="11"/>
                <w:szCs w:val="11"/>
                <w:color w:val="auto"/>
              </w:rPr>
            </w:pPr>
          </w:p>
        </w:tc>
      </w:tr>
      <w:tr>
        <w:trPr>
          <w:trHeight w:val="161"/>
        </w:trPr>
        <w:tc>
          <w:tcPr>
            <w:tcW w:w="92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2520" w:type="dxa"/>
            <w:vAlign w:val="bottom"/>
            <w:gridSpan w:val="3"/>
          </w:tcPr>
          <w:p>
            <w:pPr>
              <w:jc w:val="right"/>
              <w:ind w:right="22"/>
              <w:spacing w:after="0"/>
              <w:rPr>
                <w:sz w:val="20"/>
                <w:szCs w:val="20"/>
                <w:color w:val="auto"/>
              </w:rPr>
            </w:pPr>
            <w:r>
              <w:rPr>
                <w:rFonts w:ascii="Arial" w:cs="Arial" w:eastAsia="Arial" w:hAnsi="Arial"/>
                <w:sz w:val="14"/>
                <w:szCs w:val="14"/>
                <w:b w:val="1"/>
                <w:bCs w:val="1"/>
                <w:color w:val="auto"/>
              </w:rPr>
              <w:t>2011</w:t>
            </w:r>
          </w:p>
        </w:tc>
        <w:tc>
          <w:tcPr>
            <w:tcW w:w="280" w:type="dxa"/>
            <w:vAlign w:val="bottom"/>
          </w:tcPr>
          <w:p>
            <w:pPr>
              <w:spacing w:after="0"/>
              <w:rPr>
                <w:sz w:val="14"/>
                <w:szCs w:val="14"/>
                <w:color w:val="auto"/>
              </w:rPr>
            </w:pPr>
          </w:p>
        </w:tc>
        <w:tc>
          <w:tcPr>
            <w:tcW w:w="860" w:type="dxa"/>
            <w:vAlign w:val="bottom"/>
            <w:gridSpan w:val="3"/>
          </w:tcPr>
          <w:p>
            <w:pPr>
              <w:jc w:val="right"/>
              <w:ind w:right="39"/>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gridSpan w:val="2"/>
          </w:tcPr>
          <w:p>
            <w:pPr>
              <w:jc w:val="center"/>
              <w:ind w:left="19"/>
              <w:spacing w:after="0"/>
              <w:rPr>
                <w:sz w:val="20"/>
                <w:szCs w:val="20"/>
                <w:color w:val="auto"/>
              </w:rPr>
            </w:pPr>
            <w:r>
              <w:rPr>
                <w:rFonts w:ascii="Arial" w:cs="Arial" w:eastAsia="Arial" w:hAnsi="Arial"/>
                <w:sz w:val="14"/>
                <w:szCs w:val="14"/>
                <w:b w:val="1"/>
                <w:bCs w:val="1"/>
                <w:color w:val="auto"/>
                <w:w w:val="83"/>
              </w:rPr>
              <w:t>2011</w:t>
            </w: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gridSpan w:val="2"/>
          </w:tcPr>
          <w:p>
            <w:pPr>
              <w:jc w:val="right"/>
              <w:ind w:right="19"/>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r>
      <w:tr>
        <w:trPr>
          <w:trHeight w:val="210"/>
        </w:trPr>
        <w:tc>
          <w:tcPr>
            <w:tcW w:w="44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Estimated fair value</w:t>
            </w:r>
          </w:p>
        </w:tc>
        <w:tc>
          <w:tcPr>
            <w:tcW w:w="206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7"/>
              </w:rPr>
              <w:t>$ 6.24</w:t>
            </w:r>
          </w:p>
        </w:tc>
        <w:tc>
          <w:tcPr>
            <w:tcW w:w="28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$ 8.75</w:t>
            </w: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$ 6.09</w:t>
            </w:r>
          </w:p>
        </w:tc>
        <w:tc>
          <w:tcPr>
            <w:tcW w:w="1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$ 9.45</w:t>
            </w:r>
          </w:p>
        </w:tc>
        <w:tc>
          <w:tcPr>
            <w:tcW w:w="200" w:type="dxa"/>
            <w:vAlign w:val="bottom"/>
            <w:tcBorders>
              <w:top w:val="single" w:sz="8" w:color="CCEEFF"/>
            </w:tcBorders>
            <w:shd w:val="clear" w:color="auto" w:fill="CCEEFF"/>
          </w:tcPr>
          <w:p>
            <w:pPr>
              <w:spacing w:after="0"/>
              <w:rPr>
                <w:sz w:val="18"/>
                <w:szCs w:val="18"/>
                <w:color w:val="auto"/>
              </w:rPr>
            </w:pPr>
          </w:p>
        </w:tc>
      </w:tr>
      <w:tr>
        <w:trPr>
          <w:trHeight w:val="216"/>
        </w:trPr>
        <w:tc>
          <w:tcPr>
            <w:tcW w:w="4480" w:type="dxa"/>
            <w:vAlign w:val="bottom"/>
            <w:gridSpan w:val="2"/>
          </w:tcPr>
          <w:p>
            <w:pPr>
              <w:spacing w:after="0"/>
              <w:rPr>
                <w:sz w:val="20"/>
                <w:szCs w:val="20"/>
                <w:color w:val="auto"/>
              </w:rPr>
            </w:pPr>
            <w:r>
              <w:rPr>
                <w:rFonts w:ascii="Arial" w:cs="Arial" w:eastAsia="Arial" w:hAnsi="Arial"/>
                <w:sz w:val="18"/>
                <w:szCs w:val="18"/>
                <w:color w:val="auto"/>
              </w:rPr>
              <w:t>Volatility</w:t>
            </w:r>
          </w:p>
        </w:tc>
        <w:tc>
          <w:tcPr>
            <w:tcW w:w="2800" w:type="dxa"/>
            <w:vAlign w:val="bottom"/>
            <w:gridSpan w:val="4"/>
          </w:tcPr>
          <w:p>
            <w:pPr>
              <w:jc w:val="right"/>
              <w:ind w:right="140"/>
              <w:spacing w:after="0"/>
              <w:rPr>
                <w:sz w:val="20"/>
                <w:szCs w:val="20"/>
                <w:color w:val="auto"/>
              </w:rPr>
            </w:pPr>
            <w:r>
              <w:rPr>
                <w:rFonts w:ascii="Arial" w:cs="Arial" w:eastAsia="Arial" w:hAnsi="Arial"/>
                <w:sz w:val="18"/>
                <w:szCs w:val="18"/>
                <w:color w:val="auto"/>
              </w:rPr>
              <w:t>46%</w:t>
            </w:r>
          </w:p>
        </w:tc>
        <w:tc>
          <w:tcPr>
            <w:tcW w:w="1140" w:type="dxa"/>
            <w:vAlign w:val="bottom"/>
            <w:gridSpan w:val="4"/>
          </w:tcPr>
          <w:p>
            <w:pPr>
              <w:jc w:val="right"/>
              <w:ind w:right="140"/>
              <w:spacing w:after="0"/>
              <w:rPr>
                <w:sz w:val="20"/>
                <w:szCs w:val="20"/>
                <w:color w:val="auto"/>
              </w:rPr>
            </w:pPr>
            <w:r>
              <w:rPr>
                <w:rFonts w:ascii="Arial" w:cs="Arial" w:eastAsia="Arial" w:hAnsi="Arial"/>
                <w:sz w:val="18"/>
                <w:szCs w:val="18"/>
                <w:color w:val="auto"/>
              </w:rPr>
              <w:t>53%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3"/>
          </w:tcPr>
          <w:p>
            <w:pPr>
              <w:jc w:val="right"/>
              <w:ind w:right="40"/>
              <w:spacing w:after="0"/>
              <w:rPr>
                <w:sz w:val="20"/>
                <w:szCs w:val="20"/>
                <w:color w:val="auto"/>
              </w:rPr>
            </w:pPr>
            <w:r>
              <w:rPr>
                <w:rFonts w:ascii="Arial" w:cs="Arial" w:eastAsia="Arial" w:hAnsi="Arial"/>
                <w:sz w:val="18"/>
                <w:szCs w:val="18"/>
                <w:color w:val="auto"/>
              </w:rPr>
              <w:t>43%</w:t>
            </w:r>
          </w:p>
        </w:tc>
        <w:tc>
          <w:tcPr>
            <w:tcW w:w="200" w:type="dxa"/>
            <w:vAlign w:val="bottom"/>
          </w:tcPr>
          <w:p>
            <w:pPr>
              <w:spacing w:after="0"/>
              <w:rPr>
                <w:sz w:val="18"/>
                <w:szCs w:val="18"/>
                <w:color w:val="auto"/>
              </w:rPr>
            </w:pP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53%</w:t>
            </w:r>
          </w:p>
        </w:tc>
      </w:tr>
      <w:tr>
        <w:trPr>
          <w:trHeight w:val="216"/>
        </w:trPr>
        <w:tc>
          <w:tcPr>
            <w:tcW w:w="4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2800" w:type="dxa"/>
            <w:vAlign w:val="bottom"/>
            <w:gridSpan w:val="4"/>
            <w:shd w:val="clear" w:color="auto" w:fill="CCEEFF"/>
          </w:tcPr>
          <w:p>
            <w:pPr>
              <w:jc w:val="right"/>
              <w:ind w:right="280"/>
              <w:spacing w:after="0"/>
              <w:rPr>
                <w:sz w:val="20"/>
                <w:szCs w:val="20"/>
                <w:color w:val="auto"/>
              </w:rPr>
            </w:pPr>
            <w:r>
              <w:rPr>
                <w:rFonts w:ascii="Arial" w:cs="Arial" w:eastAsia="Arial" w:hAnsi="Arial"/>
                <w:sz w:val="18"/>
                <w:szCs w:val="18"/>
                <w:color w:val="auto"/>
              </w:rPr>
              <w:t>4.8</w:t>
            </w:r>
          </w:p>
        </w:tc>
        <w:tc>
          <w:tcPr>
            <w:tcW w:w="1140" w:type="dxa"/>
            <w:vAlign w:val="bottom"/>
            <w:gridSpan w:val="4"/>
            <w:shd w:val="clear" w:color="auto" w:fill="CCEEFF"/>
          </w:tcPr>
          <w:p>
            <w:pPr>
              <w:jc w:val="right"/>
              <w:ind w:right="280"/>
              <w:spacing w:after="0"/>
              <w:rPr>
                <w:sz w:val="20"/>
                <w:szCs w:val="20"/>
                <w:color w:val="auto"/>
              </w:rPr>
            </w:pPr>
            <w:r>
              <w:rPr>
                <w:rFonts w:ascii="Arial" w:cs="Arial" w:eastAsia="Arial" w:hAnsi="Arial"/>
                <w:sz w:val="18"/>
                <w:szCs w:val="18"/>
                <w:color w:val="auto"/>
              </w:rPr>
              <w:t>4.7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4.8</w:t>
            </w:r>
          </w:p>
        </w:tc>
        <w:tc>
          <w:tcPr>
            <w:tcW w:w="2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200" w:type="dxa"/>
            <w:vAlign w:val="bottom"/>
            <w:shd w:val="clear" w:color="auto" w:fill="CCEEFF"/>
          </w:tcPr>
          <w:p>
            <w:pPr>
              <w:spacing w:after="0"/>
              <w:rPr>
                <w:sz w:val="18"/>
                <w:szCs w:val="18"/>
                <w:color w:val="auto"/>
              </w:rPr>
            </w:pPr>
          </w:p>
        </w:tc>
      </w:tr>
      <w:tr>
        <w:trPr>
          <w:trHeight w:val="216"/>
        </w:trPr>
        <w:tc>
          <w:tcPr>
            <w:tcW w:w="4480" w:type="dxa"/>
            <w:vAlign w:val="bottom"/>
            <w:gridSpan w:val="2"/>
          </w:tcPr>
          <w:p>
            <w:pPr>
              <w:spacing w:after="0"/>
              <w:rPr>
                <w:sz w:val="20"/>
                <w:szCs w:val="20"/>
                <w:color w:val="auto"/>
              </w:rPr>
            </w:pPr>
            <w:r>
              <w:rPr>
                <w:rFonts w:ascii="Arial" w:cs="Arial" w:eastAsia="Arial" w:hAnsi="Arial"/>
                <w:sz w:val="18"/>
                <w:szCs w:val="18"/>
                <w:color w:val="auto"/>
              </w:rPr>
              <w:t>Risk-free interest rate</w:t>
            </w:r>
          </w:p>
        </w:tc>
        <w:tc>
          <w:tcPr>
            <w:tcW w:w="2800" w:type="dxa"/>
            <w:vAlign w:val="bottom"/>
            <w:gridSpan w:val="4"/>
          </w:tcPr>
          <w:p>
            <w:pPr>
              <w:jc w:val="right"/>
              <w:ind w:right="140"/>
              <w:spacing w:after="0"/>
              <w:rPr>
                <w:sz w:val="20"/>
                <w:szCs w:val="20"/>
                <w:color w:val="auto"/>
              </w:rPr>
            </w:pPr>
            <w:r>
              <w:rPr>
                <w:rFonts w:ascii="Arial" w:cs="Arial" w:eastAsia="Arial" w:hAnsi="Arial"/>
                <w:sz w:val="18"/>
                <w:szCs w:val="18"/>
                <w:color w:val="auto"/>
              </w:rPr>
              <w:t>1.7%</w:t>
            </w:r>
          </w:p>
        </w:tc>
        <w:tc>
          <w:tcPr>
            <w:tcW w:w="1140" w:type="dxa"/>
            <w:vAlign w:val="bottom"/>
            <w:gridSpan w:val="4"/>
          </w:tcPr>
          <w:p>
            <w:pPr>
              <w:jc w:val="right"/>
              <w:ind w:right="140"/>
              <w:spacing w:after="0"/>
              <w:rPr>
                <w:sz w:val="20"/>
                <w:szCs w:val="20"/>
                <w:color w:val="auto"/>
              </w:rPr>
            </w:pPr>
            <w:r>
              <w:rPr>
                <w:rFonts w:ascii="Arial" w:cs="Arial" w:eastAsia="Arial" w:hAnsi="Arial"/>
                <w:sz w:val="18"/>
                <w:szCs w:val="18"/>
                <w:color w:val="auto"/>
              </w:rPr>
              <w:t>2.5%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3"/>
          </w:tcPr>
          <w:p>
            <w:pPr>
              <w:jc w:val="right"/>
              <w:ind w:right="40"/>
              <w:spacing w:after="0"/>
              <w:rPr>
                <w:sz w:val="20"/>
                <w:szCs w:val="20"/>
                <w:color w:val="auto"/>
              </w:rPr>
            </w:pPr>
            <w:r>
              <w:rPr>
                <w:rFonts w:ascii="Arial" w:cs="Arial" w:eastAsia="Arial" w:hAnsi="Arial"/>
                <w:sz w:val="18"/>
                <w:szCs w:val="18"/>
                <w:color w:val="auto"/>
              </w:rPr>
              <w:t>2.1%</w:t>
            </w:r>
          </w:p>
        </w:tc>
        <w:tc>
          <w:tcPr>
            <w:tcW w:w="200" w:type="dxa"/>
            <w:vAlign w:val="bottom"/>
          </w:tcPr>
          <w:p>
            <w:pPr>
              <w:spacing w:after="0"/>
              <w:rPr>
                <w:sz w:val="18"/>
                <w:szCs w:val="18"/>
                <w:color w:val="auto"/>
              </w:rPr>
            </w:pP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2.3%</w:t>
            </w:r>
          </w:p>
        </w:tc>
      </w:tr>
      <w:tr>
        <w:trPr>
          <w:trHeight w:val="216"/>
        </w:trPr>
        <w:tc>
          <w:tcPr>
            <w:tcW w:w="4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20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r>
      <w:tr>
        <w:trPr>
          <w:trHeight w:val="376"/>
        </w:trPr>
        <w:tc>
          <w:tcPr>
            <w:tcW w:w="4480" w:type="dxa"/>
            <w:vAlign w:val="bottom"/>
            <w:gridSpan w:val="2"/>
          </w:tcPr>
          <w:p>
            <w:pPr>
              <w:spacing w:after="0"/>
              <w:rPr>
                <w:sz w:val="20"/>
                <w:szCs w:val="20"/>
                <w:color w:val="auto"/>
              </w:rPr>
            </w:pPr>
            <w:r>
              <w:rPr>
                <w:rFonts w:ascii="Arial" w:cs="Arial" w:eastAsia="Arial" w:hAnsi="Arial"/>
                <w:sz w:val="18"/>
                <w:szCs w:val="18"/>
                <w:b w:val="1"/>
                <w:bCs w:val="1"/>
                <w:color w:val="auto"/>
              </w:rPr>
              <w:t>Market-based Stock Options</w:t>
            </w:r>
          </w:p>
        </w:tc>
        <w:tc>
          <w:tcPr>
            <w:tcW w:w="20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340"/>
        </w:trPr>
        <w:tc>
          <w:tcPr>
            <w:tcW w:w="920" w:type="dxa"/>
            <w:vAlign w:val="bottom"/>
          </w:tcPr>
          <w:p>
            <w:pPr>
              <w:spacing w:after="0"/>
              <w:rPr>
                <w:sz w:val="24"/>
                <w:szCs w:val="24"/>
                <w:color w:val="auto"/>
              </w:rPr>
            </w:pPr>
          </w:p>
        </w:tc>
        <w:tc>
          <w:tcPr>
            <w:tcW w:w="356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1880" w:type="dxa"/>
            <w:vAlign w:val="bottom"/>
            <w:gridSpan w:val="7"/>
          </w:tcPr>
          <w:p>
            <w:pPr>
              <w:jc w:val="center"/>
              <w:ind w:right="700"/>
              <w:spacing w:after="0"/>
              <w:rPr>
                <w:sz w:val="20"/>
                <w:szCs w:val="20"/>
                <w:color w:val="auto"/>
              </w:rPr>
            </w:pPr>
            <w:r>
              <w:rPr>
                <w:rFonts w:ascii="Arial" w:cs="Arial" w:eastAsia="Arial" w:hAnsi="Arial"/>
                <w:sz w:val="14"/>
                <w:szCs w:val="14"/>
                <w:b w:val="1"/>
                <w:bCs w:val="1"/>
                <w:color w:val="auto"/>
                <w:w w:val="89"/>
              </w:rPr>
              <w:t>Three Months</w:t>
            </w:r>
          </w:p>
        </w:tc>
        <w:tc>
          <w:tcPr>
            <w:tcW w:w="140" w:type="dxa"/>
            <w:vAlign w:val="bottom"/>
          </w:tcPr>
          <w:p>
            <w:pPr>
              <w:spacing w:after="0"/>
              <w:rPr>
                <w:sz w:val="24"/>
                <w:szCs w:val="24"/>
                <w:color w:val="auto"/>
              </w:rPr>
            </w:pPr>
          </w:p>
        </w:tc>
        <w:tc>
          <w:tcPr>
            <w:tcW w:w="1040" w:type="dxa"/>
            <w:vAlign w:val="bottom"/>
            <w:gridSpan w:val="5"/>
          </w:tcPr>
          <w:p>
            <w:pPr>
              <w:jc w:val="center"/>
              <w:ind w:right="220"/>
              <w:spacing w:after="0"/>
              <w:rPr>
                <w:sz w:val="20"/>
                <w:szCs w:val="20"/>
                <w:color w:val="auto"/>
              </w:rPr>
            </w:pPr>
            <w:r>
              <w:rPr>
                <w:rFonts w:ascii="Arial" w:cs="Arial" w:eastAsia="Arial" w:hAnsi="Arial"/>
                <w:sz w:val="14"/>
                <w:szCs w:val="14"/>
                <w:b w:val="1"/>
                <w:bCs w:val="1"/>
                <w:color w:val="auto"/>
                <w:w w:val="88"/>
              </w:rPr>
              <w:t>Six Months</w:t>
            </w:r>
          </w:p>
        </w:tc>
        <w:tc>
          <w:tcPr>
            <w:tcW w:w="2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161"/>
        </w:trPr>
        <w:tc>
          <w:tcPr>
            <w:tcW w:w="92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80" w:type="dxa"/>
            <w:vAlign w:val="bottom"/>
            <w:gridSpan w:val="6"/>
          </w:tcPr>
          <w:p>
            <w:pPr>
              <w:jc w:val="center"/>
              <w:ind w:right="880"/>
              <w:spacing w:after="0"/>
              <w:rPr>
                <w:sz w:val="20"/>
                <w:szCs w:val="20"/>
                <w:color w:val="auto"/>
              </w:rPr>
            </w:pPr>
            <w:r>
              <w:rPr>
                <w:rFonts w:ascii="Arial" w:cs="Arial" w:eastAsia="Arial" w:hAnsi="Arial"/>
                <w:sz w:val="14"/>
                <w:szCs w:val="14"/>
                <w:b w:val="1"/>
                <w:bCs w:val="1"/>
                <w:color w:val="auto"/>
                <w:w w:val="84"/>
              </w:rPr>
              <w:t>Ended</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88"/>
              </w:rPr>
              <w:t>Ended</w:t>
            </w:r>
          </w:p>
        </w:tc>
        <w:tc>
          <w:tcPr>
            <w:tcW w:w="2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920" w:type="dxa"/>
            <w:vAlign w:val="bottom"/>
          </w:tcPr>
          <w:p>
            <w:pPr>
              <w:spacing w:after="0"/>
              <w:rPr>
                <w:sz w:val="11"/>
                <w:szCs w:val="11"/>
                <w:color w:val="auto"/>
              </w:rPr>
            </w:pPr>
          </w:p>
        </w:tc>
        <w:tc>
          <w:tcPr>
            <w:tcW w:w="3560" w:type="dxa"/>
            <w:vAlign w:val="bottom"/>
          </w:tcPr>
          <w:p>
            <w:pPr>
              <w:spacing w:after="0"/>
              <w:rPr>
                <w:sz w:val="11"/>
                <w:szCs w:val="11"/>
                <w:color w:val="auto"/>
              </w:rPr>
            </w:pPr>
          </w:p>
        </w:tc>
        <w:tc>
          <w:tcPr>
            <w:tcW w:w="20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Borders>
              <w:top w:val="single" w:sz="8" w:color="auto"/>
            </w:tcBorders>
            <w:gridSpan w:val="3"/>
          </w:tcPr>
          <w:p>
            <w:pPr>
              <w:jc w:val="center"/>
              <w:spacing w:after="0" w:line="129" w:lineRule="exact"/>
              <w:rPr>
                <w:sz w:val="20"/>
                <w:szCs w:val="20"/>
                <w:color w:val="auto"/>
              </w:rPr>
            </w:pPr>
            <w:r>
              <w:rPr>
                <w:rFonts w:ascii="Arial" w:cs="Arial" w:eastAsia="Arial" w:hAnsi="Arial"/>
                <w:sz w:val="14"/>
                <w:szCs w:val="14"/>
                <w:b w:val="1"/>
                <w:bCs w:val="1"/>
                <w:color w:val="auto"/>
                <w:w w:val="85"/>
              </w:rPr>
              <w:t>July 30,</w:t>
            </w:r>
          </w:p>
        </w:tc>
        <w:tc>
          <w:tcPr>
            <w:tcW w:w="860" w:type="dxa"/>
            <w:vAlign w:val="bottom"/>
            <w:gridSpan w:val="3"/>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3"/>
          </w:tcPr>
          <w:p>
            <w:pPr>
              <w:jc w:val="center"/>
              <w:ind w:right="120"/>
              <w:spacing w:after="0" w:line="129" w:lineRule="exact"/>
              <w:rPr>
                <w:sz w:val="20"/>
                <w:szCs w:val="20"/>
                <w:color w:val="auto"/>
              </w:rPr>
            </w:pPr>
            <w:r>
              <w:rPr>
                <w:rFonts w:ascii="Arial" w:cs="Arial" w:eastAsia="Arial" w:hAnsi="Arial"/>
                <w:sz w:val="14"/>
                <w:szCs w:val="14"/>
                <w:b w:val="1"/>
                <w:bCs w:val="1"/>
                <w:color w:val="auto"/>
                <w:w w:val="89"/>
              </w:rPr>
              <w:t>July 30,</w:t>
            </w:r>
          </w:p>
        </w:tc>
        <w:tc>
          <w:tcPr>
            <w:tcW w:w="2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92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2800" w:type="dxa"/>
            <w:vAlign w:val="bottom"/>
            <w:gridSpan w:val="4"/>
          </w:tcPr>
          <w:p>
            <w:pPr>
              <w:jc w:val="center"/>
              <w:ind w:left="2420"/>
              <w:spacing w:after="0"/>
              <w:rPr>
                <w:sz w:val="20"/>
                <w:szCs w:val="20"/>
                <w:color w:val="auto"/>
              </w:rPr>
            </w:pPr>
            <w:r>
              <w:rPr>
                <w:rFonts w:ascii="Arial" w:cs="Arial" w:eastAsia="Arial" w:hAnsi="Arial"/>
                <w:sz w:val="14"/>
                <w:szCs w:val="14"/>
                <w:b w:val="1"/>
                <w:bCs w:val="1"/>
                <w:color w:val="auto"/>
                <w:w w:val="83"/>
              </w:rPr>
              <w:t>2011</w:t>
            </w:r>
          </w:p>
        </w:tc>
        <w:tc>
          <w:tcPr>
            <w:tcW w:w="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3"/>
              </w:rPr>
              <w:t>2011</w:t>
            </w: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210"/>
        </w:trPr>
        <w:tc>
          <w:tcPr>
            <w:tcW w:w="920" w:type="dxa"/>
            <w:vAlign w:val="bottom"/>
          </w:tcPr>
          <w:p>
            <w:pPr>
              <w:spacing w:after="0"/>
              <w:rPr>
                <w:sz w:val="18"/>
                <w:szCs w:val="18"/>
                <w:color w:val="auto"/>
              </w:rPr>
            </w:pPr>
          </w:p>
        </w:tc>
        <w:tc>
          <w:tcPr>
            <w:tcW w:w="35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Estimated fair value</w:t>
            </w:r>
          </w:p>
        </w:tc>
        <w:tc>
          <w:tcPr>
            <w:tcW w:w="2260" w:type="dxa"/>
            <w:vAlign w:val="bottom"/>
            <w:tcBorders>
              <w:top w:val="single" w:sz="8" w:color="CCEEFF"/>
            </w:tcBorders>
            <w:gridSpan w:val="2"/>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860" w:type="dxa"/>
            <w:vAlign w:val="bottom"/>
            <w:tcBorders>
              <w:top w:val="single" w:sz="8" w:color="CCEEFF"/>
            </w:tcBorders>
            <w:gridSpan w:val="3"/>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5.08</w:t>
            </w:r>
          </w:p>
        </w:tc>
        <w:tc>
          <w:tcPr>
            <w:tcW w:w="200" w:type="dxa"/>
            <w:vAlign w:val="bottom"/>
            <w:tcBorders>
              <w:top w:val="single" w:sz="8" w:color="CCEEFF"/>
            </w:tcBorders>
            <w:shd w:val="clear" w:color="auto" w:fill="CCEEFF"/>
          </w:tcPr>
          <w:p>
            <w:pPr>
              <w:spacing w:after="0"/>
              <w:rPr>
                <w:sz w:val="18"/>
                <w:szCs w:val="18"/>
                <w:color w:val="auto"/>
              </w:rPr>
            </w:pPr>
          </w:p>
        </w:tc>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3560" w:type="dxa"/>
            <w:vAlign w:val="bottom"/>
          </w:tcPr>
          <w:p>
            <w:pPr>
              <w:spacing w:after="0"/>
              <w:rPr>
                <w:sz w:val="20"/>
                <w:szCs w:val="20"/>
                <w:color w:val="auto"/>
              </w:rPr>
            </w:pPr>
            <w:r>
              <w:rPr>
                <w:rFonts w:ascii="Arial" w:cs="Arial" w:eastAsia="Arial" w:hAnsi="Arial"/>
                <w:sz w:val="18"/>
                <w:szCs w:val="18"/>
                <w:color w:val="auto"/>
              </w:rPr>
              <w:t>Expected Volatility</w:t>
            </w:r>
          </w:p>
        </w:tc>
        <w:tc>
          <w:tcPr>
            <w:tcW w:w="20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gridSpan w:val="4"/>
          </w:tcPr>
          <w:p>
            <w:pPr>
              <w:spacing w:after="0"/>
              <w:rPr>
                <w:sz w:val="20"/>
                <w:szCs w:val="20"/>
                <w:color w:val="auto"/>
              </w:rPr>
            </w:pPr>
            <w:r>
              <w:rPr>
                <w:rFonts w:ascii="Arial" w:cs="Arial" w:eastAsia="Arial" w:hAnsi="Arial"/>
                <w:sz w:val="18"/>
                <w:szCs w:val="18"/>
                <w:color w:val="auto"/>
              </w:rPr>
              <w:t>— %</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4"/>
          </w:tcPr>
          <w:p>
            <w:pPr>
              <w:jc w:val="right"/>
              <w:ind w:right="60"/>
              <w:spacing w:after="0"/>
              <w:rPr>
                <w:sz w:val="20"/>
                <w:szCs w:val="20"/>
                <w:color w:val="auto"/>
              </w:rPr>
            </w:pPr>
            <w:r>
              <w:rPr>
                <w:rFonts w:ascii="Arial" w:cs="Arial" w:eastAsia="Arial" w:hAnsi="Arial"/>
                <w:sz w:val="18"/>
                <w:szCs w:val="18"/>
                <w:color w:val="auto"/>
              </w:rPr>
              <w:t>42%</w:t>
            </w:r>
          </w:p>
        </w:tc>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20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40" w:type="dxa"/>
            <w:vAlign w:val="bottom"/>
            <w:gridSpan w:val="4"/>
            <w:shd w:val="clear" w:color="auto" w:fill="CCEEFF"/>
          </w:tcPr>
          <w:p>
            <w:pPr>
              <w:spacing w:after="0"/>
              <w:rPr>
                <w:sz w:val="20"/>
                <w:szCs w:val="20"/>
                <w:color w:val="auto"/>
              </w:rPr>
            </w:pPr>
            <w:r>
              <w:rPr>
                <w:rFonts w:ascii="Arial" w:cs="Arial" w:eastAsia="Arial" w:hAnsi="Arial"/>
                <w:sz w:val="18"/>
                <w:szCs w:val="18"/>
                <w:color w:val="auto"/>
              </w:rPr>
              <w:t>— %</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w w:val="88"/>
              </w:rPr>
              <w:t>0.85 -3.59%</w:t>
            </w:r>
          </w:p>
        </w:tc>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22"/>
        </w:trPr>
        <w:tc>
          <w:tcPr>
            <w:tcW w:w="920" w:type="dxa"/>
            <w:vAlign w:val="bottom"/>
          </w:tcPr>
          <w:p>
            <w:pPr>
              <w:spacing w:after="0"/>
              <w:rPr>
                <w:sz w:val="19"/>
                <w:szCs w:val="19"/>
                <w:color w:val="auto"/>
              </w:rPr>
            </w:pPr>
          </w:p>
        </w:tc>
        <w:tc>
          <w:tcPr>
            <w:tcW w:w="3560" w:type="dxa"/>
            <w:vAlign w:val="bottom"/>
          </w:tcPr>
          <w:p>
            <w:pPr>
              <w:spacing w:after="0"/>
              <w:rPr>
                <w:sz w:val="20"/>
                <w:szCs w:val="20"/>
                <w:color w:val="auto"/>
              </w:rPr>
            </w:pPr>
            <w:r>
              <w:rPr>
                <w:rFonts w:ascii="Arial" w:cs="Arial" w:eastAsia="Arial" w:hAnsi="Arial"/>
                <w:sz w:val="18"/>
                <w:szCs w:val="18"/>
                <w:color w:val="auto"/>
              </w:rPr>
              <w:t>Dividend yield</w:t>
            </w:r>
          </w:p>
        </w:tc>
        <w:tc>
          <w:tcPr>
            <w:tcW w:w="20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gridSpan w:val="4"/>
          </w:tcPr>
          <w:p>
            <w:pPr>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00" w:type="dxa"/>
            <w:vAlign w:val="bottom"/>
          </w:tcPr>
          <w:p>
            <w:pPr>
              <w:spacing w:after="0"/>
              <w:rPr>
                <w:sz w:val="19"/>
                <w:szCs w:val="19"/>
                <w:color w:val="auto"/>
              </w:rPr>
            </w:pPr>
          </w:p>
        </w:tc>
      </w:tr>
    </w:tbl>
    <w:p>
      <w:pPr>
        <w:spacing w:after="0" w:line="147"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The fair value of each market-based option award is estimated on the date of grant using a Monte Carlo simulation model that uses the assumptions noted in the above table, including the same volatility applied to the Company’s time-based options. Because a Monte Carlo simulation model incorporates ranges of assumptions for inputs, those ranges are disclosed where applicable. The Company uses historical data to estimate employee termination within the valuation model. The expected term of options granted of 2.66 years was derived from the output of the valuation model and represents the period of time that options granted are expected to be outstanding.</w:t>
      </w:r>
    </w:p>
    <w:p>
      <w:pPr>
        <w:spacing w:after="0" w:line="218"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Employee Stock Purchase Plan</w:t>
      </w:r>
    </w:p>
    <w:p>
      <w:pPr>
        <w:spacing w:after="0" w:line="21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14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1980" w:type="dxa"/>
            <w:vAlign w:val="bottom"/>
            <w:gridSpan w:val="5"/>
          </w:tcPr>
          <w:p>
            <w:pPr>
              <w:jc w:val="right"/>
              <w:ind w:right="580"/>
              <w:spacing w:after="0"/>
              <w:rPr>
                <w:sz w:val="20"/>
                <w:szCs w:val="20"/>
                <w:color w:val="auto"/>
              </w:rPr>
            </w:pPr>
            <w:r>
              <w:rPr>
                <w:rFonts w:ascii="Arial" w:cs="Arial" w:eastAsia="Arial" w:hAnsi="Arial"/>
                <w:sz w:val="14"/>
                <w:szCs w:val="14"/>
                <w:b w:val="1"/>
                <w:bCs w:val="1"/>
                <w:color w:val="auto"/>
                <w:w w:val="99"/>
              </w:rPr>
              <w:t>Three Months Ended</w:t>
            </w:r>
          </w:p>
        </w:tc>
        <w:tc>
          <w:tcPr>
            <w:tcW w:w="240" w:type="dxa"/>
            <w:vAlign w:val="bottom"/>
          </w:tcPr>
          <w:p>
            <w:pPr>
              <w:spacing w:after="0"/>
              <w:rPr>
                <w:sz w:val="14"/>
                <w:szCs w:val="14"/>
                <w:color w:val="auto"/>
              </w:rPr>
            </w:pPr>
          </w:p>
        </w:tc>
        <w:tc>
          <w:tcPr>
            <w:tcW w:w="1740" w:type="dxa"/>
            <w:vAlign w:val="bottom"/>
            <w:gridSpan w:val="5"/>
          </w:tcPr>
          <w:p>
            <w:pPr>
              <w:jc w:val="right"/>
              <w:ind w:right="44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414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860" w:type="dxa"/>
            <w:vAlign w:val="bottom"/>
            <w:tcBorders>
              <w:top w:val="single" w:sz="8" w:color="auto"/>
            </w:tcBorders>
            <w:gridSpan w:val="2"/>
          </w:tcPr>
          <w:p>
            <w:pPr>
              <w:jc w:val="right"/>
              <w:ind w:right="400"/>
              <w:spacing w:after="0" w:line="129" w:lineRule="exact"/>
              <w:rPr>
                <w:sz w:val="20"/>
                <w:szCs w:val="20"/>
                <w:color w:val="auto"/>
              </w:rPr>
            </w:pPr>
            <w:r>
              <w:rPr>
                <w:rFonts w:ascii="Arial" w:cs="Arial" w:eastAsia="Arial" w:hAnsi="Arial"/>
                <w:sz w:val="14"/>
                <w:szCs w:val="14"/>
                <w:b w:val="1"/>
                <w:bCs w:val="1"/>
                <w:color w:val="auto"/>
                <w:w w:val="85"/>
              </w:rPr>
              <w:t>July 30,</w:t>
            </w:r>
          </w:p>
        </w:tc>
        <w:tc>
          <w:tcPr>
            <w:tcW w:w="24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9"/>
              </w:rPr>
              <w:t>July 31,</w:t>
            </w:r>
          </w:p>
        </w:tc>
        <w:tc>
          <w:tcPr>
            <w:tcW w:w="3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Borders>
              <w:top w:val="single" w:sz="8" w:color="auto"/>
            </w:tcBorders>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w w:val="85"/>
              </w:rPr>
              <w:t>July 30,</w:t>
            </w:r>
          </w:p>
        </w:tc>
        <w:tc>
          <w:tcPr>
            <w:tcW w:w="24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July 31,</w:t>
            </w:r>
          </w:p>
        </w:tc>
        <w:tc>
          <w:tcPr>
            <w:tcW w:w="200" w:type="dxa"/>
            <w:vAlign w:val="bottom"/>
          </w:tcPr>
          <w:p>
            <w:pPr>
              <w:spacing w:after="0"/>
              <w:rPr>
                <w:sz w:val="11"/>
                <w:szCs w:val="11"/>
                <w:color w:val="auto"/>
              </w:rPr>
            </w:pPr>
          </w:p>
        </w:tc>
      </w:tr>
      <w:tr>
        <w:trPr>
          <w:trHeight w:val="161"/>
        </w:trPr>
        <w:tc>
          <w:tcPr>
            <w:tcW w:w="4140" w:type="dxa"/>
            <w:vAlign w:val="bottom"/>
          </w:tcPr>
          <w:p>
            <w:pPr>
              <w:spacing w:after="0"/>
              <w:rPr>
                <w:sz w:val="14"/>
                <w:szCs w:val="14"/>
                <w:color w:val="auto"/>
              </w:rPr>
            </w:pPr>
          </w:p>
        </w:tc>
        <w:tc>
          <w:tcPr>
            <w:tcW w:w="2860" w:type="dxa"/>
            <w:vAlign w:val="bottom"/>
            <w:gridSpan w:val="2"/>
          </w:tcPr>
          <w:p>
            <w:pPr>
              <w:jc w:val="right"/>
              <w:ind w:right="22"/>
              <w:spacing w:after="0"/>
              <w:rPr>
                <w:sz w:val="20"/>
                <w:szCs w:val="20"/>
                <w:color w:val="auto"/>
              </w:rPr>
            </w:pPr>
            <w:r>
              <w:rPr>
                <w:rFonts w:ascii="Arial" w:cs="Arial" w:eastAsia="Arial" w:hAnsi="Arial"/>
                <w:sz w:val="14"/>
                <w:szCs w:val="14"/>
                <w:b w:val="1"/>
                <w:bCs w:val="1"/>
                <w:color w:val="auto"/>
              </w:rPr>
              <w:t>2011</w:t>
            </w:r>
          </w:p>
        </w:tc>
        <w:tc>
          <w:tcPr>
            <w:tcW w:w="400" w:type="dxa"/>
            <w:vAlign w:val="bottom"/>
          </w:tcPr>
          <w:p>
            <w:pPr>
              <w:spacing w:after="0"/>
              <w:rPr>
                <w:sz w:val="14"/>
                <w:szCs w:val="14"/>
                <w:color w:val="auto"/>
              </w:rPr>
            </w:pPr>
          </w:p>
        </w:tc>
        <w:tc>
          <w:tcPr>
            <w:tcW w:w="740" w:type="dxa"/>
            <w:vAlign w:val="bottom"/>
            <w:gridSpan w:val="2"/>
          </w:tcPr>
          <w:p>
            <w:pPr>
              <w:jc w:val="right"/>
              <w:ind w:right="39"/>
              <w:spacing w:after="0"/>
              <w:rPr>
                <w:sz w:val="20"/>
                <w:szCs w:val="20"/>
                <w:color w:val="auto"/>
              </w:rPr>
            </w:pPr>
            <w:r>
              <w:rPr>
                <w:rFonts w:ascii="Arial" w:cs="Arial" w:eastAsia="Arial" w:hAnsi="Arial"/>
                <w:sz w:val="14"/>
                <w:szCs w:val="14"/>
                <w:b w:val="1"/>
                <w:bCs w:val="1"/>
                <w:color w:val="auto"/>
              </w:rPr>
              <w:t>2010</w:t>
            </w:r>
          </w:p>
        </w:tc>
        <w:tc>
          <w:tcPr>
            <w:tcW w:w="380" w:type="dxa"/>
            <w:vAlign w:val="bottom"/>
          </w:tcPr>
          <w:p>
            <w:pPr>
              <w:spacing w:after="0"/>
              <w:rPr>
                <w:sz w:val="14"/>
                <w:szCs w:val="14"/>
                <w:color w:val="auto"/>
              </w:rPr>
            </w:pPr>
          </w:p>
        </w:tc>
        <w:tc>
          <w:tcPr>
            <w:tcW w:w="700" w:type="dxa"/>
            <w:vAlign w:val="bottom"/>
            <w:gridSpan w:val="2"/>
          </w:tcPr>
          <w:p>
            <w:pPr>
              <w:jc w:val="right"/>
              <w:ind w:right="22"/>
              <w:spacing w:after="0"/>
              <w:rPr>
                <w:sz w:val="20"/>
                <w:szCs w:val="20"/>
                <w:color w:val="auto"/>
              </w:rPr>
            </w:pPr>
            <w:r>
              <w:rPr>
                <w:rFonts w:ascii="Arial" w:cs="Arial" w:eastAsia="Arial" w:hAnsi="Arial"/>
                <w:sz w:val="14"/>
                <w:szCs w:val="14"/>
                <w:b w:val="1"/>
                <w:bCs w:val="1"/>
                <w:color w:val="auto"/>
              </w:rPr>
              <w:t>2011</w:t>
            </w:r>
          </w:p>
        </w:tc>
        <w:tc>
          <w:tcPr>
            <w:tcW w:w="380" w:type="dxa"/>
            <w:vAlign w:val="bottom"/>
          </w:tcPr>
          <w:p>
            <w:pPr>
              <w:spacing w:after="0"/>
              <w:rPr>
                <w:sz w:val="14"/>
                <w:szCs w:val="14"/>
                <w:color w:val="auto"/>
              </w:rPr>
            </w:pPr>
          </w:p>
        </w:tc>
        <w:tc>
          <w:tcPr>
            <w:tcW w:w="700" w:type="dxa"/>
            <w:vAlign w:val="bottom"/>
            <w:gridSpan w:val="2"/>
          </w:tcPr>
          <w:p>
            <w:pPr>
              <w:jc w:val="right"/>
              <w:ind w:right="19"/>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r>
      <w:tr>
        <w:trPr>
          <w:trHeight w:val="210"/>
        </w:trPr>
        <w:tc>
          <w:tcPr>
            <w:tcW w:w="41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Estimated fair value</w:t>
            </w:r>
          </w:p>
        </w:tc>
        <w:tc>
          <w:tcPr>
            <w:tcW w:w="240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$ 4.09</w:t>
            </w:r>
          </w:p>
        </w:tc>
        <w:tc>
          <w:tcPr>
            <w:tcW w:w="4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$ 5.14</w:t>
            </w:r>
          </w:p>
        </w:tc>
        <w:tc>
          <w:tcPr>
            <w:tcW w:w="38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$ 4.09</w:t>
            </w:r>
          </w:p>
        </w:tc>
        <w:tc>
          <w:tcPr>
            <w:tcW w:w="38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$ 5.14</w:t>
            </w:r>
          </w:p>
        </w:tc>
        <w:tc>
          <w:tcPr>
            <w:tcW w:w="200" w:type="dxa"/>
            <w:vAlign w:val="bottom"/>
            <w:tcBorders>
              <w:top w:val="single" w:sz="8" w:color="CCEEFF"/>
            </w:tcBorders>
            <w:shd w:val="clear" w:color="auto" w:fill="CCEEFF"/>
          </w:tcPr>
          <w:p>
            <w:pPr>
              <w:spacing w:after="0"/>
              <w:rPr>
                <w:sz w:val="18"/>
                <w:szCs w:val="18"/>
                <w:color w:val="auto"/>
              </w:rPr>
            </w:pPr>
          </w:p>
        </w:tc>
      </w:tr>
      <w:tr>
        <w:trPr>
          <w:trHeight w:val="216"/>
        </w:trPr>
        <w:tc>
          <w:tcPr>
            <w:tcW w:w="4140" w:type="dxa"/>
            <w:vAlign w:val="bottom"/>
          </w:tcPr>
          <w:p>
            <w:pPr>
              <w:spacing w:after="0"/>
              <w:rPr>
                <w:sz w:val="20"/>
                <w:szCs w:val="20"/>
                <w:color w:val="auto"/>
              </w:rPr>
            </w:pPr>
            <w:r>
              <w:rPr>
                <w:rFonts w:ascii="Arial" w:cs="Arial" w:eastAsia="Arial" w:hAnsi="Arial"/>
                <w:sz w:val="18"/>
                <w:szCs w:val="18"/>
                <w:color w:val="auto"/>
              </w:rPr>
              <w:t>Volatility</w:t>
            </w:r>
          </w:p>
        </w:tc>
        <w:tc>
          <w:tcPr>
            <w:tcW w:w="3260" w:type="dxa"/>
            <w:vAlign w:val="bottom"/>
            <w:gridSpan w:val="3"/>
          </w:tcPr>
          <w:p>
            <w:pPr>
              <w:jc w:val="right"/>
              <w:ind w:right="260"/>
              <w:spacing w:after="0"/>
              <w:rPr>
                <w:sz w:val="20"/>
                <w:szCs w:val="20"/>
                <w:color w:val="auto"/>
              </w:rPr>
            </w:pPr>
            <w:r>
              <w:rPr>
                <w:rFonts w:ascii="Arial" w:cs="Arial" w:eastAsia="Arial" w:hAnsi="Arial"/>
                <w:sz w:val="18"/>
                <w:szCs w:val="18"/>
                <w:color w:val="auto"/>
              </w:rPr>
              <w:t>46%</w:t>
            </w:r>
          </w:p>
        </w:tc>
        <w:tc>
          <w:tcPr>
            <w:tcW w:w="1120" w:type="dxa"/>
            <w:vAlign w:val="bottom"/>
            <w:gridSpan w:val="3"/>
          </w:tcPr>
          <w:p>
            <w:pPr>
              <w:jc w:val="right"/>
              <w:ind w:right="240"/>
              <w:spacing w:after="0"/>
              <w:rPr>
                <w:sz w:val="20"/>
                <w:szCs w:val="20"/>
                <w:color w:val="auto"/>
              </w:rPr>
            </w:pPr>
            <w:r>
              <w:rPr>
                <w:rFonts w:ascii="Arial" w:cs="Arial" w:eastAsia="Arial" w:hAnsi="Arial"/>
                <w:sz w:val="18"/>
                <w:szCs w:val="18"/>
                <w:color w:val="auto"/>
              </w:rPr>
              <w:t>53%</w:t>
            </w:r>
          </w:p>
        </w:tc>
        <w:tc>
          <w:tcPr>
            <w:tcW w:w="1080" w:type="dxa"/>
            <w:vAlign w:val="bottom"/>
            <w:gridSpan w:val="3"/>
          </w:tcPr>
          <w:p>
            <w:pPr>
              <w:jc w:val="right"/>
              <w:ind w:right="240"/>
              <w:spacing w:after="0"/>
              <w:rPr>
                <w:sz w:val="20"/>
                <w:szCs w:val="20"/>
                <w:color w:val="auto"/>
              </w:rPr>
            </w:pPr>
            <w:r>
              <w:rPr>
                <w:rFonts w:ascii="Arial" w:cs="Arial" w:eastAsia="Arial" w:hAnsi="Arial"/>
                <w:sz w:val="18"/>
                <w:szCs w:val="18"/>
                <w:color w:val="auto"/>
              </w:rPr>
              <w:t>46%</w:t>
            </w: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53%</w:t>
            </w:r>
          </w:p>
        </w:tc>
      </w:tr>
      <w:tr>
        <w:trPr>
          <w:trHeight w:val="216"/>
        </w:trPr>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326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0.5</w:t>
            </w:r>
          </w:p>
        </w:tc>
        <w:tc>
          <w:tcPr>
            <w:tcW w:w="112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0.5</w:t>
            </w:r>
          </w:p>
        </w:tc>
        <w:tc>
          <w:tcPr>
            <w:tcW w:w="108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0.5</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200" w:type="dxa"/>
            <w:vAlign w:val="bottom"/>
            <w:shd w:val="clear" w:color="auto" w:fill="CCEEFF"/>
          </w:tcPr>
          <w:p>
            <w:pPr>
              <w:spacing w:after="0"/>
              <w:rPr>
                <w:sz w:val="18"/>
                <w:szCs w:val="18"/>
                <w:color w:val="auto"/>
              </w:rPr>
            </w:pPr>
          </w:p>
        </w:tc>
      </w:tr>
      <w:tr>
        <w:trPr>
          <w:trHeight w:val="216"/>
        </w:trPr>
        <w:tc>
          <w:tcPr>
            <w:tcW w:w="4140" w:type="dxa"/>
            <w:vAlign w:val="bottom"/>
          </w:tcPr>
          <w:p>
            <w:pPr>
              <w:spacing w:after="0"/>
              <w:rPr>
                <w:sz w:val="20"/>
                <w:szCs w:val="20"/>
                <w:color w:val="auto"/>
              </w:rPr>
            </w:pPr>
            <w:r>
              <w:rPr>
                <w:rFonts w:ascii="Arial" w:cs="Arial" w:eastAsia="Arial" w:hAnsi="Arial"/>
                <w:sz w:val="18"/>
                <w:szCs w:val="18"/>
                <w:color w:val="auto"/>
              </w:rPr>
              <w:t>Risk-free interest rate</w:t>
            </w:r>
          </w:p>
        </w:tc>
        <w:tc>
          <w:tcPr>
            <w:tcW w:w="3260" w:type="dxa"/>
            <w:vAlign w:val="bottom"/>
            <w:gridSpan w:val="3"/>
          </w:tcPr>
          <w:p>
            <w:pPr>
              <w:jc w:val="right"/>
              <w:ind w:right="260"/>
              <w:spacing w:after="0"/>
              <w:rPr>
                <w:sz w:val="20"/>
                <w:szCs w:val="20"/>
                <w:color w:val="auto"/>
              </w:rPr>
            </w:pPr>
            <w:r>
              <w:rPr>
                <w:rFonts w:ascii="Arial" w:cs="Arial" w:eastAsia="Arial" w:hAnsi="Arial"/>
                <w:sz w:val="18"/>
                <w:szCs w:val="18"/>
                <w:color w:val="auto"/>
              </w:rPr>
              <w:t>0.2%</w:t>
            </w:r>
          </w:p>
        </w:tc>
        <w:tc>
          <w:tcPr>
            <w:tcW w:w="1120" w:type="dxa"/>
            <w:vAlign w:val="bottom"/>
            <w:gridSpan w:val="3"/>
          </w:tcPr>
          <w:p>
            <w:pPr>
              <w:jc w:val="right"/>
              <w:ind w:right="240"/>
              <w:spacing w:after="0"/>
              <w:rPr>
                <w:sz w:val="20"/>
                <w:szCs w:val="20"/>
                <w:color w:val="auto"/>
              </w:rPr>
            </w:pPr>
            <w:r>
              <w:rPr>
                <w:rFonts w:ascii="Arial" w:cs="Arial" w:eastAsia="Arial" w:hAnsi="Arial"/>
                <w:sz w:val="18"/>
                <w:szCs w:val="18"/>
                <w:color w:val="auto"/>
              </w:rPr>
              <w:t>0.2%</w:t>
            </w:r>
          </w:p>
        </w:tc>
        <w:tc>
          <w:tcPr>
            <w:tcW w:w="1080" w:type="dxa"/>
            <w:vAlign w:val="bottom"/>
            <w:gridSpan w:val="3"/>
          </w:tcPr>
          <w:p>
            <w:pPr>
              <w:jc w:val="right"/>
              <w:ind w:right="240"/>
              <w:spacing w:after="0"/>
              <w:rPr>
                <w:sz w:val="20"/>
                <w:szCs w:val="20"/>
                <w:color w:val="auto"/>
              </w:rPr>
            </w:pPr>
            <w:r>
              <w:rPr>
                <w:rFonts w:ascii="Arial" w:cs="Arial" w:eastAsia="Arial" w:hAnsi="Arial"/>
                <w:sz w:val="18"/>
                <w:szCs w:val="18"/>
                <w:color w:val="auto"/>
              </w:rPr>
              <w:t>0.2%</w:t>
            </w: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0.2%</w:t>
            </w:r>
          </w:p>
        </w:tc>
      </w:tr>
      <w:tr>
        <w:trPr>
          <w:trHeight w:val="216"/>
        </w:trPr>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24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r>
    </w:tbl>
    <w:p>
      <w:pPr>
        <w:spacing w:after="0" w:line="154"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The expected volatility for awards granted during the three and six months ended July 30, 2011 is based on an equally weighted combination of historical stock price volatility and implied volatility derived from traded options on the Company’s stock in the marketplace. The calculation of expected volatility for previous periods was based solely on historical stock price volatility. The Company believes that the combination of historical volatility and implied volatility provides a better estimate of future stock price volatility.</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Taxes</w:t>
      </w:r>
    </w:p>
    <w:p>
      <w:pPr>
        <w:spacing w:after="0" w:line="96" w:lineRule="exact"/>
        <w:rPr>
          <w:sz w:val="20"/>
          <w:szCs w:val="20"/>
          <w:color w:val="auto"/>
        </w:rPr>
      </w:pPr>
    </w:p>
    <w:p>
      <w:pPr>
        <w:ind w:right="380" w:firstLine="456"/>
        <w:spacing w:after="0" w:line="256" w:lineRule="auto"/>
        <w:rPr>
          <w:sz w:val="20"/>
          <w:szCs w:val="20"/>
          <w:color w:val="auto"/>
        </w:rPr>
      </w:pPr>
      <w:r>
        <w:rPr>
          <w:rFonts w:ascii="Arial" w:cs="Arial" w:eastAsia="Arial" w:hAnsi="Arial"/>
          <w:sz w:val="18"/>
          <w:szCs w:val="18"/>
          <w:color w:val="auto"/>
        </w:rPr>
        <w:t>During the three months ended July 30, 2011 and July 31, 2010, the Company’s effective tax rate was an income tax provision of 2.2% and 1.1%, respectively. During the six months ended July 30, 2011 and July 31, 2010, the Company’s effective tax rate was an income tax provision of 1.6% and 0.3%, respectively. The income tax provision for these periods was affected by non-tax-deductible expenses such as stock-based compensation expense and the amortization of acquired intangibles.</w:t>
      </w:r>
    </w:p>
    <w:p>
      <w:pPr>
        <w:spacing w:after="0" w:line="143"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During the three months ended July 30, 2011, the provision for income taxes consisted of the current income tax liability of $4.9 million, a reduction of unrecognized tax benefits of $2.6 million due to the expiration of the statute of limitations in a non-U.S. jurisdiction and an increase in unrecognized tax benefits of $1.8 million, and a settlement of a non-U.S. audit for $0.2 million. During the three months ended July 31, 2010, the provision for income taxes was impacted by the current income tax liability of $3.0 million, a reduction of unrecognized tax benefits for $2.3 million due to the expiration of the statute of limitations in a non-U.S. jurisdiction, an increase in unrecognized tax benefits of $2.3 million, a decrease of $1.5 million due a deferred tax asset for employee stock options on a non-U.S. subsidiary, and a $1.0 million withholding tax on the disposition of an investment.</w:t>
      </w:r>
    </w:p>
    <w:p>
      <w:pPr>
        <w:spacing w:after="0" w:line="12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During the six months ended July 30, 2011, the provision for income taxes consisted of the current income tax liability of $8.2 million, a reduction of unrecognized tax benefits of $6.9 million due to the expiration of the statute of limitations in multiple jurisdictions and an increase in unrecognized tax benefits of $3.8 million, and a settlement of a non-U.S. audit for $0.2 million. During the six months ended July 31, 2010, the provision for income taxes was impacted by the current income tax liability of $6.2 million, a reduction of unrecognized tax benefits of $8.8 million due to the expiration of the statute of limitations in multiple jurisdictions, an increase in unrecognized tax benefits of $4.4 million dollars, a decrease of $1.5 million due a deferred tax asset for employee stock options on a non-U.S. subsidiary, and a $1.0 million withholding tax on the disposition of an investment.</w:t>
      </w:r>
    </w:p>
    <w:p>
      <w:pPr>
        <w:spacing w:after="0" w:line="120"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During the next 12 months, it is reasonably possible that the amount of unrecognized tax benefits could decrease due to potential settlement with tax authorities and the expiration of applicable statutes of limitations. However, the amount cannot be reasonably estimated as the Company will have negotiations with various tax authorities throughout the year.</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We make a number of forward-looking statements that relate to future periods and include statements relating to our anticipation that the rate of new orders and shipments may vary significantly from quarter to quarter; our expectations regarding industry trends; our expectations regarding our inventory levels; our expectations regarding the amount of our future sales in Asia; our expectations regarding TD handset growth in China; our expectations regarding competition; our expectations relating to the protection of our intellectual property; our expectations regarding the amount of customer concentration in the future; our plans and expectations regarding our auction rate securities; our expectations regarding acquisitions, investments, strategic alliances and joint ventures; our expectations regarding net revenue, cost of goods sold as a percentage of revenue and operating expenses for the third quarter ending October 29, 2011 compared with the second quarter ended July 30, 2011; our expectations regarding the impact of legal proceedings and claims; our expectations regarding the adequacy of our capital resources, capital expenditures, investment requirements and commitments to meet our capital needs for the next 12 months; our ability to attract and retain highly skilled personnel; our expectations regarding the growth in business and operations; our plan regarding forward exchange contracts and the effect of foreign exchange rates; our expectations regarding unrecognized tax benefits; the effect of recent accounting pronouncements and changes in taxation rules; our expectation regarding the effectiveness of our hedges of foreign currency exposures; our expectations that quarterly operating results will fluctuate from quarter to quarter; our expectations regarding the current economic environment; our expectations regarding arrangements with suppliers; our expectations regarding our ability to develop and introduce new products and achieve market acceptance of our products; our expectations regarding pricing; our expectations regarding demand for our products and the impact of seasonality on demand; our expectations regarding defects; our expectations regarding the implementation and improvement of operational and financial systems, as well as the implementation of additional procedures and other internal management systems; our expectations regarding gross margin and the events that may cause gross margin to fluctuate; our expectations to transition our semiconductor products to increasingly smaller line width geometries; our expectations regarding the portion of our operations and sales outside of the United States; our expectations regarding the adequacy of our internal control over financial reporting; our expectations regarding future impairment review of our goodwill and intangible assets; and the anticipated features and benefits of our technology solutions.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and mobile and wireless markets, which are highly cyclical; our ability to successfully compete in the markets in which we serve; our ability to scale our operations in response to changes in demand for existing or new products and services; our maintenance of an effective system of internal controls; our dependence on a small number of customers; our ability and our customers’ ability to develop new and enhanced products;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lengthy and expensive product sales cycles; and the outcome of pending or future litigation and legal proceedings.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System-on-a-Chip (“SOC”) devices leveraging our extensive technology portfolio of intellectual property in the areas of analog, mixed-signal, digital signal processing and embedded ARM-based microprocessor integrated circuits. We also develop platforms that we define as integrated hardware and software that incorporate digital computing technologies designed and configured to provide an optimized computing solution compared to individual components. Our broad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An increasing number of our products are being incorporated into consumer electronics products, including smartphones, printers, gaming devices and tablets, which are subject to significant seasonality and fluctuations in demand. Due to holiday and back to school buying trends, we expect these seasonal demand patterns generally will negatively impact our results in the first and fourth quarter and positively impact our results in the second and third quarter of our fiscal years.</w:t>
      </w:r>
    </w:p>
    <w:p>
      <w:pPr>
        <w:spacing w:after="0" w:line="143"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A portion of our sales have historically been made on the basis of purchase orders rather than long-term agreements.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98" w:lineRule="exact"/>
        <w:rPr>
          <w:sz w:val="20"/>
          <w:szCs w:val="20"/>
          <w:color w:val="auto"/>
        </w:rPr>
      </w:pPr>
    </w:p>
    <w:p>
      <w:pPr>
        <w:jc w:val="both"/>
        <w:ind w:right="60" w:firstLine="456"/>
        <w:spacing w:after="0" w:line="256"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2012 and fiscal 2011 are comprised of 52-week periods. In this Quarterly Report on Form 10-Q, we refer to the fiscal year ended January 30, 2010 as fiscal 2010, the fiscal year ended January 29, 2011 as fiscal 2011 and the fiscal year ending January 28, 2012 as fiscal 2012.</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4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29, 2011.</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During the three months ended July 30, 2011, our net revenue grew 12 percent sequentially, with growth in all of our major product lines. Our sales into both the storage and the mobile and wireless end markets experienced double digit sequential revenue increase driven by growth of new products, increased adoption of existing products, and seasonality. Typically, the second and third quarters are seasonally better due to holiday and back to school buying trends, particularly with our products being used in consumer electronics devices, such as gaming devices.</w:t>
      </w:r>
    </w:p>
    <w:p>
      <w:pPr>
        <w:spacing w:after="0" w:line="113"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In addition, we also delivered solid profitability with gross margins of 57.9%, operating margins of 21.7% and operating cash flow of $263 million. Our customer base within the mobile and wireless end market continues to expand, and in the second quarter of fiscal 2012, no single customer in this end market accounted for more than 10% of our net revenue. We are executing well on our new product initiatives and, with increased adoption for our existing products, we expect to continue to generate solid results. As a sign of this confidence, during the second quarter of fiscal 2012, our board of directors authorized us to repurchase up to an additional $500 million of our outstanding common shares under our share repurchase program, bringing the total authorized amount under the plan to $1.5 billion. We repurchased and retired approximately nine million shares during the second quarter of fiscal 2012. Under the program, over the past four quarters, we have repurchased and retired over 64 million shares, or nearly 10 percent, of our outstanding common shares.</w:t>
      </w:r>
    </w:p>
    <w:p>
      <w:pPr>
        <w:spacing w:after="0" w:line="118"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As we look forward to the third quarter of fiscal 2012, we expect revenue to continue to grow at high single digits sequentially. This sequential growth is largely driven by continued new product growth, increased adoption of existing products, and seasonality. For example, we expect TD handset in China to grow at double digits sequentially and our existing networking products to increase their market presence.</w:t>
      </w:r>
    </w:p>
    <w:p>
      <w:pPr>
        <w:spacing w:after="0" w:line="140" w:lineRule="exact"/>
        <w:rPr>
          <w:sz w:val="20"/>
          <w:szCs w:val="20"/>
          <w:color w:val="auto"/>
        </w:rPr>
      </w:pPr>
    </w:p>
    <w:p>
      <w:pPr>
        <w:ind w:right="20" w:firstLine="456"/>
        <w:spacing w:after="0" w:line="318" w:lineRule="auto"/>
        <w:rPr>
          <w:sz w:val="20"/>
          <w:szCs w:val="20"/>
          <w:color w:val="auto"/>
        </w:rPr>
      </w:pPr>
      <w:r>
        <w:rPr>
          <w:rFonts w:ascii="Arial" w:cs="Arial" w:eastAsia="Arial" w:hAnsi="Arial"/>
          <w:sz w:val="15"/>
          <w:szCs w:val="15"/>
          <w:color w:val="auto"/>
        </w:rPr>
        <w:t>In the near to medium-term, we anticipate modest gross margin pressure driven by several factors. First, gold prices have increased dramatically over the past two years, and the surcharges paid to our assembly vendors have risen as a result. While we are in the process of transitioning our designs to copper instead of gold, this will take some time. Secondly, wafer price discounts have been less than normal and have not kept pace with the price discounts we provide to our customers. Thirdly, we are now bringing to market more products at more expensive new process nodes resulting in a temporary impact to gross margins. Finally, we are also expecting an increase in sales of some lower-margin products especially in high-volume end markets, which is lowering our overall gross margin.</w:t>
      </w:r>
    </w:p>
    <w:p>
      <w:pPr>
        <w:spacing w:after="0" w:line="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7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140" w:type="dxa"/>
            <w:vAlign w:val="bottom"/>
            <w:gridSpan w:val="7"/>
          </w:tcPr>
          <w:p>
            <w:pPr>
              <w:jc w:val="right"/>
              <w:ind w:right="692"/>
              <w:spacing w:after="0"/>
              <w:rPr>
                <w:sz w:val="20"/>
                <w:szCs w:val="20"/>
                <w:color w:val="auto"/>
              </w:rPr>
            </w:pPr>
            <w:r>
              <w:rPr>
                <w:rFonts w:ascii="Arial" w:cs="Arial" w:eastAsia="Arial" w:hAnsi="Arial"/>
                <w:sz w:val="14"/>
                <w:szCs w:val="14"/>
                <w:b w:val="1"/>
                <w:bCs w:val="1"/>
                <w:color w:val="auto"/>
                <w:w w:val="98"/>
              </w:rPr>
              <w:t>Three Months Ended</w:t>
            </w:r>
          </w:p>
        </w:tc>
        <w:tc>
          <w:tcPr>
            <w:tcW w:w="1500" w:type="dxa"/>
            <w:vAlign w:val="bottom"/>
            <w:gridSpan w:val="5"/>
          </w:tcPr>
          <w:p>
            <w:pPr>
              <w:jc w:val="right"/>
              <w:ind w:right="280"/>
              <w:spacing w:after="0"/>
              <w:rPr>
                <w:sz w:val="20"/>
                <w:szCs w:val="20"/>
                <w:color w:val="auto"/>
              </w:rPr>
            </w:pPr>
            <w:r>
              <w:rPr>
                <w:rFonts w:ascii="Arial" w:cs="Arial" w:eastAsia="Arial" w:hAnsi="Arial"/>
                <w:sz w:val="14"/>
                <w:szCs w:val="14"/>
                <w:b w:val="1"/>
                <w:bCs w:val="1"/>
                <w:color w:val="auto"/>
                <w:w w:val="98"/>
              </w:rPr>
              <w:t>Six Months Ended</w:t>
            </w: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80" w:type="dxa"/>
            <w:vAlign w:val="bottom"/>
            <w:tcBorders>
              <w:top w:val="single" w:sz="8" w:color="auto"/>
            </w:tcBorders>
            <w:gridSpan w:val="3"/>
          </w:tcPr>
          <w:p>
            <w:pPr>
              <w:jc w:val="center"/>
              <w:ind w:right="20"/>
              <w:spacing w:after="0" w:line="129" w:lineRule="exact"/>
              <w:rPr>
                <w:sz w:val="20"/>
                <w:szCs w:val="20"/>
                <w:color w:val="auto"/>
              </w:rPr>
            </w:pPr>
            <w:r>
              <w:rPr>
                <w:rFonts w:ascii="Arial" w:cs="Arial" w:eastAsia="Arial" w:hAnsi="Arial"/>
                <w:sz w:val="14"/>
                <w:szCs w:val="14"/>
                <w:b w:val="1"/>
                <w:bCs w:val="1"/>
                <w:color w:val="auto"/>
                <w:w w:val="89"/>
              </w:rPr>
              <w:t>July 30,</w:t>
            </w:r>
          </w:p>
        </w:tc>
        <w:tc>
          <w:tcPr>
            <w:tcW w:w="56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July 31,</w:t>
            </w:r>
          </w:p>
        </w:tc>
        <w:tc>
          <w:tcPr>
            <w:tcW w:w="600" w:type="dxa"/>
            <w:vAlign w:val="bottom"/>
          </w:tcPr>
          <w:p>
            <w:pPr>
              <w:spacing w:after="0"/>
              <w:rPr>
                <w:sz w:val="11"/>
                <w:szCs w:val="11"/>
                <w:color w:val="auto"/>
              </w:rPr>
            </w:pPr>
          </w:p>
        </w:tc>
        <w:tc>
          <w:tcPr>
            <w:tcW w:w="960" w:type="dxa"/>
            <w:vAlign w:val="bottom"/>
            <w:tcBorders>
              <w:top w:val="single" w:sz="8" w:color="auto"/>
            </w:tcBorders>
            <w:gridSpan w:val="2"/>
          </w:tcPr>
          <w:p>
            <w:pPr>
              <w:jc w:val="right"/>
              <w:ind w:right="492"/>
              <w:spacing w:after="0" w:line="129" w:lineRule="exact"/>
              <w:rPr>
                <w:sz w:val="20"/>
                <w:szCs w:val="20"/>
                <w:color w:val="auto"/>
              </w:rPr>
            </w:pPr>
            <w:r>
              <w:rPr>
                <w:rFonts w:ascii="Arial" w:cs="Arial" w:eastAsia="Arial" w:hAnsi="Arial"/>
                <w:sz w:val="14"/>
                <w:szCs w:val="14"/>
                <w:b w:val="1"/>
                <w:bCs w:val="1"/>
                <w:color w:val="auto"/>
                <w:w w:val="73"/>
              </w:rPr>
              <w:t>July 30,</w:t>
            </w:r>
          </w:p>
        </w:tc>
        <w:tc>
          <w:tcPr>
            <w:tcW w:w="4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July 31,</w:t>
            </w: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700" w:type="dxa"/>
            <w:vAlign w:val="bottom"/>
            <w:tcBorders>
              <w:bottom w:val="single" w:sz="8" w:color="CCEEFF"/>
            </w:tcBorders>
          </w:tcPr>
          <w:p>
            <w:pPr>
              <w:spacing w:after="0"/>
              <w:rPr>
                <w:sz w:val="14"/>
                <w:szCs w:val="14"/>
                <w:color w:val="auto"/>
              </w:rPr>
            </w:pPr>
          </w:p>
        </w:tc>
        <w:tc>
          <w:tcPr>
            <w:tcW w:w="58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64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gridSpan w:val="2"/>
          </w:tcPr>
          <w:p>
            <w:pPr>
              <w:jc w:val="right"/>
              <w:ind w:right="32"/>
              <w:spacing w:after="0"/>
              <w:rPr>
                <w:sz w:val="20"/>
                <w:szCs w:val="20"/>
                <w:color w:val="auto"/>
              </w:rPr>
            </w:pPr>
            <w:r>
              <w:rPr>
                <w:rFonts w:ascii="Arial" w:cs="Arial" w:eastAsia="Arial" w:hAnsi="Arial"/>
                <w:sz w:val="14"/>
                <w:szCs w:val="14"/>
                <w:b w:val="1"/>
                <w:bCs w:val="1"/>
                <w:color w:val="auto"/>
              </w:rPr>
              <w:t>2011</w:t>
            </w:r>
          </w:p>
        </w:tc>
        <w:tc>
          <w:tcPr>
            <w:tcW w:w="20" w:type="dxa"/>
            <w:vAlign w:val="bottom"/>
            <w:tcBorders>
              <w:bottom w:val="single" w:sz="8" w:color="CCEEFF"/>
            </w:tcBorders>
          </w:tcPr>
          <w:p>
            <w:pPr>
              <w:spacing w:after="0"/>
              <w:rPr>
                <w:sz w:val="14"/>
                <w:szCs w:val="14"/>
                <w:color w:val="auto"/>
              </w:rPr>
            </w:pPr>
          </w:p>
        </w:tc>
        <w:tc>
          <w:tcPr>
            <w:tcW w:w="560" w:type="dxa"/>
            <w:vAlign w:val="bottom"/>
            <w:tcBorders>
              <w:bottom w:val="single" w:sz="8" w:color="CCEEFF"/>
            </w:tcBorders>
          </w:tcPr>
          <w:p>
            <w:pPr>
              <w:spacing w:after="0"/>
              <w:rPr>
                <w:sz w:val="14"/>
                <w:szCs w:val="14"/>
                <w:color w:val="auto"/>
              </w:rPr>
            </w:pPr>
          </w:p>
        </w:tc>
        <w:tc>
          <w:tcPr>
            <w:tcW w:w="500" w:type="dxa"/>
            <w:vAlign w:val="bottom"/>
            <w:tcBorders>
              <w:bottom w:val="single" w:sz="8" w:color="auto"/>
            </w:tcBorders>
            <w:gridSpan w:val="2"/>
          </w:tcPr>
          <w:p>
            <w:pPr>
              <w:jc w:val="right"/>
              <w:ind w:right="52"/>
              <w:spacing w:after="0"/>
              <w:rPr>
                <w:sz w:val="20"/>
                <w:szCs w:val="20"/>
                <w:color w:val="auto"/>
              </w:rPr>
            </w:pPr>
            <w:r>
              <w:rPr>
                <w:rFonts w:ascii="Arial" w:cs="Arial" w:eastAsia="Arial" w:hAnsi="Arial"/>
                <w:sz w:val="14"/>
                <w:szCs w:val="14"/>
                <w:b w:val="1"/>
                <w:bCs w:val="1"/>
                <w:color w:val="auto"/>
              </w:rPr>
              <w:t>2010</w:t>
            </w:r>
          </w:p>
        </w:tc>
        <w:tc>
          <w:tcPr>
            <w:tcW w:w="600" w:type="dxa"/>
            <w:vAlign w:val="bottom"/>
            <w:tcBorders>
              <w:bottom w:val="single" w:sz="8" w:color="CCEEFF"/>
            </w:tcBorders>
          </w:tcPr>
          <w:p>
            <w:pPr>
              <w:spacing w:after="0"/>
              <w:rPr>
                <w:sz w:val="14"/>
                <w:szCs w:val="14"/>
                <w:color w:val="auto"/>
              </w:rPr>
            </w:pPr>
          </w:p>
        </w:tc>
        <w:tc>
          <w:tcPr>
            <w:tcW w:w="400" w:type="dxa"/>
            <w:vAlign w:val="bottom"/>
            <w:tcBorders>
              <w:bottom w:val="single" w:sz="8" w:color="auto"/>
            </w:tcBorders>
          </w:tcPr>
          <w:p>
            <w:pPr>
              <w:jc w:val="right"/>
              <w:ind w:right="17"/>
              <w:spacing w:after="0"/>
              <w:rPr>
                <w:sz w:val="20"/>
                <w:szCs w:val="20"/>
                <w:color w:val="auto"/>
              </w:rPr>
            </w:pPr>
            <w:r>
              <w:rPr>
                <w:rFonts w:ascii="Arial" w:cs="Arial" w:eastAsia="Arial" w:hAnsi="Arial"/>
                <w:sz w:val="14"/>
                <w:szCs w:val="14"/>
                <w:b w:val="1"/>
                <w:bCs w:val="1"/>
                <w:color w:val="auto"/>
                <w:w w:val="89"/>
              </w:rPr>
              <w:t>2011</w:t>
            </w:r>
          </w:p>
        </w:tc>
        <w:tc>
          <w:tcPr>
            <w:tcW w:w="56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gridSpan w:val="2"/>
          </w:tcPr>
          <w:p>
            <w:pPr>
              <w:jc w:val="right"/>
              <w:ind w:right="32"/>
              <w:spacing w:after="0"/>
              <w:rPr>
                <w:sz w:val="20"/>
                <w:szCs w:val="20"/>
                <w:color w:val="auto"/>
              </w:rPr>
            </w:pPr>
            <w:r>
              <w:rPr>
                <w:rFonts w:ascii="Arial" w:cs="Arial" w:eastAsia="Arial" w:hAnsi="Arial"/>
                <w:sz w:val="14"/>
                <w:szCs w:val="14"/>
                <w:b w:val="1"/>
                <w:bCs w:val="1"/>
                <w:color w:val="auto"/>
              </w:rPr>
              <w:t>2010</w:t>
            </w:r>
          </w:p>
        </w:tc>
        <w:tc>
          <w:tcPr>
            <w:tcW w:w="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7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5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40" w:type="dxa"/>
            <w:vAlign w:val="bottom"/>
            <w:gridSpan w:val="4"/>
            <w:shd w:val="clear" w:color="auto" w:fill="CCEEFF"/>
          </w:tcPr>
          <w:p>
            <w:pPr>
              <w:jc w:val="right"/>
              <w:ind w:right="346"/>
              <w:spacing w:after="0"/>
              <w:rPr>
                <w:sz w:val="20"/>
                <w:szCs w:val="20"/>
                <w:color w:val="auto"/>
              </w:rPr>
            </w:pPr>
            <w:r>
              <w:rPr>
                <w:rFonts w:ascii="Arial" w:cs="Arial" w:eastAsia="Arial" w:hAnsi="Arial"/>
                <w:sz w:val="18"/>
                <w:szCs w:val="18"/>
                <w:color w:val="auto"/>
                <w:w w:val="98"/>
              </w:rPr>
              <w:t>100.0%</w:t>
            </w:r>
          </w:p>
        </w:tc>
        <w:tc>
          <w:tcPr>
            <w:tcW w:w="1100" w:type="dxa"/>
            <w:vAlign w:val="bottom"/>
            <w:tcBorders>
              <w:right w:val="single" w:sz="8" w:color="CCEEFF"/>
            </w:tcBorders>
            <w:gridSpan w:val="3"/>
            <w:shd w:val="clear" w:color="auto" w:fill="CCEEFF"/>
          </w:tcPr>
          <w:p>
            <w:pPr>
              <w:jc w:val="right"/>
              <w:ind w:right="392"/>
              <w:spacing w:after="0"/>
              <w:rPr>
                <w:sz w:val="20"/>
                <w:szCs w:val="20"/>
                <w:color w:val="auto"/>
              </w:rPr>
            </w:pPr>
            <w:r>
              <w:rPr>
                <w:rFonts w:ascii="Arial" w:cs="Arial" w:eastAsia="Arial" w:hAnsi="Arial"/>
                <w:sz w:val="18"/>
                <w:szCs w:val="18"/>
                <w:color w:val="auto"/>
              </w:rPr>
              <w:t>100.0%</w:t>
            </w:r>
          </w:p>
        </w:tc>
        <w:tc>
          <w:tcPr>
            <w:tcW w:w="960" w:type="dxa"/>
            <w:vAlign w:val="bottom"/>
            <w:gridSpan w:val="2"/>
            <w:shd w:val="clear" w:color="auto" w:fill="CCEEFF"/>
          </w:tcPr>
          <w:p>
            <w:pPr>
              <w:jc w:val="right"/>
              <w:ind w:right="332"/>
              <w:spacing w:after="0"/>
              <w:rPr>
                <w:sz w:val="20"/>
                <w:szCs w:val="20"/>
                <w:color w:val="auto"/>
              </w:rPr>
            </w:pPr>
            <w:r>
              <w:rPr>
                <w:rFonts w:ascii="Arial" w:cs="Arial" w:eastAsia="Arial" w:hAnsi="Arial"/>
                <w:sz w:val="18"/>
                <w:szCs w:val="18"/>
                <w:color w:val="auto"/>
                <w:w w:val="88"/>
              </w:rPr>
              <w:t>100.0%</w:t>
            </w:r>
          </w:p>
        </w:tc>
        <w:tc>
          <w:tcPr>
            <w:tcW w:w="6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4"/>
              </w:rPr>
              <w:t>100.0%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7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5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7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5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12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42.1</w:t>
            </w:r>
          </w:p>
        </w:tc>
        <w:tc>
          <w:tcPr>
            <w:tcW w:w="56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40.9</w:t>
            </w:r>
          </w:p>
        </w:tc>
        <w:tc>
          <w:tcPr>
            <w:tcW w:w="60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492"/>
              <w:spacing w:after="0"/>
              <w:rPr>
                <w:sz w:val="20"/>
                <w:szCs w:val="20"/>
                <w:color w:val="auto"/>
              </w:rPr>
            </w:pPr>
            <w:r>
              <w:rPr>
                <w:rFonts w:ascii="Arial" w:cs="Arial" w:eastAsia="Arial" w:hAnsi="Arial"/>
                <w:sz w:val="18"/>
                <w:szCs w:val="18"/>
                <w:color w:val="auto"/>
              </w:rPr>
              <w:t>41.9</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40.6</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70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5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20" w:type="dxa"/>
            <w:vAlign w:val="bottom"/>
            <w:gridSpan w:val="4"/>
          </w:tcPr>
          <w:p>
            <w:pPr>
              <w:jc w:val="right"/>
              <w:ind w:right="20"/>
              <w:spacing w:after="0"/>
              <w:rPr>
                <w:sz w:val="20"/>
                <w:szCs w:val="20"/>
                <w:color w:val="auto"/>
              </w:rPr>
            </w:pPr>
            <w:r>
              <w:rPr>
                <w:rFonts w:ascii="Arial" w:cs="Arial" w:eastAsia="Arial" w:hAnsi="Arial"/>
                <w:sz w:val="18"/>
                <w:szCs w:val="18"/>
                <w:color w:val="auto"/>
              </w:rPr>
              <w:t>27.8</w:t>
            </w:r>
          </w:p>
        </w:tc>
        <w:tc>
          <w:tcPr>
            <w:tcW w:w="560" w:type="dxa"/>
            <w:vAlign w:val="bottom"/>
          </w:tcPr>
          <w:p>
            <w:pPr>
              <w:spacing w:after="0"/>
              <w:rPr>
                <w:sz w:val="18"/>
                <w:szCs w:val="18"/>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25.5</w:t>
            </w:r>
          </w:p>
        </w:tc>
        <w:tc>
          <w:tcPr>
            <w:tcW w:w="600" w:type="dxa"/>
            <w:vAlign w:val="bottom"/>
          </w:tcPr>
          <w:p>
            <w:pPr>
              <w:spacing w:after="0"/>
              <w:rPr>
                <w:sz w:val="18"/>
                <w:szCs w:val="18"/>
                <w:color w:val="auto"/>
              </w:rPr>
            </w:pPr>
          </w:p>
        </w:tc>
        <w:tc>
          <w:tcPr>
            <w:tcW w:w="960" w:type="dxa"/>
            <w:vAlign w:val="bottom"/>
            <w:gridSpan w:val="2"/>
          </w:tcPr>
          <w:p>
            <w:pPr>
              <w:jc w:val="right"/>
              <w:ind w:right="492"/>
              <w:spacing w:after="0"/>
              <w:rPr>
                <w:sz w:val="20"/>
                <w:szCs w:val="20"/>
                <w:color w:val="auto"/>
              </w:rPr>
            </w:pPr>
            <w:r>
              <w:rPr>
                <w:rFonts w:ascii="Arial" w:cs="Arial" w:eastAsia="Arial" w:hAnsi="Arial"/>
                <w:sz w:val="18"/>
                <w:szCs w:val="18"/>
                <w:color w:val="auto"/>
              </w:rPr>
              <w:t>29.0</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25.5</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7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5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12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4.5</w:t>
            </w:r>
          </w:p>
        </w:tc>
        <w:tc>
          <w:tcPr>
            <w:tcW w:w="56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60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492"/>
              <w:spacing w:after="0"/>
              <w:rPr>
                <w:sz w:val="20"/>
                <w:szCs w:val="20"/>
                <w:color w:val="auto"/>
              </w:rPr>
            </w:pPr>
            <w:r>
              <w:rPr>
                <w:rFonts w:ascii="Arial" w:cs="Arial" w:eastAsia="Arial" w:hAnsi="Arial"/>
                <w:sz w:val="18"/>
                <w:szCs w:val="18"/>
                <w:color w:val="auto"/>
              </w:rPr>
              <w:t>4.6</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70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5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20" w:type="dxa"/>
            <w:vAlign w:val="bottom"/>
            <w:gridSpan w:val="4"/>
          </w:tcPr>
          <w:p>
            <w:pPr>
              <w:jc w:val="right"/>
              <w:ind w:right="20"/>
              <w:spacing w:after="0"/>
              <w:rPr>
                <w:sz w:val="20"/>
                <w:szCs w:val="20"/>
                <w:color w:val="auto"/>
              </w:rPr>
            </w:pPr>
            <w:r>
              <w:rPr>
                <w:rFonts w:ascii="Arial" w:cs="Arial" w:eastAsia="Arial" w:hAnsi="Arial"/>
                <w:sz w:val="18"/>
                <w:szCs w:val="18"/>
                <w:color w:val="auto"/>
              </w:rPr>
              <w:t>2.7</w:t>
            </w:r>
          </w:p>
        </w:tc>
        <w:tc>
          <w:tcPr>
            <w:tcW w:w="560" w:type="dxa"/>
            <w:vAlign w:val="bottom"/>
          </w:tcPr>
          <w:p>
            <w:pPr>
              <w:spacing w:after="0"/>
              <w:rPr>
                <w:sz w:val="18"/>
                <w:szCs w:val="18"/>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2.8</w:t>
            </w:r>
          </w:p>
        </w:tc>
        <w:tc>
          <w:tcPr>
            <w:tcW w:w="600" w:type="dxa"/>
            <w:vAlign w:val="bottom"/>
          </w:tcPr>
          <w:p>
            <w:pPr>
              <w:spacing w:after="0"/>
              <w:rPr>
                <w:sz w:val="18"/>
                <w:szCs w:val="18"/>
                <w:color w:val="auto"/>
              </w:rPr>
            </w:pPr>
          </w:p>
        </w:tc>
        <w:tc>
          <w:tcPr>
            <w:tcW w:w="960" w:type="dxa"/>
            <w:vAlign w:val="bottom"/>
            <w:gridSpan w:val="2"/>
          </w:tcPr>
          <w:p>
            <w:pPr>
              <w:jc w:val="right"/>
              <w:ind w:right="492"/>
              <w:spacing w:after="0"/>
              <w:rPr>
                <w:sz w:val="20"/>
                <w:szCs w:val="20"/>
                <w:color w:val="auto"/>
              </w:rPr>
            </w:pPr>
            <w:r>
              <w:rPr>
                <w:rFonts w:ascii="Arial" w:cs="Arial" w:eastAsia="Arial" w:hAnsi="Arial"/>
                <w:sz w:val="18"/>
                <w:szCs w:val="18"/>
                <w:color w:val="auto"/>
              </w:rPr>
              <w:t>2.9</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2.8</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7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Amortization of acquired intangible assets</w:t>
            </w:r>
          </w:p>
        </w:tc>
        <w:tc>
          <w:tcPr>
            <w:tcW w:w="5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1.2</w:t>
            </w:r>
          </w:p>
        </w:tc>
        <w:tc>
          <w:tcPr>
            <w:tcW w:w="56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60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492"/>
              <w:spacing w:after="0"/>
              <w:rPr>
                <w:sz w:val="20"/>
                <w:szCs w:val="20"/>
                <w:color w:val="auto"/>
              </w:rPr>
            </w:pPr>
            <w:r>
              <w:rPr>
                <w:rFonts w:ascii="Arial" w:cs="Arial" w:eastAsia="Arial" w:hAnsi="Arial"/>
                <w:sz w:val="18"/>
                <w:szCs w:val="18"/>
                <w:color w:val="auto"/>
              </w:rPr>
              <w:t>1.4</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700" w:type="dxa"/>
            <w:vAlign w:val="bottom"/>
            <w:vMerge w:val="restart"/>
          </w:tcPr>
          <w:p>
            <w:pPr>
              <w:ind w:left="880"/>
              <w:spacing w:after="0"/>
              <w:rPr>
                <w:sz w:val="20"/>
                <w:szCs w:val="20"/>
                <w:color w:val="auto"/>
              </w:rPr>
            </w:pPr>
            <w:r>
              <w:rPr>
                <w:rFonts w:ascii="Arial" w:cs="Arial" w:eastAsia="Arial" w:hAnsi="Arial"/>
                <w:sz w:val="18"/>
                <w:szCs w:val="18"/>
                <w:color w:val="auto"/>
              </w:rPr>
              <w:t>Total operating costs and expenses</w:t>
            </w:r>
          </w:p>
        </w:tc>
        <w:tc>
          <w:tcPr>
            <w:tcW w:w="5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00" w:type="dxa"/>
            <w:vAlign w:val="bottom"/>
            <w:tcBorders>
              <w:right w:val="single" w:sz="8" w:color="auto"/>
            </w:tcBorders>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0" w:type="dxa"/>
            <w:vAlign w:val="bottom"/>
          </w:tcPr>
          <w:p>
            <w:pPr>
              <w:spacing w:after="0"/>
              <w:rPr>
                <w:sz w:val="19"/>
                <w:szCs w:val="19"/>
                <w:color w:val="auto"/>
              </w:rPr>
            </w:pPr>
          </w:p>
        </w:tc>
        <w:tc>
          <w:tcPr>
            <w:tcW w:w="4700" w:type="dxa"/>
            <w:vAlign w:val="bottom"/>
            <w:vMerge w:val="continue"/>
          </w:tcPr>
          <w:p>
            <w:pPr>
              <w:spacing w:after="0"/>
              <w:rPr>
                <w:sz w:val="19"/>
                <w:szCs w:val="19"/>
                <w:color w:val="auto"/>
              </w:rPr>
            </w:pPr>
          </w:p>
        </w:tc>
        <w:tc>
          <w:tcPr>
            <w:tcW w:w="5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480" w:type="dxa"/>
            <w:vAlign w:val="bottom"/>
            <w:gridSpan w:val="3"/>
          </w:tcPr>
          <w:p>
            <w:pPr>
              <w:jc w:val="right"/>
              <w:ind w:right="20"/>
              <w:spacing w:after="0"/>
              <w:rPr>
                <w:sz w:val="20"/>
                <w:szCs w:val="20"/>
                <w:color w:val="auto"/>
              </w:rPr>
            </w:pPr>
            <w:r>
              <w:rPr>
                <w:rFonts w:ascii="Arial" w:cs="Arial" w:eastAsia="Arial" w:hAnsi="Arial"/>
                <w:sz w:val="18"/>
                <w:szCs w:val="18"/>
                <w:color w:val="auto"/>
              </w:rPr>
              <w:t>78.3</w:t>
            </w:r>
          </w:p>
        </w:tc>
        <w:tc>
          <w:tcPr>
            <w:tcW w:w="560" w:type="dxa"/>
            <w:vAlign w:val="bottom"/>
          </w:tcPr>
          <w:p>
            <w:pPr>
              <w:spacing w:after="0"/>
              <w:rPr>
                <w:sz w:val="19"/>
                <w:szCs w:val="19"/>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75.7</w:t>
            </w:r>
          </w:p>
        </w:tc>
        <w:tc>
          <w:tcPr>
            <w:tcW w:w="600" w:type="dxa"/>
            <w:vAlign w:val="bottom"/>
          </w:tcPr>
          <w:p>
            <w:pPr>
              <w:spacing w:after="0"/>
              <w:rPr>
                <w:sz w:val="19"/>
                <w:szCs w:val="19"/>
                <w:color w:val="auto"/>
              </w:rPr>
            </w:pPr>
          </w:p>
        </w:tc>
        <w:tc>
          <w:tcPr>
            <w:tcW w:w="960" w:type="dxa"/>
            <w:vAlign w:val="bottom"/>
            <w:gridSpan w:val="2"/>
          </w:tcPr>
          <w:p>
            <w:pPr>
              <w:jc w:val="right"/>
              <w:ind w:right="492"/>
              <w:spacing w:after="0"/>
              <w:rPr>
                <w:sz w:val="20"/>
                <w:szCs w:val="20"/>
                <w:color w:val="auto"/>
              </w:rPr>
            </w:pPr>
            <w:r>
              <w:rPr>
                <w:rFonts w:ascii="Arial" w:cs="Arial" w:eastAsia="Arial" w:hAnsi="Arial"/>
                <w:sz w:val="18"/>
                <w:szCs w:val="18"/>
                <w:color w:val="auto"/>
              </w:rPr>
              <w:t>79.8</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75.6</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460" w:type="dxa"/>
            <w:vAlign w:val="bottom"/>
            <w:vMerge w:val="restart"/>
          </w:tcPr>
          <w:p>
            <w:pPr>
              <w:spacing w:after="0"/>
              <w:rPr>
                <w:sz w:val="2"/>
                <w:szCs w:val="2"/>
                <w:color w:val="auto"/>
              </w:rPr>
            </w:pPr>
          </w:p>
        </w:tc>
        <w:tc>
          <w:tcPr>
            <w:tcW w:w="4700" w:type="dxa"/>
            <w:vAlign w:val="bottom"/>
          </w:tcPr>
          <w:p>
            <w:pPr>
              <w:spacing w:after="0"/>
              <w:rPr>
                <w:sz w:val="2"/>
                <w:szCs w:val="2"/>
                <w:color w:val="auto"/>
              </w:rPr>
            </w:pPr>
          </w:p>
        </w:tc>
        <w:tc>
          <w:tcPr>
            <w:tcW w:w="580" w:type="dxa"/>
            <w:vAlign w:val="bottom"/>
          </w:tcPr>
          <w:p>
            <w:pPr>
              <w:spacing w:after="0"/>
              <w:rPr>
                <w:sz w:val="2"/>
                <w:szCs w:val="2"/>
                <w:color w:val="auto"/>
              </w:rPr>
            </w:pPr>
          </w:p>
        </w:tc>
        <w:tc>
          <w:tcPr>
            <w:tcW w:w="82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56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600" w:type="dxa"/>
            <w:vAlign w:val="bottom"/>
            <w:tcBorders>
              <w:right w:val="single" w:sz="8" w:color="auto"/>
            </w:tcBorders>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5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21.7</w:t>
            </w:r>
          </w:p>
        </w:tc>
        <w:tc>
          <w:tcPr>
            <w:tcW w:w="56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24.3</w:t>
            </w:r>
          </w:p>
        </w:tc>
        <w:tc>
          <w:tcPr>
            <w:tcW w:w="60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492"/>
              <w:spacing w:after="0"/>
              <w:rPr>
                <w:sz w:val="20"/>
                <w:szCs w:val="20"/>
                <w:color w:val="auto"/>
              </w:rPr>
            </w:pPr>
            <w:r>
              <w:rPr>
                <w:rFonts w:ascii="Arial" w:cs="Arial" w:eastAsia="Arial" w:hAnsi="Arial"/>
                <w:sz w:val="18"/>
                <w:szCs w:val="18"/>
                <w:color w:val="auto"/>
              </w:rPr>
              <w:t>20.2</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24.4</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70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5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20" w:type="dxa"/>
            <w:vAlign w:val="bottom"/>
            <w:gridSpan w:val="4"/>
          </w:tcPr>
          <w:p>
            <w:pPr>
              <w:jc w:val="right"/>
              <w:ind w:right="20"/>
              <w:spacing w:after="0"/>
              <w:rPr>
                <w:sz w:val="20"/>
                <w:szCs w:val="20"/>
                <w:color w:val="auto"/>
              </w:rPr>
            </w:pPr>
            <w:r>
              <w:rPr>
                <w:rFonts w:ascii="Arial" w:cs="Arial" w:eastAsia="Arial" w:hAnsi="Arial"/>
                <w:sz w:val="18"/>
                <w:szCs w:val="18"/>
                <w:color w:val="auto"/>
              </w:rPr>
              <w:t>0.2</w:t>
            </w:r>
          </w:p>
        </w:tc>
        <w:tc>
          <w:tcPr>
            <w:tcW w:w="560" w:type="dxa"/>
            <w:vAlign w:val="bottom"/>
          </w:tcPr>
          <w:p>
            <w:pPr>
              <w:spacing w:after="0"/>
              <w:rPr>
                <w:sz w:val="18"/>
                <w:szCs w:val="18"/>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0.5</w:t>
            </w:r>
          </w:p>
        </w:tc>
        <w:tc>
          <w:tcPr>
            <w:tcW w:w="600" w:type="dxa"/>
            <w:vAlign w:val="bottom"/>
          </w:tcPr>
          <w:p>
            <w:pPr>
              <w:spacing w:after="0"/>
              <w:rPr>
                <w:sz w:val="18"/>
                <w:szCs w:val="18"/>
                <w:color w:val="auto"/>
              </w:rPr>
            </w:pPr>
          </w:p>
        </w:tc>
        <w:tc>
          <w:tcPr>
            <w:tcW w:w="960" w:type="dxa"/>
            <w:vAlign w:val="bottom"/>
            <w:gridSpan w:val="2"/>
          </w:tcPr>
          <w:p>
            <w:pPr>
              <w:jc w:val="right"/>
              <w:ind w:right="492"/>
              <w:spacing w:after="0"/>
              <w:rPr>
                <w:sz w:val="20"/>
                <w:szCs w:val="20"/>
                <w:color w:val="auto"/>
              </w:rPr>
            </w:pPr>
            <w:r>
              <w:rPr>
                <w:rFonts w:ascii="Arial" w:cs="Arial" w:eastAsia="Arial" w:hAnsi="Arial"/>
                <w:sz w:val="18"/>
                <w:szCs w:val="18"/>
                <w:color w:val="auto"/>
              </w:rPr>
              <w:t>0.1</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0.0</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5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40" w:type="dxa"/>
            <w:vAlign w:val="bottom"/>
            <w:gridSpan w:val="4"/>
            <w:shd w:val="clear" w:color="auto" w:fill="CCEEFF"/>
          </w:tcPr>
          <w:p>
            <w:pPr>
              <w:jc w:val="right"/>
              <w:ind w:right="446"/>
              <w:spacing w:after="0"/>
              <w:rPr>
                <w:sz w:val="20"/>
                <w:szCs w:val="20"/>
                <w:color w:val="auto"/>
              </w:rPr>
            </w:pPr>
            <w:r>
              <w:rPr>
                <w:rFonts w:ascii="Arial" w:cs="Arial" w:eastAsia="Arial" w:hAnsi="Arial"/>
                <w:sz w:val="18"/>
                <w:szCs w:val="18"/>
                <w:color w:val="auto"/>
              </w:rPr>
              <w:t>(0.0)</w:t>
            </w:r>
          </w:p>
        </w:tc>
        <w:tc>
          <w:tcPr>
            <w:tcW w:w="1100" w:type="dxa"/>
            <w:vAlign w:val="bottom"/>
            <w:tcBorders>
              <w:right w:val="single" w:sz="8" w:color="CCEEFF"/>
            </w:tcBorders>
            <w:gridSpan w:val="3"/>
            <w:shd w:val="clear" w:color="auto" w:fill="CCEEFF"/>
          </w:tcPr>
          <w:p>
            <w:pPr>
              <w:jc w:val="right"/>
              <w:ind w:right="472"/>
              <w:spacing w:after="0"/>
              <w:rPr>
                <w:sz w:val="20"/>
                <w:szCs w:val="20"/>
                <w:color w:val="auto"/>
              </w:rPr>
            </w:pPr>
            <w:r>
              <w:rPr>
                <w:rFonts w:ascii="Arial" w:cs="Arial" w:eastAsia="Arial" w:hAnsi="Arial"/>
                <w:sz w:val="18"/>
                <w:szCs w:val="18"/>
                <w:color w:val="auto"/>
              </w:rPr>
              <w:t>(0.0)</w:t>
            </w:r>
          </w:p>
        </w:tc>
        <w:tc>
          <w:tcPr>
            <w:tcW w:w="960" w:type="dxa"/>
            <w:vAlign w:val="bottom"/>
            <w:gridSpan w:val="2"/>
            <w:shd w:val="clear" w:color="auto" w:fill="CCEEFF"/>
          </w:tcPr>
          <w:p>
            <w:pPr>
              <w:jc w:val="right"/>
              <w:ind w:right="432"/>
              <w:spacing w:after="0"/>
              <w:rPr>
                <w:sz w:val="20"/>
                <w:szCs w:val="20"/>
                <w:color w:val="auto"/>
              </w:rPr>
            </w:pPr>
            <w:r>
              <w:rPr>
                <w:rFonts w:ascii="Arial" w:cs="Arial" w:eastAsia="Arial" w:hAnsi="Arial"/>
                <w:sz w:val="18"/>
                <w:szCs w:val="18"/>
                <w:color w:val="auto"/>
              </w:rPr>
              <w:t>(0.0)</w:t>
            </w:r>
          </w:p>
        </w:tc>
        <w:tc>
          <w:tcPr>
            <w:tcW w:w="54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(0.0)</w:t>
            </w:r>
          </w:p>
        </w:tc>
        <w:tc>
          <w:tcPr>
            <w:tcW w:w="12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160" w:type="dxa"/>
            <w:vAlign w:val="bottom"/>
            <w:gridSpan w:val="2"/>
            <w:vMerge w:val="restart"/>
          </w:tcPr>
          <w:p>
            <w:pPr>
              <w:ind w:left="460"/>
              <w:spacing w:after="0"/>
              <w:rPr>
                <w:sz w:val="20"/>
                <w:szCs w:val="20"/>
                <w:color w:val="auto"/>
              </w:rPr>
            </w:pPr>
            <w:r>
              <w:rPr>
                <w:rFonts w:ascii="Arial" w:cs="Arial" w:eastAsia="Arial" w:hAnsi="Arial"/>
                <w:sz w:val="18"/>
                <w:szCs w:val="18"/>
                <w:color w:val="auto"/>
              </w:rPr>
              <w:t>Income before income taxes</w:t>
            </w:r>
          </w:p>
        </w:tc>
        <w:tc>
          <w:tcPr>
            <w:tcW w:w="5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00" w:type="dxa"/>
            <w:vAlign w:val="bottom"/>
            <w:tcBorders>
              <w:right w:val="single" w:sz="8" w:color="auto"/>
            </w:tcBorders>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160" w:type="dxa"/>
            <w:vAlign w:val="bottom"/>
            <w:gridSpan w:val="2"/>
            <w:vMerge w:val="continue"/>
          </w:tcPr>
          <w:p>
            <w:pPr>
              <w:spacing w:after="0"/>
              <w:rPr>
                <w:sz w:val="19"/>
                <w:szCs w:val="19"/>
                <w:color w:val="auto"/>
              </w:rPr>
            </w:pPr>
          </w:p>
        </w:tc>
        <w:tc>
          <w:tcPr>
            <w:tcW w:w="5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480" w:type="dxa"/>
            <w:vAlign w:val="bottom"/>
            <w:gridSpan w:val="3"/>
          </w:tcPr>
          <w:p>
            <w:pPr>
              <w:jc w:val="right"/>
              <w:ind w:right="20"/>
              <w:spacing w:after="0"/>
              <w:rPr>
                <w:sz w:val="20"/>
                <w:szCs w:val="20"/>
                <w:color w:val="auto"/>
              </w:rPr>
            </w:pPr>
            <w:r>
              <w:rPr>
                <w:rFonts w:ascii="Arial" w:cs="Arial" w:eastAsia="Arial" w:hAnsi="Arial"/>
                <w:sz w:val="18"/>
                <w:szCs w:val="18"/>
                <w:color w:val="auto"/>
              </w:rPr>
              <w:t>21.9</w:t>
            </w:r>
          </w:p>
        </w:tc>
        <w:tc>
          <w:tcPr>
            <w:tcW w:w="560" w:type="dxa"/>
            <w:vAlign w:val="bottom"/>
          </w:tcPr>
          <w:p>
            <w:pPr>
              <w:spacing w:after="0"/>
              <w:rPr>
                <w:sz w:val="19"/>
                <w:szCs w:val="19"/>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24.8</w:t>
            </w:r>
          </w:p>
        </w:tc>
        <w:tc>
          <w:tcPr>
            <w:tcW w:w="600" w:type="dxa"/>
            <w:vAlign w:val="bottom"/>
          </w:tcPr>
          <w:p>
            <w:pPr>
              <w:spacing w:after="0"/>
              <w:rPr>
                <w:sz w:val="19"/>
                <w:szCs w:val="19"/>
                <w:color w:val="auto"/>
              </w:rPr>
            </w:pPr>
          </w:p>
        </w:tc>
        <w:tc>
          <w:tcPr>
            <w:tcW w:w="960" w:type="dxa"/>
            <w:vAlign w:val="bottom"/>
            <w:gridSpan w:val="2"/>
          </w:tcPr>
          <w:p>
            <w:pPr>
              <w:jc w:val="right"/>
              <w:ind w:right="492"/>
              <w:spacing w:after="0"/>
              <w:rPr>
                <w:sz w:val="20"/>
                <w:szCs w:val="20"/>
                <w:color w:val="auto"/>
              </w:rPr>
            </w:pPr>
            <w:r>
              <w:rPr>
                <w:rFonts w:ascii="Arial" w:cs="Arial" w:eastAsia="Arial" w:hAnsi="Arial"/>
                <w:sz w:val="18"/>
                <w:szCs w:val="18"/>
                <w:color w:val="auto"/>
              </w:rPr>
              <w:t>20.3</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24.4</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460" w:type="dxa"/>
            <w:vAlign w:val="bottom"/>
          </w:tcPr>
          <w:p>
            <w:pPr>
              <w:spacing w:after="0"/>
              <w:rPr>
                <w:sz w:val="18"/>
                <w:szCs w:val="18"/>
                <w:color w:val="auto"/>
              </w:rPr>
            </w:pPr>
          </w:p>
        </w:tc>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5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0.5</w:t>
            </w:r>
          </w:p>
        </w:tc>
        <w:tc>
          <w:tcPr>
            <w:tcW w:w="56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60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492"/>
              <w:spacing w:after="0"/>
              <w:rPr>
                <w:sz w:val="20"/>
                <w:szCs w:val="20"/>
                <w:color w:val="auto"/>
              </w:rPr>
            </w:pPr>
            <w:r>
              <w:rPr>
                <w:rFonts w:ascii="Arial" w:cs="Arial" w:eastAsia="Arial" w:hAnsi="Arial"/>
                <w:sz w:val="18"/>
                <w:szCs w:val="18"/>
                <w:color w:val="auto"/>
              </w:rPr>
              <w:t>0.3</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160" w:type="dxa"/>
            <w:vAlign w:val="bottom"/>
            <w:gridSpan w:val="2"/>
            <w:vMerge w:val="restart"/>
          </w:tcPr>
          <w:p>
            <w:pPr>
              <w:ind w:left="460"/>
              <w:spacing w:after="0"/>
              <w:rPr>
                <w:sz w:val="20"/>
                <w:szCs w:val="20"/>
                <w:color w:val="auto"/>
              </w:rPr>
            </w:pPr>
            <w:r>
              <w:rPr>
                <w:rFonts w:ascii="Arial" w:cs="Arial" w:eastAsia="Arial" w:hAnsi="Arial"/>
                <w:sz w:val="18"/>
                <w:szCs w:val="18"/>
                <w:color w:val="auto"/>
              </w:rPr>
              <w:t>Net income</w:t>
            </w:r>
          </w:p>
        </w:tc>
        <w:tc>
          <w:tcPr>
            <w:tcW w:w="5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00" w:type="dxa"/>
            <w:vAlign w:val="bottom"/>
            <w:tcBorders>
              <w:right w:val="single" w:sz="8" w:color="auto"/>
            </w:tcBorders>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160" w:type="dxa"/>
            <w:vAlign w:val="bottom"/>
            <w:gridSpan w:val="2"/>
            <w:vMerge w:val="continue"/>
          </w:tcPr>
          <w:p>
            <w:pPr>
              <w:spacing w:after="0"/>
              <w:rPr>
                <w:sz w:val="19"/>
                <w:szCs w:val="19"/>
                <w:color w:val="auto"/>
              </w:rPr>
            </w:pPr>
          </w:p>
        </w:tc>
        <w:tc>
          <w:tcPr>
            <w:tcW w:w="5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040" w:type="dxa"/>
            <w:vAlign w:val="bottom"/>
            <w:gridSpan w:val="4"/>
          </w:tcPr>
          <w:p>
            <w:pPr>
              <w:jc w:val="right"/>
              <w:ind w:right="346"/>
              <w:spacing w:after="0"/>
              <w:rPr>
                <w:sz w:val="20"/>
                <w:szCs w:val="20"/>
                <w:color w:val="auto"/>
              </w:rPr>
            </w:pPr>
            <w:r>
              <w:rPr>
                <w:rFonts w:ascii="Arial" w:cs="Arial" w:eastAsia="Arial" w:hAnsi="Arial"/>
                <w:sz w:val="18"/>
                <w:szCs w:val="18"/>
                <w:color w:val="auto"/>
              </w:rPr>
              <w:t>21.4%</w:t>
            </w:r>
          </w:p>
        </w:tc>
        <w:tc>
          <w:tcPr>
            <w:tcW w:w="1100" w:type="dxa"/>
            <w:vAlign w:val="bottom"/>
            <w:gridSpan w:val="3"/>
          </w:tcPr>
          <w:p>
            <w:pPr>
              <w:jc w:val="right"/>
              <w:ind w:right="392"/>
              <w:spacing w:after="0"/>
              <w:rPr>
                <w:sz w:val="20"/>
                <w:szCs w:val="20"/>
                <w:color w:val="auto"/>
              </w:rPr>
            </w:pPr>
            <w:r>
              <w:rPr>
                <w:rFonts w:ascii="Arial" w:cs="Arial" w:eastAsia="Arial" w:hAnsi="Arial"/>
                <w:sz w:val="18"/>
                <w:szCs w:val="18"/>
                <w:color w:val="auto"/>
              </w:rPr>
              <w:t>24.5%</w:t>
            </w:r>
          </w:p>
        </w:tc>
        <w:tc>
          <w:tcPr>
            <w:tcW w:w="960" w:type="dxa"/>
            <w:vAlign w:val="bottom"/>
            <w:gridSpan w:val="2"/>
          </w:tcPr>
          <w:p>
            <w:pPr>
              <w:jc w:val="right"/>
              <w:ind w:right="332"/>
              <w:spacing w:after="0"/>
              <w:rPr>
                <w:sz w:val="20"/>
                <w:szCs w:val="20"/>
                <w:color w:val="auto"/>
              </w:rPr>
            </w:pPr>
            <w:r>
              <w:rPr>
                <w:rFonts w:ascii="Arial" w:cs="Arial" w:eastAsia="Arial" w:hAnsi="Arial"/>
                <w:sz w:val="18"/>
                <w:szCs w:val="18"/>
                <w:color w:val="auto"/>
              </w:rPr>
              <w:t>20.0%</w:t>
            </w:r>
          </w:p>
        </w:tc>
        <w:tc>
          <w:tcPr>
            <w:tcW w:w="660" w:type="dxa"/>
            <w:vAlign w:val="bottom"/>
            <w:gridSpan w:val="4"/>
          </w:tcPr>
          <w:p>
            <w:pPr>
              <w:jc w:val="right"/>
              <w:spacing w:after="0"/>
              <w:rPr>
                <w:sz w:val="20"/>
                <w:szCs w:val="20"/>
                <w:color w:val="auto"/>
              </w:rPr>
            </w:pPr>
            <w:r>
              <w:rPr>
                <w:rFonts w:ascii="Arial" w:cs="Arial" w:eastAsia="Arial" w:hAnsi="Arial"/>
                <w:sz w:val="18"/>
                <w:szCs w:val="18"/>
                <w:color w:val="auto"/>
              </w:rPr>
              <w:t>24.3%</w:t>
            </w: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160" w:type="dxa"/>
            <w:vAlign w:val="bottom"/>
            <w:gridSpan w:val="2"/>
            <w:vMerge w:val="restart"/>
          </w:tcPr>
          <w:p>
            <w:pPr>
              <w:spacing w:after="0"/>
              <w:rPr>
                <w:sz w:val="20"/>
                <w:szCs w:val="20"/>
                <w:color w:val="auto"/>
              </w:rPr>
            </w:pPr>
            <w:r>
              <w:rPr>
                <w:rFonts w:ascii="Arial" w:cs="Arial" w:eastAsia="Arial" w:hAnsi="Arial"/>
                <w:sz w:val="18"/>
                <w:szCs w:val="18"/>
                <w:b w:val="1"/>
                <w:bCs w:val="1"/>
                <w:color w:val="auto"/>
                <w:w w:val="99"/>
              </w:rPr>
              <w:t>Three and Six Months Ended July 30, 2011 and July 31, 2010</w:t>
            </w:r>
          </w:p>
        </w:tc>
        <w:tc>
          <w:tcPr>
            <w:tcW w:w="5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5160" w:type="dxa"/>
            <w:vAlign w:val="bottom"/>
            <w:gridSpan w:val="2"/>
            <w:vMerge w:val="continue"/>
          </w:tcPr>
          <w:p>
            <w:pPr>
              <w:spacing w:after="0"/>
              <w:rPr>
                <w:sz w:val="24"/>
                <w:szCs w:val="24"/>
                <w:color w:val="auto"/>
              </w:rPr>
            </w:pPr>
          </w:p>
        </w:tc>
        <w:tc>
          <w:tcPr>
            <w:tcW w:w="5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5160" w:type="dxa"/>
            <w:vAlign w:val="bottom"/>
            <w:gridSpan w:val="2"/>
          </w:tcPr>
          <w:p>
            <w:pPr>
              <w:ind w:left="240"/>
              <w:spacing w:after="0"/>
              <w:rPr>
                <w:sz w:val="20"/>
                <w:szCs w:val="20"/>
                <w:color w:val="auto"/>
              </w:rPr>
            </w:pPr>
            <w:r>
              <w:rPr>
                <w:rFonts w:ascii="Arial" w:cs="Arial" w:eastAsia="Arial" w:hAnsi="Arial"/>
                <w:sz w:val="18"/>
                <w:szCs w:val="18"/>
                <w:i w:val="1"/>
                <w:iCs w:val="1"/>
                <w:color w:val="auto"/>
              </w:rPr>
              <w:t>Net Revenue</w:t>
            </w:r>
          </w:p>
        </w:tc>
        <w:tc>
          <w:tcPr>
            <w:tcW w:w="5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47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94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560" w:type="dxa"/>
            <w:vAlign w:val="bottom"/>
            <w:vMerge w:val="restart"/>
          </w:tcPr>
          <w:p>
            <w:pPr>
              <w:jc w:val="right"/>
              <w:ind w:right="206"/>
              <w:spacing w:after="0"/>
              <w:rPr>
                <w:sz w:val="20"/>
                <w:szCs w:val="20"/>
                <w:color w:val="auto"/>
              </w:rPr>
            </w:pPr>
            <w:r>
              <w:rPr>
                <w:rFonts w:ascii="Arial" w:cs="Arial" w:eastAsia="Arial" w:hAnsi="Arial"/>
                <w:sz w:val="14"/>
                <w:szCs w:val="14"/>
                <w:b w:val="1"/>
                <w:bCs w:val="1"/>
                <w:color w:val="auto"/>
              </w:rPr>
              <w:t>%</w:t>
            </w: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560" w:type="dxa"/>
            <w:vAlign w:val="bottom"/>
            <w:gridSpan w:val="3"/>
          </w:tcPr>
          <w:p>
            <w:pPr>
              <w:jc w:val="right"/>
              <w:ind w:right="232"/>
              <w:spacing w:after="0"/>
              <w:rPr>
                <w:sz w:val="20"/>
                <w:szCs w:val="20"/>
                <w:color w:val="auto"/>
              </w:rPr>
            </w:pPr>
            <w:r>
              <w:rPr>
                <w:rFonts w:ascii="Arial" w:cs="Arial" w:eastAsia="Arial" w:hAnsi="Arial"/>
                <w:sz w:val="14"/>
                <w:szCs w:val="14"/>
                <w:b w:val="1"/>
                <w:bCs w:val="1"/>
                <w:color w:val="auto"/>
              </w:rPr>
              <w:t>Six Months Ended</w:t>
            </w: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20" w:type="dxa"/>
            <w:vAlign w:val="bottom"/>
            <w:tcBorders>
              <w:top w:val="single" w:sz="8" w:color="auto"/>
            </w:tcBorders>
          </w:tcPr>
          <w:p>
            <w:pPr>
              <w:ind w:left="100"/>
              <w:spacing w:after="0" w:line="129" w:lineRule="exact"/>
              <w:rPr>
                <w:sz w:val="20"/>
                <w:szCs w:val="20"/>
                <w:color w:val="auto"/>
              </w:rPr>
            </w:pPr>
            <w:r>
              <w:rPr>
                <w:rFonts w:ascii="Arial" w:cs="Arial" w:eastAsia="Arial" w:hAnsi="Arial"/>
                <w:sz w:val="14"/>
                <w:szCs w:val="14"/>
                <w:b w:val="1"/>
                <w:bCs w:val="1"/>
                <w:color w:val="auto"/>
              </w:rPr>
              <w:t>July 30,</w:t>
            </w:r>
          </w:p>
        </w:tc>
        <w:tc>
          <w:tcPr>
            <w:tcW w:w="820" w:type="dxa"/>
            <w:vAlign w:val="bottom"/>
            <w:tcBorders>
              <w:top w:val="single" w:sz="8" w:color="auto"/>
            </w:tcBorders>
            <w:gridSpan w:val="2"/>
          </w:tcPr>
          <w:p>
            <w:pPr>
              <w:ind w:left="260"/>
              <w:spacing w:after="0" w:line="129" w:lineRule="exact"/>
              <w:rPr>
                <w:sz w:val="20"/>
                <w:szCs w:val="20"/>
                <w:color w:val="auto"/>
              </w:rPr>
            </w:pPr>
            <w:r>
              <w:rPr>
                <w:rFonts w:ascii="Arial" w:cs="Arial" w:eastAsia="Arial" w:hAnsi="Arial"/>
                <w:sz w:val="14"/>
                <w:szCs w:val="14"/>
                <w:b w:val="1"/>
                <w:bCs w:val="1"/>
                <w:color w:val="auto"/>
              </w:rPr>
              <w:t>July 31,</w:t>
            </w:r>
          </w:p>
        </w:tc>
        <w:tc>
          <w:tcPr>
            <w:tcW w:w="300" w:type="dxa"/>
            <w:vAlign w:val="bottom"/>
            <w:gridSpan w:val="2"/>
          </w:tcPr>
          <w:p>
            <w:pPr>
              <w:spacing w:after="0"/>
              <w:rPr>
                <w:sz w:val="11"/>
                <w:szCs w:val="11"/>
                <w:color w:val="auto"/>
              </w:rPr>
            </w:pPr>
          </w:p>
        </w:tc>
        <w:tc>
          <w:tcPr>
            <w:tcW w:w="560" w:type="dxa"/>
            <w:vAlign w:val="bottom"/>
            <w:vMerge w:val="continue"/>
          </w:tcPr>
          <w:p>
            <w:pPr>
              <w:spacing w:after="0"/>
              <w:rPr>
                <w:sz w:val="11"/>
                <w:szCs w:val="11"/>
                <w:color w:val="auto"/>
              </w:rPr>
            </w:pPr>
          </w:p>
        </w:tc>
        <w:tc>
          <w:tcPr>
            <w:tcW w:w="280" w:type="dxa"/>
            <w:vAlign w:val="bottom"/>
          </w:tcPr>
          <w:p>
            <w:pPr>
              <w:spacing w:after="0"/>
              <w:rPr>
                <w:sz w:val="11"/>
                <w:szCs w:val="11"/>
                <w:color w:val="auto"/>
              </w:rPr>
            </w:pPr>
          </w:p>
        </w:tc>
        <w:tc>
          <w:tcPr>
            <w:tcW w:w="820" w:type="dxa"/>
            <w:vAlign w:val="bottom"/>
            <w:tcBorders>
              <w:top w:val="single" w:sz="8" w:color="auto"/>
            </w:tcBorders>
            <w:gridSpan w:val="2"/>
          </w:tcPr>
          <w:p>
            <w:pPr>
              <w:jc w:val="right"/>
              <w:ind w:right="112"/>
              <w:spacing w:after="0" w:line="129" w:lineRule="exact"/>
              <w:rPr>
                <w:sz w:val="20"/>
                <w:szCs w:val="20"/>
                <w:color w:val="auto"/>
              </w:rPr>
            </w:pPr>
            <w:r>
              <w:rPr>
                <w:rFonts w:ascii="Arial" w:cs="Arial" w:eastAsia="Arial" w:hAnsi="Arial"/>
                <w:sz w:val="14"/>
                <w:szCs w:val="14"/>
                <w:b w:val="1"/>
                <w:bCs w:val="1"/>
                <w:color w:val="auto"/>
              </w:rPr>
              <w:t>July 30,</w:t>
            </w:r>
          </w:p>
        </w:tc>
        <w:tc>
          <w:tcPr>
            <w:tcW w:w="4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July 31,</w:t>
            </w:r>
          </w:p>
        </w:tc>
        <w:tc>
          <w:tcPr>
            <w:tcW w:w="120" w:type="dxa"/>
            <w:vAlign w:val="bottom"/>
            <w:tcBorders>
              <w:top w:val="single" w:sz="8" w:color="auto"/>
            </w:tcBorders>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20" w:type="dxa"/>
            <w:vAlign w:val="bottom"/>
            <w:gridSpan w:val="2"/>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700" w:type="dxa"/>
            <w:vAlign w:val="bottom"/>
          </w:tcPr>
          <w:p>
            <w:pPr>
              <w:spacing w:after="0"/>
              <w:rPr>
                <w:sz w:val="14"/>
                <w:szCs w:val="14"/>
                <w:color w:val="auto"/>
              </w:rPr>
            </w:pPr>
          </w:p>
        </w:tc>
        <w:tc>
          <w:tcPr>
            <w:tcW w:w="1400" w:type="dxa"/>
            <w:vAlign w:val="bottom"/>
            <w:gridSpan w:val="2"/>
          </w:tcPr>
          <w:p>
            <w:pPr>
              <w:jc w:val="right"/>
              <w:ind w:right="292"/>
              <w:spacing w:after="0"/>
              <w:rPr>
                <w:sz w:val="20"/>
                <w:szCs w:val="20"/>
                <w:color w:val="auto"/>
              </w:rPr>
            </w:pPr>
            <w:r>
              <w:rPr>
                <w:rFonts w:ascii="Arial" w:cs="Arial" w:eastAsia="Arial" w:hAnsi="Arial"/>
                <w:sz w:val="14"/>
                <w:szCs w:val="14"/>
                <w:b w:val="1"/>
                <w:bCs w:val="1"/>
                <w:color w:val="auto"/>
              </w:rPr>
              <w:t>2011</w:t>
            </w:r>
          </w:p>
        </w:tc>
        <w:tc>
          <w:tcPr>
            <w:tcW w:w="640" w:type="dxa"/>
            <w:vAlign w:val="bottom"/>
          </w:tcPr>
          <w:p>
            <w:pPr>
              <w:jc w:val="right"/>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60" w:type="dxa"/>
            <w:vAlign w:val="bottom"/>
          </w:tcPr>
          <w:p>
            <w:pPr>
              <w:jc w:val="right"/>
              <w:ind w:right="46"/>
              <w:spacing w:after="0"/>
              <w:rPr>
                <w:sz w:val="20"/>
                <w:szCs w:val="20"/>
                <w:color w:val="auto"/>
              </w:rPr>
            </w:pPr>
            <w:r>
              <w:rPr>
                <w:rFonts w:ascii="Arial" w:cs="Arial" w:eastAsia="Arial" w:hAnsi="Arial"/>
                <w:sz w:val="14"/>
                <w:szCs w:val="14"/>
                <w:b w:val="1"/>
                <w:bCs w:val="1"/>
                <w:color w:val="auto"/>
                <w:w w:val="81"/>
              </w:rPr>
              <w:t>Change</w:t>
            </w:r>
          </w:p>
        </w:tc>
        <w:tc>
          <w:tcPr>
            <w:tcW w:w="1100" w:type="dxa"/>
            <w:vAlign w:val="bottom"/>
            <w:gridSpan w:val="3"/>
          </w:tcPr>
          <w:p>
            <w:pPr>
              <w:jc w:val="right"/>
              <w:ind w:right="212"/>
              <w:spacing w:after="0"/>
              <w:rPr>
                <w:sz w:val="20"/>
                <w:szCs w:val="20"/>
                <w:color w:val="auto"/>
              </w:rPr>
            </w:pPr>
            <w:r>
              <w:rPr>
                <w:rFonts w:ascii="Arial" w:cs="Arial" w:eastAsia="Arial" w:hAnsi="Arial"/>
                <w:sz w:val="14"/>
                <w:szCs w:val="14"/>
                <w:b w:val="1"/>
                <w:bCs w:val="1"/>
                <w:color w:val="auto"/>
              </w:rPr>
              <w:t>2011</w:t>
            </w:r>
          </w:p>
        </w:tc>
        <w:tc>
          <w:tcPr>
            <w:tcW w:w="96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2010</w:t>
            </w:r>
          </w:p>
        </w:tc>
        <w:tc>
          <w:tcPr>
            <w:tcW w:w="120" w:type="dxa"/>
            <w:vAlign w:val="bottom"/>
          </w:tcPr>
          <w:p>
            <w:pPr>
              <w:spacing w:after="0"/>
              <w:rPr>
                <w:sz w:val="14"/>
                <w:szCs w:val="14"/>
                <w:color w:val="auto"/>
              </w:rPr>
            </w:pPr>
          </w:p>
        </w:tc>
        <w:tc>
          <w:tcPr>
            <w:tcW w:w="1000" w:type="dxa"/>
            <w:vAlign w:val="bottom"/>
            <w:gridSpan w:val="5"/>
          </w:tcPr>
          <w:p>
            <w:pPr>
              <w:ind w:left="30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47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920" w:type="dxa"/>
            <w:vAlign w:val="bottom"/>
            <w:tcBorders>
              <w:top w:val="single" w:sz="8" w:color="auto"/>
            </w:tcBorders>
            <w:gridSpan w:val="8"/>
          </w:tcPr>
          <w:p>
            <w:pPr>
              <w:jc w:val="right"/>
              <w:ind w:right="832"/>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12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1400" w:type="dxa"/>
            <w:vAlign w:val="bottom"/>
            <w:gridSpan w:val="2"/>
            <w:shd w:val="clear" w:color="auto" w:fill="CCEEFF"/>
          </w:tcPr>
          <w:p>
            <w:pPr>
              <w:jc w:val="right"/>
              <w:ind w:right="92"/>
              <w:spacing w:after="0"/>
              <w:rPr>
                <w:sz w:val="20"/>
                <w:szCs w:val="20"/>
                <w:color w:val="auto"/>
              </w:rPr>
            </w:pPr>
            <w:r>
              <w:rPr>
                <w:rFonts w:ascii="Arial" w:cs="Arial" w:eastAsia="Arial" w:hAnsi="Arial"/>
                <w:sz w:val="18"/>
                <w:szCs w:val="18"/>
                <w:color w:val="auto"/>
              </w:rPr>
              <w:t>$897,520</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$896,474</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6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0.1%   $1,699,922</w:t>
            </w:r>
          </w:p>
        </w:tc>
        <w:tc>
          <w:tcPr>
            <w:tcW w:w="1420" w:type="dxa"/>
            <w:vAlign w:val="bottom"/>
            <w:gridSpan w:val="4"/>
            <w:shd w:val="clear" w:color="auto" w:fill="CCEEFF"/>
          </w:tcPr>
          <w:p>
            <w:pPr>
              <w:jc w:val="right"/>
              <w:ind w:right="272"/>
              <w:spacing w:after="0"/>
              <w:rPr>
                <w:sz w:val="20"/>
                <w:szCs w:val="20"/>
                <w:color w:val="auto"/>
              </w:rPr>
            </w:pPr>
            <w:r>
              <w:rPr>
                <w:rFonts w:ascii="Arial" w:cs="Arial" w:eastAsia="Arial" w:hAnsi="Arial"/>
                <w:sz w:val="18"/>
                <w:szCs w:val="18"/>
                <w:color w:val="auto"/>
              </w:rPr>
              <w:t>$1,752,053</w:t>
            </w:r>
          </w:p>
        </w:tc>
        <w:tc>
          <w:tcPr>
            <w:tcW w:w="80" w:type="dxa"/>
            <w:vAlign w:val="bottom"/>
            <w:shd w:val="clear" w:color="auto" w:fill="CCEEFF"/>
          </w:tcPr>
          <w:p>
            <w:pPr>
              <w:spacing w:after="0"/>
              <w:rPr>
                <w:sz w:val="18"/>
                <w:szCs w:val="18"/>
                <w:color w:val="auto"/>
              </w:rPr>
            </w:pPr>
          </w:p>
        </w:tc>
        <w:tc>
          <w:tcPr>
            <w:tcW w:w="580" w:type="dxa"/>
            <w:vAlign w:val="bottom"/>
            <w:gridSpan w:val="3"/>
            <w:shd w:val="clear" w:color="auto" w:fill="CCEEFF"/>
          </w:tcPr>
          <w:p>
            <w:pPr>
              <w:ind w:left="40"/>
              <w:spacing w:after="0"/>
              <w:rPr>
                <w:sz w:val="20"/>
                <w:szCs w:val="20"/>
                <w:color w:val="auto"/>
              </w:rPr>
            </w:pPr>
            <w:r>
              <w:rPr>
                <w:rFonts w:ascii="Arial" w:cs="Arial" w:eastAsia="Arial" w:hAnsi="Arial"/>
                <w:sz w:val="18"/>
                <w:szCs w:val="18"/>
                <w:color w:val="auto"/>
                <w:w w:val="98"/>
              </w:rPr>
              <w:t>(3.0)%</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Net revenue during the three months ended July 30, 2011 compared to the three months ended July 31, 2010 was approximately flat. Higher storage revenue was mostly offset by a decline in mobile and wireless revenue. The increase in storage revenue was due to the ramp of products at new customers. The decline in mobile and wireless revenue was driven by the reduction in revenue at one of our leading mobile handset customers as it shifted a portion of its product sales to an earlier generation designed prior to our acquisition of this business. The decline was partially offset by the ramp of our mobile SOC products for the TD handset market in China, which we began selling during the three months ended April 30, 2011. Net revenue during the six months ended July 30, 2011 declined by 3% compared to the six months ended July 31, 2010, driven by the decline in revenue from reductions in revenue at one of our leading mobile handset customers.</w:t>
      </w:r>
    </w:p>
    <w:p>
      <w:pPr>
        <w:spacing w:after="0" w:line="147"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We currently expect overall net revenue for the three months ending October 29, 2011 to increase moderately from the level for the three months ended July 30, 2011, largely driven by seasonality and the ramp of new products.</w:t>
      </w:r>
    </w:p>
    <w:p>
      <w:pPr>
        <w:spacing w:after="0" w:line="132"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No distributors accounted for more than 10% of our net revenue for the three and six months ended July 30, 2011 and July 31, 2010. The following table sets forth revenue attributable to end customers comprising 10% or more of our net revenue for the periods indicated:</w:t>
      </w:r>
    </w:p>
    <w:p>
      <w:pPr>
        <w:spacing w:after="0" w:line="17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5720" w:type="dxa"/>
            <w:vAlign w:val="bottom"/>
          </w:tcPr>
          <w:p>
            <w:pPr>
              <w:spacing w:after="0"/>
              <w:rPr>
                <w:sz w:val="14"/>
                <w:szCs w:val="14"/>
                <w:color w:val="auto"/>
              </w:rPr>
            </w:pPr>
          </w:p>
        </w:tc>
        <w:tc>
          <w:tcPr>
            <w:tcW w:w="2380" w:type="dxa"/>
            <w:vAlign w:val="bottom"/>
            <w:gridSpan w:val="4"/>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1800" w:type="dxa"/>
            <w:vAlign w:val="bottom"/>
            <w:gridSpan w:val="4"/>
          </w:tcPr>
          <w:p>
            <w:pPr>
              <w:jc w:val="right"/>
              <w:ind w:right="48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Customer</w:t>
            </w:r>
          </w:p>
        </w:tc>
        <w:tc>
          <w:tcPr>
            <w:tcW w:w="5720" w:type="dxa"/>
            <w:vAlign w:val="bottom"/>
          </w:tcPr>
          <w:p>
            <w:pPr>
              <w:spacing w:after="0"/>
              <w:rPr>
                <w:sz w:val="11"/>
                <w:szCs w:val="11"/>
                <w:color w:val="auto"/>
              </w:rPr>
            </w:pPr>
          </w:p>
        </w:tc>
        <w:tc>
          <w:tcPr>
            <w:tcW w:w="1180" w:type="dxa"/>
            <w:vAlign w:val="bottom"/>
            <w:tcBorders>
              <w:top w:val="single" w:sz="8" w:color="auto"/>
            </w:tcBorders>
            <w:gridSpan w:val="2"/>
          </w:tcPr>
          <w:p>
            <w:pPr>
              <w:jc w:val="center"/>
              <w:ind w:right="700"/>
              <w:spacing w:after="0" w:line="129" w:lineRule="exact"/>
              <w:rPr>
                <w:sz w:val="20"/>
                <w:szCs w:val="20"/>
                <w:color w:val="auto"/>
              </w:rPr>
            </w:pPr>
            <w:r>
              <w:rPr>
                <w:rFonts w:ascii="Arial" w:cs="Arial" w:eastAsia="Arial" w:hAnsi="Arial"/>
                <w:sz w:val="14"/>
                <w:szCs w:val="14"/>
                <w:b w:val="1"/>
                <w:bCs w:val="1"/>
                <w:color w:val="auto"/>
                <w:w w:val="85"/>
              </w:rPr>
              <w:t>July 30,</w:t>
            </w:r>
          </w:p>
        </w:tc>
        <w:tc>
          <w:tcPr>
            <w:tcW w:w="5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9"/>
              </w:rPr>
              <w:t>July 31,</w:t>
            </w:r>
          </w:p>
        </w:tc>
        <w:tc>
          <w:tcPr>
            <w:tcW w:w="700" w:type="dxa"/>
            <w:vAlign w:val="bottom"/>
          </w:tcPr>
          <w:p>
            <w:pPr>
              <w:spacing w:after="0"/>
              <w:rPr>
                <w:sz w:val="11"/>
                <w:szCs w:val="11"/>
                <w:color w:val="auto"/>
              </w:rPr>
            </w:pPr>
          </w:p>
        </w:tc>
        <w:tc>
          <w:tcPr>
            <w:tcW w:w="1140" w:type="dxa"/>
            <w:vAlign w:val="bottom"/>
            <w:tcBorders>
              <w:top w:val="single" w:sz="8" w:color="auto"/>
            </w:tcBorders>
            <w:gridSpan w:val="2"/>
          </w:tcPr>
          <w:p>
            <w:pPr>
              <w:jc w:val="right"/>
              <w:ind w:right="700"/>
              <w:spacing w:after="0" w:line="129" w:lineRule="exact"/>
              <w:rPr>
                <w:sz w:val="20"/>
                <w:szCs w:val="20"/>
                <w:color w:val="auto"/>
              </w:rPr>
            </w:pPr>
            <w:r>
              <w:rPr>
                <w:rFonts w:ascii="Arial" w:cs="Arial" w:eastAsia="Arial" w:hAnsi="Arial"/>
                <w:sz w:val="14"/>
                <w:szCs w:val="14"/>
                <w:b w:val="1"/>
                <w:bCs w:val="1"/>
                <w:color w:val="auto"/>
                <w:w w:val="81"/>
              </w:rPr>
              <w:t>July 30,</w:t>
            </w:r>
          </w:p>
        </w:tc>
        <w:tc>
          <w:tcPr>
            <w:tcW w:w="4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July 31,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9"/>
        </w:trPr>
        <w:tc>
          <w:tcPr>
            <w:tcW w:w="600" w:type="dxa"/>
            <w:vAlign w:val="bottom"/>
            <w:tcBorders>
              <w:bottom w:val="single" w:sz="8" w:color="auto"/>
            </w:tcBorders>
            <w:vMerge w:val="continue"/>
          </w:tcPr>
          <w:p>
            <w:pPr>
              <w:spacing w:after="0"/>
              <w:rPr>
                <w:sz w:val="11"/>
                <w:szCs w:val="11"/>
                <w:color w:val="auto"/>
              </w:rPr>
            </w:pPr>
          </w:p>
        </w:tc>
        <w:tc>
          <w:tcPr>
            <w:tcW w:w="6200" w:type="dxa"/>
            <w:vAlign w:val="bottom"/>
            <w:gridSpan w:val="2"/>
          </w:tcPr>
          <w:p>
            <w:pPr>
              <w:jc w:val="right"/>
              <w:ind w:right="26"/>
              <w:spacing w:after="0" w:line="114" w:lineRule="exact"/>
              <w:rPr>
                <w:sz w:val="20"/>
                <w:szCs w:val="20"/>
                <w:color w:val="auto"/>
              </w:rPr>
            </w:pPr>
            <w:r>
              <w:rPr>
                <w:rFonts w:ascii="Arial" w:cs="Arial" w:eastAsia="Arial" w:hAnsi="Arial"/>
                <w:sz w:val="12"/>
                <w:szCs w:val="12"/>
                <w:b w:val="1"/>
                <w:bCs w:val="1"/>
                <w:color w:val="auto"/>
              </w:rPr>
              <w:t>2011</w:t>
            </w:r>
          </w:p>
        </w:tc>
        <w:tc>
          <w:tcPr>
            <w:tcW w:w="700" w:type="dxa"/>
            <w:vAlign w:val="bottom"/>
          </w:tcPr>
          <w:p>
            <w:pPr>
              <w:spacing w:after="0"/>
              <w:rPr>
                <w:sz w:val="11"/>
                <w:szCs w:val="11"/>
                <w:color w:val="auto"/>
              </w:rPr>
            </w:pPr>
          </w:p>
        </w:tc>
        <w:tc>
          <w:tcPr>
            <w:tcW w:w="500" w:type="dxa"/>
            <w:vAlign w:val="bottom"/>
          </w:tcPr>
          <w:p>
            <w:pPr>
              <w:jc w:val="right"/>
              <w:ind w:right="41"/>
              <w:spacing w:after="0" w:line="114" w:lineRule="exact"/>
              <w:rPr>
                <w:sz w:val="20"/>
                <w:szCs w:val="20"/>
                <w:color w:val="auto"/>
              </w:rPr>
            </w:pPr>
            <w:r>
              <w:rPr>
                <w:rFonts w:ascii="Arial" w:cs="Arial" w:eastAsia="Arial" w:hAnsi="Arial"/>
                <w:sz w:val="12"/>
                <w:szCs w:val="12"/>
                <w:b w:val="1"/>
                <w:bCs w:val="1"/>
                <w:color w:val="auto"/>
              </w:rPr>
              <w:t>2010</w:t>
            </w:r>
          </w:p>
        </w:tc>
        <w:tc>
          <w:tcPr>
            <w:tcW w:w="700" w:type="dxa"/>
            <w:vAlign w:val="bottom"/>
          </w:tcPr>
          <w:p>
            <w:pPr>
              <w:spacing w:after="0"/>
              <w:rPr>
                <w:sz w:val="11"/>
                <w:szCs w:val="11"/>
                <w:color w:val="auto"/>
              </w:rPr>
            </w:pPr>
          </w:p>
        </w:tc>
        <w:tc>
          <w:tcPr>
            <w:tcW w:w="460" w:type="dxa"/>
            <w:vAlign w:val="bottom"/>
          </w:tcPr>
          <w:p>
            <w:pPr>
              <w:jc w:val="right"/>
              <w:ind w:right="23"/>
              <w:spacing w:after="0" w:line="114" w:lineRule="exact"/>
              <w:rPr>
                <w:sz w:val="20"/>
                <w:szCs w:val="20"/>
                <w:color w:val="auto"/>
              </w:rPr>
            </w:pPr>
            <w:r>
              <w:rPr>
                <w:rFonts w:ascii="Arial" w:cs="Arial" w:eastAsia="Arial" w:hAnsi="Arial"/>
                <w:sz w:val="12"/>
                <w:szCs w:val="12"/>
                <w:b w:val="1"/>
                <w:bCs w:val="1"/>
                <w:color w:val="auto"/>
              </w:rPr>
              <w:t>2011</w:t>
            </w:r>
          </w:p>
        </w:tc>
        <w:tc>
          <w:tcPr>
            <w:tcW w:w="680" w:type="dxa"/>
            <w:vAlign w:val="bottom"/>
          </w:tcPr>
          <w:p>
            <w:pPr>
              <w:spacing w:after="0"/>
              <w:rPr>
                <w:sz w:val="11"/>
                <w:szCs w:val="11"/>
                <w:color w:val="auto"/>
              </w:rPr>
            </w:pPr>
          </w:p>
        </w:tc>
        <w:tc>
          <w:tcPr>
            <w:tcW w:w="460" w:type="dxa"/>
            <w:vAlign w:val="bottom"/>
          </w:tcPr>
          <w:p>
            <w:pPr>
              <w:jc w:val="right"/>
              <w:ind w:right="21"/>
              <w:spacing w:after="0" w:line="114" w:lineRule="exact"/>
              <w:rPr>
                <w:sz w:val="20"/>
                <w:szCs w:val="20"/>
                <w:color w:val="auto"/>
              </w:rPr>
            </w:pPr>
            <w:r>
              <w:rPr>
                <w:rFonts w:ascii="Arial" w:cs="Arial" w:eastAsia="Arial" w:hAnsi="Arial"/>
                <w:sz w:val="12"/>
                <w:szCs w:val="12"/>
                <w:b w:val="1"/>
                <w:bCs w:val="1"/>
                <w:color w:val="auto"/>
              </w:rPr>
              <w:t>2010</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600" w:type="dxa"/>
            <w:vAlign w:val="bottom"/>
            <w:tcBorders>
              <w:bottom w:val="single" w:sz="8" w:color="CCEEFF"/>
            </w:tcBorders>
          </w:tcPr>
          <w:p>
            <w:pPr>
              <w:spacing w:after="0" w:line="20" w:lineRule="exact"/>
              <w:rPr>
                <w:sz w:val="1"/>
                <w:szCs w:val="1"/>
                <w:color w:val="auto"/>
              </w:rPr>
            </w:pPr>
          </w:p>
        </w:tc>
        <w:tc>
          <w:tcPr>
            <w:tcW w:w="572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CCEEFF"/>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CCEEFF"/>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CCEEFF"/>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A</w:t>
            </w:r>
          </w:p>
        </w:tc>
        <w:tc>
          <w:tcPr>
            <w:tcW w:w="5720" w:type="dxa"/>
            <w:vAlign w:val="bottom"/>
            <w:shd w:val="clear" w:color="auto" w:fill="CCEEFF"/>
          </w:tcPr>
          <w:p>
            <w:pPr>
              <w:spacing w:after="0"/>
              <w:rPr>
                <w:sz w:val="17"/>
                <w:szCs w:val="17"/>
                <w:color w:val="auto"/>
              </w:rPr>
            </w:pPr>
          </w:p>
        </w:tc>
        <w:tc>
          <w:tcPr>
            <w:tcW w:w="1180" w:type="dxa"/>
            <w:vAlign w:val="bottom"/>
            <w:gridSpan w:val="2"/>
            <w:shd w:val="clear" w:color="auto" w:fill="CCEEFF"/>
          </w:tcPr>
          <w:p>
            <w:pPr>
              <w:jc w:val="right"/>
              <w:ind w:right="560"/>
              <w:spacing w:after="0" w:line="196" w:lineRule="exact"/>
              <w:rPr>
                <w:sz w:val="20"/>
                <w:szCs w:val="20"/>
                <w:color w:val="auto"/>
              </w:rPr>
            </w:pPr>
            <w:r>
              <w:rPr>
                <w:rFonts w:ascii="Arial" w:cs="Arial" w:eastAsia="Arial" w:hAnsi="Arial"/>
                <w:sz w:val="18"/>
                <w:szCs w:val="18"/>
                <w:color w:val="auto"/>
              </w:rPr>
              <w:t>21%</w:t>
            </w:r>
          </w:p>
        </w:tc>
        <w:tc>
          <w:tcPr>
            <w:tcW w:w="1200" w:type="dxa"/>
            <w:vAlign w:val="bottom"/>
            <w:gridSpan w:val="2"/>
            <w:shd w:val="clear" w:color="auto" w:fill="CCEEFF"/>
          </w:tcPr>
          <w:p>
            <w:pPr>
              <w:jc w:val="right"/>
              <w:ind w:right="560"/>
              <w:spacing w:after="0" w:line="196" w:lineRule="exact"/>
              <w:rPr>
                <w:sz w:val="20"/>
                <w:szCs w:val="20"/>
                <w:color w:val="auto"/>
              </w:rPr>
            </w:pPr>
            <w:r>
              <w:rPr>
                <w:rFonts w:ascii="Arial" w:cs="Arial" w:eastAsia="Arial" w:hAnsi="Arial"/>
                <w:sz w:val="18"/>
                <w:szCs w:val="18"/>
                <w:color w:val="auto"/>
              </w:rPr>
              <w:t>19%</w:t>
            </w:r>
          </w:p>
        </w:tc>
        <w:tc>
          <w:tcPr>
            <w:tcW w:w="1140" w:type="dxa"/>
            <w:vAlign w:val="bottom"/>
            <w:gridSpan w:val="2"/>
            <w:shd w:val="clear" w:color="auto" w:fill="CCEEFF"/>
          </w:tcPr>
          <w:p>
            <w:pPr>
              <w:jc w:val="right"/>
              <w:ind w:right="540"/>
              <w:spacing w:after="0" w:line="196" w:lineRule="exact"/>
              <w:rPr>
                <w:sz w:val="20"/>
                <w:szCs w:val="20"/>
                <w:color w:val="auto"/>
              </w:rPr>
            </w:pPr>
            <w:r>
              <w:rPr>
                <w:rFonts w:ascii="Arial" w:cs="Arial" w:eastAsia="Arial" w:hAnsi="Arial"/>
                <w:sz w:val="18"/>
                <w:szCs w:val="18"/>
                <w:color w:val="auto"/>
              </w:rPr>
              <w:t>21%</w:t>
            </w:r>
          </w:p>
        </w:tc>
        <w:tc>
          <w:tcPr>
            <w:tcW w:w="660" w:type="dxa"/>
            <w:vAlign w:val="bottom"/>
            <w:gridSpan w:val="2"/>
            <w:shd w:val="clear" w:color="auto" w:fill="CCEEFF"/>
          </w:tcPr>
          <w:p>
            <w:pPr>
              <w:jc w:val="right"/>
              <w:ind w:right="60"/>
              <w:spacing w:after="0" w:line="196" w:lineRule="exact"/>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16"/>
        </w:trPr>
        <w:tc>
          <w:tcPr>
            <w:tcW w:w="600" w:type="dxa"/>
            <w:vAlign w:val="bottom"/>
          </w:tcPr>
          <w:p>
            <w:pPr>
              <w:spacing w:after="0"/>
              <w:rPr>
                <w:sz w:val="20"/>
                <w:szCs w:val="20"/>
                <w:color w:val="auto"/>
              </w:rPr>
            </w:pPr>
            <w:r>
              <w:rPr>
                <w:rFonts w:ascii="Arial" w:cs="Arial" w:eastAsia="Arial" w:hAnsi="Arial"/>
                <w:sz w:val="18"/>
                <w:szCs w:val="18"/>
                <w:color w:val="auto"/>
              </w:rPr>
              <w:t>B</w:t>
            </w:r>
          </w:p>
        </w:tc>
        <w:tc>
          <w:tcPr>
            <w:tcW w:w="6900" w:type="dxa"/>
            <w:vAlign w:val="bottom"/>
            <w:gridSpan w:val="3"/>
          </w:tcPr>
          <w:p>
            <w:pPr>
              <w:jc w:val="right"/>
              <w:ind w:right="70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560"/>
              <w:spacing w:after="0"/>
              <w:rPr>
                <w:sz w:val="20"/>
                <w:szCs w:val="20"/>
                <w:color w:val="auto"/>
              </w:rPr>
            </w:pPr>
            <w:r>
              <w:rPr>
                <w:rFonts w:ascii="Arial" w:cs="Arial" w:eastAsia="Arial" w:hAnsi="Arial"/>
                <w:sz w:val="18"/>
                <w:szCs w:val="18"/>
                <w:color w:val="auto"/>
              </w:rPr>
              <w:t>14%</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680" w:type="dxa"/>
            <w:vAlign w:val="bottom"/>
          </w:tcPr>
          <w:p>
            <w:pPr>
              <w:spacing w:after="0"/>
              <w:rPr>
                <w:sz w:val="18"/>
                <w:szCs w:val="18"/>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600" w:type="dxa"/>
            <w:vAlign w:val="bottom"/>
            <w:shd w:val="clear" w:color="auto" w:fill="CCEEFF"/>
          </w:tcPr>
          <w:p>
            <w:pPr>
              <w:spacing w:after="0"/>
              <w:rPr>
                <w:sz w:val="20"/>
                <w:szCs w:val="20"/>
                <w:color w:val="auto"/>
              </w:rPr>
            </w:pPr>
            <w:r>
              <w:rPr>
                <w:rFonts w:ascii="Arial" w:cs="Arial" w:eastAsia="Arial" w:hAnsi="Arial"/>
                <w:sz w:val="18"/>
                <w:szCs w:val="18"/>
                <w:color w:val="auto"/>
              </w:rPr>
              <w:t>C</w:t>
            </w:r>
          </w:p>
        </w:tc>
        <w:tc>
          <w:tcPr>
            <w:tcW w:w="6900" w:type="dxa"/>
            <w:vAlign w:val="bottom"/>
            <w:gridSpan w:val="3"/>
            <w:shd w:val="clear" w:color="auto" w:fill="CCEEFF"/>
          </w:tcPr>
          <w:p>
            <w:pPr>
              <w:jc w:val="right"/>
              <w:ind w:right="70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color w:val="auto"/>
        </w:rPr>
        <w:t>Because we sell our products to many OEM manufacturers who have manufacturing operations located in Asia, a significant percentage of our sales are made to customers located outside of the United States. Sales to customers located in Asia represented 86% and 82% of our net revenue for the three months ended July 30, 2011 and July 31, 2010, respectively and represented 85% and 84% of our net revenue for the six months ended July 30, 2011 and July 31, 2010, respectively. We expect that a significant portion of our net revenue will continue to be represented by sales to our customers in Asia.</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0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2000" w:type="dxa"/>
            <w:vAlign w:val="bottom"/>
            <w:gridSpan w:val="3"/>
          </w:tcPr>
          <w:p>
            <w:pPr>
              <w:jc w:val="right"/>
              <w:ind w:right="452"/>
              <w:spacing w:after="0"/>
              <w:rPr>
                <w:sz w:val="20"/>
                <w:szCs w:val="20"/>
                <w:color w:val="auto"/>
              </w:rPr>
            </w:pPr>
            <w:r>
              <w:rPr>
                <w:rFonts w:ascii="Arial" w:cs="Arial" w:eastAsia="Arial" w:hAnsi="Arial"/>
                <w:sz w:val="14"/>
                <w:szCs w:val="14"/>
                <w:b w:val="1"/>
                <w:bCs w:val="1"/>
                <w:color w:val="auto"/>
              </w:rPr>
              <w:t>Three Months Ended</w:t>
            </w:r>
          </w:p>
        </w:tc>
        <w:tc>
          <w:tcPr>
            <w:tcW w:w="840" w:type="dxa"/>
            <w:vAlign w:val="bottom"/>
            <w:vMerge w:val="restart"/>
          </w:tcPr>
          <w:p>
            <w:pPr>
              <w:jc w:val="right"/>
              <w:ind w:right="346"/>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200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5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00" w:type="dxa"/>
            <w:vAlign w:val="bottom"/>
          </w:tcPr>
          <w:p>
            <w:pPr>
              <w:spacing w:after="0"/>
              <w:rPr>
                <w:sz w:val="11"/>
                <w:szCs w:val="11"/>
                <w:color w:val="auto"/>
              </w:rPr>
            </w:pPr>
          </w:p>
        </w:tc>
        <w:tc>
          <w:tcPr>
            <w:tcW w:w="2180" w:type="dxa"/>
            <w:vAlign w:val="bottom"/>
          </w:tcPr>
          <w:p>
            <w:pPr>
              <w:spacing w:after="0"/>
              <w:rPr>
                <w:sz w:val="11"/>
                <w:szCs w:val="11"/>
                <w:color w:val="auto"/>
              </w:rPr>
            </w:pPr>
          </w:p>
        </w:tc>
        <w:tc>
          <w:tcPr>
            <w:tcW w:w="94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rPr>
              <w:t>July 30,</w:t>
            </w:r>
          </w:p>
        </w:tc>
        <w:tc>
          <w:tcPr>
            <w:tcW w:w="780" w:type="dxa"/>
            <w:vAlign w:val="bottom"/>
            <w:tcBorders>
              <w:top w:val="single" w:sz="8" w:color="auto"/>
            </w:tcBorders>
          </w:tcPr>
          <w:p>
            <w:pPr>
              <w:jc w:val="right"/>
              <w:ind w:right="22"/>
              <w:spacing w:after="0" w:line="129"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84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rPr>
              <w:t>July 30,</w:t>
            </w:r>
          </w:p>
        </w:tc>
        <w:tc>
          <w:tcPr>
            <w:tcW w:w="800" w:type="dxa"/>
            <w:vAlign w:val="bottom"/>
            <w:tcBorders>
              <w:top w:val="single" w:sz="8" w:color="auto"/>
            </w:tcBorders>
          </w:tcPr>
          <w:p>
            <w:pPr>
              <w:jc w:val="right"/>
              <w:ind w:right="42"/>
              <w:spacing w:after="0" w:line="129" w:lineRule="exact"/>
              <w:rPr>
                <w:sz w:val="20"/>
                <w:szCs w:val="20"/>
                <w:color w:val="auto"/>
              </w:rPr>
            </w:pPr>
            <w:r>
              <w:rPr>
                <w:rFonts w:ascii="Arial" w:cs="Arial" w:eastAsia="Arial" w:hAnsi="Arial"/>
                <w:sz w:val="14"/>
                <w:szCs w:val="14"/>
                <w:b w:val="1"/>
                <w:bCs w:val="1"/>
                <w:color w:val="auto"/>
              </w:rPr>
              <w:t>July 31,</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00" w:type="dxa"/>
            <w:vAlign w:val="bottom"/>
          </w:tcPr>
          <w:p>
            <w:pPr>
              <w:spacing w:after="0"/>
              <w:rPr>
                <w:sz w:val="14"/>
                <w:szCs w:val="14"/>
                <w:color w:val="auto"/>
              </w:rPr>
            </w:pPr>
          </w:p>
        </w:tc>
        <w:tc>
          <w:tcPr>
            <w:tcW w:w="3120" w:type="dxa"/>
            <w:vAlign w:val="bottom"/>
            <w:gridSpan w:val="2"/>
          </w:tcPr>
          <w:p>
            <w:pPr>
              <w:jc w:val="right"/>
              <w:ind w:right="412"/>
              <w:spacing w:after="0"/>
              <w:rPr>
                <w:sz w:val="20"/>
                <w:szCs w:val="20"/>
                <w:color w:val="auto"/>
              </w:rPr>
            </w:pPr>
            <w:r>
              <w:rPr>
                <w:rFonts w:ascii="Arial" w:cs="Arial" w:eastAsia="Arial" w:hAnsi="Arial"/>
                <w:sz w:val="14"/>
                <w:szCs w:val="14"/>
                <w:b w:val="1"/>
                <w:bCs w:val="1"/>
                <w:color w:val="auto"/>
              </w:rPr>
              <w:t>2011</w:t>
            </w:r>
          </w:p>
        </w:tc>
        <w:tc>
          <w:tcPr>
            <w:tcW w:w="780" w:type="dxa"/>
            <w:vAlign w:val="bottom"/>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840" w:type="dxa"/>
            <w:vAlign w:val="bottom"/>
          </w:tcPr>
          <w:p>
            <w:pPr>
              <w:jc w:val="center"/>
              <w:ind w:right="86"/>
              <w:spacing w:after="0"/>
              <w:rPr>
                <w:sz w:val="20"/>
                <w:szCs w:val="20"/>
                <w:color w:val="auto"/>
              </w:rPr>
            </w:pPr>
            <w:r>
              <w:rPr>
                <w:rFonts w:ascii="Arial" w:cs="Arial" w:eastAsia="Arial" w:hAnsi="Arial"/>
                <w:sz w:val="14"/>
                <w:szCs w:val="14"/>
                <w:b w:val="1"/>
                <w:bCs w:val="1"/>
                <w:color w:val="auto"/>
                <w:w w:val="85"/>
              </w:rPr>
              <w:t>Change</w:t>
            </w:r>
          </w:p>
        </w:tc>
        <w:tc>
          <w:tcPr>
            <w:tcW w:w="1060" w:type="dxa"/>
            <w:vAlign w:val="bottom"/>
            <w:gridSpan w:val="2"/>
          </w:tcPr>
          <w:p>
            <w:pPr>
              <w:jc w:val="right"/>
              <w:ind w:right="412"/>
              <w:spacing w:after="0"/>
              <w:rPr>
                <w:sz w:val="20"/>
                <w:szCs w:val="20"/>
                <w:color w:val="auto"/>
              </w:rPr>
            </w:pPr>
            <w:r>
              <w:rPr>
                <w:rFonts w:ascii="Arial" w:cs="Arial" w:eastAsia="Arial" w:hAnsi="Arial"/>
                <w:sz w:val="14"/>
                <w:szCs w:val="14"/>
                <w:b w:val="1"/>
                <w:bCs w:val="1"/>
                <w:color w:val="auto"/>
              </w:rPr>
              <w:t>2011</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500" w:type="dxa"/>
            <w:vAlign w:val="bottom"/>
          </w:tcPr>
          <w:p>
            <w:pPr>
              <w:spacing w:after="0"/>
              <w:rPr>
                <w:sz w:val="12"/>
                <w:szCs w:val="12"/>
                <w:color w:val="auto"/>
              </w:rPr>
            </w:pPr>
          </w:p>
        </w:tc>
        <w:tc>
          <w:tcPr>
            <w:tcW w:w="218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780" w:type="dxa"/>
            <w:vAlign w:val="bottom"/>
            <w:tcBorders>
              <w:top w:val="single" w:sz="8" w:color="auto"/>
            </w:tcBorders>
          </w:tcPr>
          <w:p>
            <w:pPr>
              <w:spacing w:after="0"/>
              <w:rPr>
                <w:sz w:val="12"/>
                <w:szCs w:val="12"/>
                <w:color w:val="auto"/>
              </w:rPr>
            </w:pPr>
          </w:p>
        </w:tc>
        <w:tc>
          <w:tcPr>
            <w:tcW w:w="2180" w:type="dxa"/>
            <w:vAlign w:val="bottom"/>
            <w:tcBorders>
              <w:top w:val="single" w:sz="8" w:color="auto"/>
            </w:tcBorders>
            <w:gridSpan w:val="4"/>
          </w:tcPr>
          <w:p>
            <w:pPr>
              <w:jc w:val="right"/>
              <w:ind w:right="112"/>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12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$378,117</w:t>
            </w:r>
          </w:p>
        </w:tc>
        <w:tc>
          <w:tcPr>
            <w:tcW w:w="10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$366,682</w:t>
            </w:r>
          </w:p>
        </w:tc>
        <w:tc>
          <w:tcPr>
            <w:tcW w:w="840" w:type="dxa"/>
            <w:vAlign w:val="bottom"/>
            <w:shd w:val="clear" w:color="auto" w:fill="CCEEFF"/>
          </w:tcPr>
          <w:p>
            <w:pPr>
              <w:jc w:val="right"/>
              <w:ind w:right="46"/>
              <w:spacing w:after="0"/>
              <w:rPr>
                <w:sz w:val="20"/>
                <w:szCs w:val="20"/>
                <w:color w:val="auto"/>
              </w:rPr>
            </w:pPr>
            <w:r>
              <w:rPr>
                <w:rFonts w:ascii="Arial" w:cs="Arial" w:eastAsia="Arial" w:hAnsi="Arial"/>
                <w:sz w:val="18"/>
                <w:szCs w:val="18"/>
                <w:color w:val="auto"/>
              </w:rPr>
              <w:t>3.1%</w:t>
            </w:r>
          </w:p>
        </w:tc>
        <w:tc>
          <w:tcPr>
            <w:tcW w:w="1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$712,592</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$710,667</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22"/>
        </w:trPr>
        <w:tc>
          <w:tcPr>
            <w:tcW w:w="3500" w:type="dxa"/>
            <w:vAlign w:val="bottom"/>
          </w:tcPr>
          <w:p>
            <w:pPr>
              <w:spacing w:after="0"/>
              <w:rPr>
                <w:sz w:val="20"/>
                <w:szCs w:val="20"/>
                <w:color w:val="auto"/>
              </w:rPr>
            </w:pPr>
            <w:r>
              <w:rPr>
                <w:rFonts w:ascii="Arial" w:cs="Arial" w:eastAsia="Arial" w:hAnsi="Arial"/>
                <w:sz w:val="18"/>
                <w:szCs w:val="18"/>
                <w:color w:val="auto"/>
              </w:rPr>
              <w:t>% of net revenue</w:t>
            </w:r>
          </w:p>
        </w:tc>
        <w:tc>
          <w:tcPr>
            <w:tcW w:w="3120" w:type="dxa"/>
            <w:vAlign w:val="bottom"/>
            <w:gridSpan w:val="2"/>
          </w:tcPr>
          <w:p>
            <w:pPr>
              <w:jc w:val="right"/>
              <w:ind w:right="72"/>
              <w:spacing w:after="0"/>
              <w:rPr>
                <w:sz w:val="20"/>
                <w:szCs w:val="20"/>
                <w:color w:val="auto"/>
              </w:rPr>
            </w:pPr>
            <w:r>
              <w:rPr>
                <w:rFonts w:ascii="Arial" w:cs="Arial" w:eastAsia="Arial" w:hAnsi="Arial"/>
                <w:sz w:val="18"/>
                <w:szCs w:val="18"/>
                <w:color w:val="auto"/>
              </w:rPr>
              <w:t>42.1%</w:t>
            </w: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40.9%</w:t>
            </w:r>
          </w:p>
        </w:tc>
        <w:tc>
          <w:tcPr>
            <w:tcW w:w="840" w:type="dxa"/>
            <w:vAlign w:val="bottom"/>
          </w:tcPr>
          <w:p>
            <w:pPr>
              <w:spacing w:after="0"/>
              <w:rPr>
                <w:sz w:val="19"/>
                <w:szCs w:val="19"/>
                <w:color w:val="auto"/>
              </w:rPr>
            </w:pP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41.9%</w:t>
            </w: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40.6%</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The increase in cost of goods sold as a percentage of revenue for the three and six months ended July 30, 2011 compared to the three and six months ended July 31, 2010 was primarily driven by the volume and costs of new product tapeouts, as well as higher commodity costs in the assembly and testing of our products. Specifically, the cost of gold has increased significantly, and has impacted our cost of goods sold by approximately 1% of net revenue compared to the prior year. Our cost of goods sold as a percentage of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18"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We currently expect cost of goods sold as a percentage of revenue for the three months ending October 29, 2011 to be slightly higher than for the three months ended July 30, 2011 as a result of product mix changes and higher commodity prices.</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2000" w:type="dxa"/>
            <w:vAlign w:val="bottom"/>
            <w:gridSpan w:val="3"/>
          </w:tcPr>
          <w:p>
            <w:pPr>
              <w:jc w:val="right"/>
              <w:ind w:right="452"/>
              <w:spacing w:after="0"/>
              <w:rPr>
                <w:sz w:val="20"/>
                <w:szCs w:val="20"/>
                <w:color w:val="auto"/>
              </w:rPr>
            </w:pPr>
            <w:r>
              <w:rPr>
                <w:rFonts w:ascii="Arial" w:cs="Arial" w:eastAsia="Arial" w:hAnsi="Arial"/>
                <w:sz w:val="14"/>
                <w:szCs w:val="14"/>
                <w:b w:val="1"/>
                <w:bCs w:val="1"/>
                <w:color w:val="auto"/>
              </w:rPr>
              <w:t>Three Months Ended</w:t>
            </w:r>
          </w:p>
        </w:tc>
        <w:tc>
          <w:tcPr>
            <w:tcW w:w="840" w:type="dxa"/>
            <w:vAlign w:val="bottom"/>
            <w:vMerge w:val="restart"/>
          </w:tcPr>
          <w:p>
            <w:pPr>
              <w:jc w:val="right"/>
              <w:ind w:right="346"/>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200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5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94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rPr>
              <w:t>July 30,</w:t>
            </w:r>
          </w:p>
        </w:tc>
        <w:tc>
          <w:tcPr>
            <w:tcW w:w="780" w:type="dxa"/>
            <w:vAlign w:val="bottom"/>
            <w:tcBorders>
              <w:top w:val="single" w:sz="8" w:color="auto"/>
            </w:tcBorders>
          </w:tcPr>
          <w:p>
            <w:pPr>
              <w:jc w:val="right"/>
              <w:ind w:right="22"/>
              <w:spacing w:after="0" w:line="129"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84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rPr>
              <w:t>July 30,</w:t>
            </w:r>
          </w:p>
        </w:tc>
        <w:tc>
          <w:tcPr>
            <w:tcW w:w="800" w:type="dxa"/>
            <w:vAlign w:val="bottom"/>
            <w:tcBorders>
              <w:top w:val="single" w:sz="8" w:color="auto"/>
            </w:tcBorders>
          </w:tcPr>
          <w:p>
            <w:pPr>
              <w:jc w:val="right"/>
              <w:ind w:right="42"/>
              <w:spacing w:after="0" w:line="129" w:lineRule="exact"/>
              <w:rPr>
                <w:sz w:val="20"/>
                <w:szCs w:val="20"/>
                <w:color w:val="auto"/>
              </w:rPr>
            </w:pPr>
            <w:r>
              <w:rPr>
                <w:rFonts w:ascii="Arial" w:cs="Arial" w:eastAsia="Arial" w:hAnsi="Arial"/>
                <w:sz w:val="14"/>
                <w:szCs w:val="14"/>
                <w:b w:val="1"/>
                <w:bCs w:val="1"/>
                <w:color w:val="auto"/>
              </w:rPr>
              <w:t>July 31,</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800" w:type="dxa"/>
            <w:vAlign w:val="bottom"/>
          </w:tcPr>
          <w:p>
            <w:pPr>
              <w:spacing w:after="0"/>
              <w:rPr>
                <w:sz w:val="14"/>
                <w:szCs w:val="14"/>
                <w:color w:val="auto"/>
              </w:rPr>
            </w:pPr>
          </w:p>
        </w:tc>
        <w:tc>
          <w:tcPr>
            <w:tcW w:w="2820" w:type="dxa"/>
            <w:vAlign w:val="bottom"/>
            <w:gridSpan w:val="2"/>
          </w:tcPr>
          <w:p>
            <w:pPr>
              <w:jc w:val="right"/>
              <w:ind w:right="412"/>
              <w:spacing w:after="0"/>
              <w:rPr>
                <w:sz w:val="20"/>
                <w:szCs w:val="20"/>
                <w:color w:val="auto"/>
              </w:rPr>
            </w:pPr>
            <w:r>
              <w:rPr>
                <w:rFonts w:ascii="Arial" w:cs="Arial" w:eastAsia="Arial" w:hAnsi="Arial"/>
                <w:sz w:val="14"/>
                <w:szCs w:val="14"/>
                <w:b w:val="1"/>
                <w:bCs w:val="1"/>
                <w:color w:val="auto"/>
              </w:rPr>
              <w:t>2011</w:t>
            </w:r>
          </w:p>
        </w:tc>
        <w:tc>
          <w:tcPr>
            <w:tcW w:w="780" w:type="dxa"/>
            <w:vAlign w:val="bottom"/>
          </w:tcPr>
          <w:p>
            <w:pPr>
              <w:jc w:val="right"/>
              <w:ind w:right="102"/>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840" w:type="dxa"/>
            <w:vAlign w:val="bottom"/>
          </w:tcPr>
          <w:p>
            <w:pPr>
              <w:jc w:val="center"/>
              <w:ind w:right="86"/>
              <w:spacing w:after="0"/>
              <w:rPr>
                <w:sz w:val="20"/>
                <w:szCs w:val="20"/>
                <w:color w:val="auto"/>
              </w:rPr>
            </w:pPr>
            <w:r>
              <w:rPr>
                <w:rFonts w:ascii="Arial" w:cs="Arial" w:eastAsia="Arial" w:hAnsi="Arial"/>
                <w:sz w:val="14"/>
                <w:szCs w:val="14"/>
                <w:b w:val="1"/>
                <w:bCs w:val="1"/>
                <w:color w:val="auto"/>
                <w:w w:val="85"/>
              </w:rPr>
              <w:t>Change</w:t>
            </w:r>
          </w:p>
        </w:tc>
        <w:tc>
          <w:tcPr>
            <w:tcW w:w="1060" w:type="dxa"/>
            <w:vAlign w:val="bottom"/>
            <w:gridSpan w:val="2"/>
          </w:tcPr>
          <w:p>
            <w:pPr>
              <w:jc w:val="right"/>
              <w:ind w:right="412"/>
              <w:spacing w:after="0"/>
              <w:rPr>
                <w:sz w:val="20"/>
                <w:szCs w:val="20"/>
                <w:color w:val="auto"/>
              </w:rPr>
            </w:pPr>
            <w:r>
              <w:rPr>
                <w:rFonts w:ascii="Arial" w:cs="Arial" w:eastAsia="Arial" w:hAnsi="Arial"/>
                <w:sz w:val="14"/>
                <w:szCs w:val="14"/>
                <w:b w:val="1"/>
                <w:bCs w:val="1"/>
                <w:color w:val="auto"/>
              </w:rPr>
              <w:t>2011</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780" w:type="dxa"/>
            <w:vAlign w:val="bottom"/>
            <w:tcBorders>
              <w:top w:val="single" w:sz="8" w:color="auto"/>
            </w:tcBorders>
          </w:tcPr>
          <w:p>
            <w:pPr>
              <w:spacing w:after="0"/>
              <w:rPr>
                <w:sz w:val="12"/>
                <w:szCs w:val="12"/>
                <w:color w:val="auto"/>
              </w:rPr>
            </w:pPr>
          </w:p>
        </w:tc>
        <w:tc>
          <w:tcPr>
            <w:tcW w:w="2180" w:type="dxa"/>
            <w:vAlign w:val="bottom"/>
            <w:tcBorders>
              <w:top w:val="single" w:sz="8" w:color="auto"/>
            </w:tcBorders>
            <w:gridSpan w:val="4"/>
          </w:tcPr>
          <w:p>
            <w:pPr>
              <w:jc w:val="right"/>
              <w:ind w:right="112"/>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82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$249,604</w:t>
            </w:r>
          </w:p>
        </w:tc>
        <w:tc>
          <w:tcPr>
            <w:tcW w:w="10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$228,211</w:t>
            </w:r>
          </w:p>
        </w:tc>
        <w:tc>
          <w:tcPr>
            <w:tcW w:w="840" w:type="dxa"/>
            <w:vAlign w:val="bottom"/>
            <w:shd w:val="clear" w:color="auto" w:fill="CCEEFF"/>
          </w:tcPr>
          <w:p>
            <w:pPr>
              <w:jc w:val="right"/>
              <w:ind w:right="46"/>
              <w:spacing w:after="0"/>
              <w:rPr>
                <w:sz w:val="20"/>
                <w:szCs w:val="20"/>
                <w:color w:val="auto"/>
              </w:rPr>
            </w:pPr>
            <w:r>
              <w:rPr>
                <w:rFonts w:ascii="Arial" w:cs="Arial" w:eastAsia="Arial" w:hAnsi="Arial"/>
                <w:sz w:val="18"/>
                <w:szCs w:val="18"/>
                <w:color w:val="auto"/>
              </w:rPr>
              <w:t>9.4%</w:t>
            </w:r>
          </w:p>
        </w:tc>
        <w:tc>
          <w:tcPr>
            <w:tcW w:w="1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$492,141</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$447,322</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10.0 %</w:t>
            </w:r>
          </w:p>
        </w:tc>
        <w:tc>
          <w:tcPr>
            <w:tcW w:w="0" w:type="dxa"/>
            <w:vAlign w:val="bottom"/>
          </w:tcPr>
          <w:p>
            <w:pPr>
              <w:spacing w:after="0"/>
              <w:rPr>
                <w:sz w:val="1"/>
                <w:szCs w:val="1"/>
                <w:color w:val="auto"/>
              </w:rPr>
            </w:pPr>
          </w:p>
        </w:tc>
      </w:tr>
      <w:tr>
        <w:trPr>
          <w:trHeight w:val="222"/>
        </w:trPr>
        <w:tc>
          <w:tcPr>
            <w:tcW w:w="3800" w:type="dxa"/>
            <w:vAlign w:val="bottom"/>
          </w:tcPr>
          <w:p>
            <w:pPr>
              <w:spacing w:after="0"/>
              <w:rPr>
                <w:sz w:val="20"/>
                <w:szCs w:val="20"/>
                <w:color w:val="auto"/>
              </w:rPr>
            </w:pPr>
            <w:r>
              <w:rPr>
                <w:rFonts w:ascii="Arial" w:cs="Arial" w:eastAsia="Arial" w:hAnsi="Arial"/>
                <w:sz w:val="18"/>
                <w:szCs w:val="18"/>
                <w:color w:val="auto"/>
              </w:rPr>
              <w:t>% of net revenue</w:t>
            </w:r>
          </w:p>
        </w:tc>
        <w:tc>
          <w:tcPr>
            <w:tcW w:w="2820" w:type="dxa"/>
            <w:vAlign w:val="bottom"/>
            <w:gridSpan w:val="2"/>
          </w:tcPr>
          <w:p>
            <w:pPr>
              <w:jc w:val="right"/>
              <w:ind w:right="52"/>
              <w:spacing w:after="0"/>
              <w:rPr>
                <w:sz w:val="20"/>
                <w:szCs w:val="20"/>
                <w:color w:val="auto"/>
              </w:rPr>
            </w:pPr>
            <w:r>
              <w:rPr>
                <w:rFonts w:ascii="Arial" w:cs="Arial" w:eastAsia="Arial" w:hAnsi="Arial"/>
                <w:sz w:val="18"/>
                <w:szCs w:val="18"/>
                <w:color w:val="auto"/>
              </w:rPr>
              <w:t>27.8%</w:t>
            </w: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25.5%</w:t>
            </w:r>
          </w:p>
        </w:tc>
        <w:tc>
          <w:tcPr>
            <w:tcW w:w="840" w:type="dxa"/>
            <w:vAlign w:val="bottom"/>
          </w:tcPr>
          <w:p>
            <w:pPr>
              <w:spacing w:after="0"/>
              <w:rPr>
                <w:sz w:val="19"/>
                <w:szCs w:val="19"/>
                <w:color w:val="auto"/>
              </w:rPr>
            </w:pP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29.0%</w:t>
            </w: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25.5%</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260" w:firstLine="456"/>
        <w:spacing w:after="0" w:line="335" w:lineRule="auto"/>
        <w:rPr>
          <w:sz w:val="20"/>
          <w:szCs w:val="20"/>
          <w:color w:val="auto"/>
        </w:rPr>
      </w:pPr>
      <w:r>
        <w:rPr>
          <w:rFonts w:ascii="Arial" w:cs="Arial" w:eastAsia="Arial" w:hAnsi="Arial"/>
          <w:sz w:val="15"/>
          <w:szCs w:val="15"/>
          <w:color w:val="auto"/>
        </w:rPr>
        <w:t>The increase in research and development expense for the three months ended July 30, 2011 compared to the three months ended July 31, 2010 of $21.4 million was primarily due to a $22.5 million increase in personnel-related costs as a result of increased headcount and contractor services, net of slightly lower incentive compensation expenses related to lower profitability. The increase was partially offset by a $1.2 million decrease in restructuring expenses.</w:t>
      </w:r>
    </w:p>
    <w:p>
      <w:pPr>
        <w:spacing w:after="0" w:line="88"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increase in research and development expense for the six months ended July 30, 2011 compared to the six months ended July 31, 2010 of $44.8 million was primarily due to a $45.3 million increase in personnel-related costs as a result of increased headcount and contractor services, net of slightly lower incentive compensation expenses.</w:t>
      </w:r>
    </w:p>
    <w:p>
      <w:pPr>
        <w:spacing w:after="0" w:line="140" w:lineRule="exact"/>
        <w:rPr>
          <w:sz w:val="20"/>
          <w:szCs w:val="20"/>
          <w:color w:val="auto"/>
        </w:rPr>
      </w:pPr>
    </w:p>
    <w:p>
      <w:pPr>
        <w:ind w:right="520" w:firstLine="456"/>
        <w:spacing w:after="0" w:line="268" w:lineRule="auto"/>
        <w:rPr>
          <w:sz w:val="20"/>
          <w:szCs w:val="20"/>
          <w:color w:val="auto"/>
        </w:rPr>
      </w:pPr>
      <w:r>
        <w:rPr>
          <w:rFonts w:ascii="Arial" w:cs="Arial" w:eastAsia="Arial" w:hAnsi="Arial"/>
          <w:sz w:val="18"/>
          <w:szCs w:val="18"/>
          <w:color w:val="auto"/>
        </w:rPr>
        <w:t>We currently expect that research and development expense for the three months ending October 29, 2011 will increase moderately from the level of expense reported for the three months ended July 30, 2011.</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1820" w:type="dxa"/>
            <w:vAlign w:val="bottom"/>
            <w:gridSpan w:val="3"/>
          </w:tcPr>
          <w:p>
            <w:pPr>
              <w:ind w:left="160"/>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vMerge w:val="restart"/>
          </w:tcPr>
          <w:p>
            <w:pPr>
              <w:jc w:val="right"/>
              <w:ind w:right="466"/>
              <w:spacing w:after="0"/>
              <w:rPr>
                <w:sz w:val="20"/>
                <w:szCs w:val="20"/>
                <w:color w:val="auto"/>
              </w:rPr>
            </w:pPr>
            <w:r>
              <w:rPr>
                <w:rFonts w:ascii="Arial" w:cs="Arial" w:eastAsia="Arial" w:hAnsi="Arial"/>
                <w:sz w:val="14"/>
                <w:szCs w:val="14"/>
                <w:b w:val="1"/>
                <w:bCs w:val="1"/>
                <w:color w:val="auto"/>
              </w:rPr>
              <w:t>%</w:t>
            </w:r>
          </w:p>
        </w:tc>
        <w:tc>
          <w:tcPr>
            <w:tcW w:w="182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Six Months Ended</w:t>
            </w:r>
          </w:p>
        </w:tc>
        <w:tc>
          <w:tcPr>
            <w:tcW w:w="5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0" w:type="dxa"/>
            <w:vAlign w:val="bottom"/>
          </w:tcPr>
          <w:p>
            <w:pPr>
              <w:spacing w:after="0"/>
              <w:rPr>
                <w:sz w:val="11"/>
                <w:szCs w:val="11"/>
                <w:color w:val="auto"/>
              </w:rPr>
            </w:pPr>
          </w:p>
        </w:tc>
        <w:tc>
          <w:tcPr>
            <w:tcW w:w="2240" w:type="dxa"/>
            <w:vAlign w:val="bottom"/>
          </w:tcPr>
          <w:p>
            <w:pPr>
              <w:spacing w:after="0"/>
              <w:rPr>
                <w:sz w:val="11"/>
                <w:szCs w:val="11"/>
                <w:color w:val="auto"/>
              </w:rPr>
            </w:pPr>
          </w:p>
        </w:tc>
        <w:tc>
          <w:tcPr>
            <w:tcW w:w="860" w:type="dxa"/>
            <w:vAlign w:val="bottom"/>
            <w:tcBorders>
              <w:top w:val="single" w:sz="8" w:color="auto"/>
            </w:tcBorders>
          </w:tcPr>
          <w:p>
            <w:pPr>
              <w:jc w:val="right"/>
              <w:ind w:right="272"/>
              <w:spacing w:after="0" w:line="129" w:lineRule="exact"/>
              <w:rPr>
                <w:sz w:val="20"/>
                <w:szCs w:val="20"/>
                <w:color w:val="auto"/>
              </w:rPr>
            </w:pPr>
            <w:r>
              <w:rPr>
                <w:rFonts w:ascii="Arial" w:cs="Arial" w:eastAsia="Arial" w:hAnsi="Arial"/>
                <w:sz w:val="14"/>
                <w:szCs w:val="14"/>
                <w:b w:val="1"/>
                <w:bCs w:val="1"/>
                <w:color w:val="auto"/>
                <w:w w:val="97"/>
              </w:rPr>
              <w:t>July 30,</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31,</w:t>
            </w:r>
          </w:p>
        </w:tc>
        <w:tc>
          <w:tcPr>
            <w:tcW w:w="260" w:type="dxa"/>
            <w:vAlign w:val="bottom"/>
          </w:tcPr>
          <w:p>
            <w:pPr>
              <w:spacing w:after="0"/>
              <w:rPr>
                <w:sz w:val="11"/>
                <w:szCs w:val="11"/>
                <w:color w:val="auto"/>
              </w:rPr>
            </w:pPr>
          </w:p>
        </w:tc>
        <w:tc>
          <w:tcPr>
            <w:tcW w:w="960" w:type="dxa"/>
            <w:vAlign w:val="bottom"/>
            <w:vMerge w:val="continue"/>
          </w:tcPr>
          <w:p>
            <w:pPr>
              <w:spacing w:after="0"/>
              <w:rPr>
                <w:sz w:val="11"/>
                <w:szCs w:val="11"/>
                <w:color w:val="auto"/>
              </w:rPr>
            </w:pPr>
          </w:p>
        </w:tc>
        <w:tc>
          <w:tcPr>
            <w:tcW w:w="880" w:type="dxa"/>
            <w:vAlign w:val="bottom"/>
            <w:tcBorders>
              <w:top w:val="single" w:sz="8" w:color="auto"/>
            </w:tcBorders>
          </w:tcPr>
          <w:p>
            <w:pPr>
              <w:jc w:val="right"/>
              <w:ind w:right="284"/>
              <w:spacing w:after="0" w:line="129" w:lineRule="exact"/>
              <w:rPr>
                <w:sz w:val="20"/>
                <w:szCs w:val="20"/>
                <w:color w:val="auto"/>
              </w:rPr>
            </w:pPr>
            <w:r>
              <w:rPr>
                <w:rFonts w:ascii="Arial" w:cs="Arial" w:eastAsia="Arial" w:hAnsi="Arial"/>
                <w:sz w:val="14"/>
                <w:szCs w:val="14"/>
                <w:b w:val="1"/>
                <w:bCs w:val="1"/>
                <w:color w:val="auto"/>
                <w:w w:val="97"/>
              </w:rPr>
              <w:t>July 30,</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31,</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800" w:type="dxa"/>
            <w:vAlign w:val="bottom"/>
          </w:tcPr>
          <w:p>
            <w:pPr>
              <w:spacing w:after="0"/>
              <w:rPr>
                <w:sz w:val="14"/>
                <w:szCs w:val="14"/>
                <w:color w:val="auto"/>
              </w:rPr>
            </w:pPr>
          </w:p>
        </w:tc>
        <w:tc>
          <w:tcPr>
            <w:tcW w:w="3100" w:type="dxa"/>
            <w:vAlign w:val="bottom"/>
            <w:gridSpan w:val="2"/>
          </w:tcPr>
          <w:p>
            <w:pPr>
              <w:ind w:left="2400"/>
              <w:spacing w:after="0"/>
              <w:rPr>
                <w:sz w:val="20"/>
                <w:szCs w:val="20"/>
                <w:color w:val="auto"/>
              </w:rPr>
            </w:pPr>
            <w:r>
              <w:rPr>
                <w:rFonts w:ascii="Arial" w:cs="Arial" w:eastAsia="Arial" w:hAnsi="Arial"/>
                <w:sz w:val="14"/>
                <w:szCs w:val="14"/>
                <w:b w:val="1"/>
                <w:bCs w:val="1"/>
                <w:color w:val="auto"/>
              </w:rPr>
              <w:t>2011</w:t>
            </w:r>
          </w:p>
        </w:tc>
        <w:tc>
          <w:tcPr>
            <w:tcW w:w="700" w:type="dxa"/>
            <w:vAlign w:val="bottom"/>
          </w:tcPr>
          <w:p>
            <w:pPr>
              <w:jc w:val="right"/>
              <w:ind w:right="82"/>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960" w:type="dxa"/>
            <w:vAlign w:val="bottom"/>
          </w:tcPr>
          <w:p>
            <w:pPr>
              <w:jc w:val="center"/>
              <w:ind w:right="166"/>
              <w:spacing w:after="0"/>
              <w:rPr>
                <w:sz w:val="20"/>
                <w:szCs w:val="20"/>
                <w:color w:val="auto"/>
              </w:rPr>
            </w:pPr>
            <w:r>
              <w:rPr>
                <w:rFonts w:ascii="Arial" w:cs="Arial" w:eastAsia="Arial" w:hAnsi="Arial"/>
                <w:sz w:val="14"/>
                <w:szCs w:val="14"/>
                <w:b w:val="1"/>
                <w:bCs w:val="1"/>
                <w:color w:val="auto"/>
                <w:w w:val="85"/>
              </w:rPr>
              <w:t>Change</w:t>
            </w:r>
          </w:p>
        </w:tc>
        <w:tc>
          <w:tcPr>
            <w:tcW w:w="880" w:type="dxa"/>
            <w:vAlign w:val="bottom"/>
          </w:tcPr>
          <w:p>
            <w:pPr>
              <w:jc w:val="right"/>
              <w:ind w:right="384"/>
              <w:spacing w:after="0"/>
              <w:rPr>
                <w:sz w:val="20"/>
                <w:szCs w:val="20"/>
                <w:color w:val="auto"/>
              </w:rPr>
            </w:pPr>
            <w:r>
              <w:rPr>
                <w:rFonts w:ascii="Arial" w:cs="Arial" w:eastAsia="Arial" w:hAnsi="Arial"/>
                <w:sz w:val="14"/>
                <w:szCs w:val="14"/>
                <w:b w:val="1"/>
                <w:bCs w:val="1"/>
                <w:color w:val="auto"/>
              </w:rPr>
              <w:t>2011</w:t>
            </w:r>
          </w:p>
        </w:tc>
        <w:tc>
          <w:tcPr>
            <w:tcW w:w="680" w:type="dxa"/>
            <w:vAlign w:val="bottom"/>
          </w:tcPr>
          <w:p>
            <w:pPr>
              <w:jc w:val="right"/>
              <w:ind w:right="82"/>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2240" w:type="dxa"/>
            <w:vAlign w:val="bottom"/>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3"/>
          </w:tcPr>
          <w:p>
            <w:pPr>
              <w:jc w:val="right"/>
              <w:ind w:right="2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68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10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$40,390</w:t>
            </w:r>
          </w:p>
        </w:tc>
        <w:tc>
          <w:tcPr>
            <w:tcW w:w="9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$36,863</w:t>
            </w:r>
          </w:p>
        </w:tc>
        <w:tc>
          <w:tcPr>
            <w:tcW w:w="960" w:type="dxa"/>
            <w:vAlign w:val="bottom"/>
            <w:shd w:val="clear" w:color="auto" w:fill="CCEEFF"/>
          </w:tcPr>
          <w:p>
            <w:pPr>
              <w:jc w:val="right"/>
              <w:ind w:right="166"/>
              <w:spacing w:after="0"/>
              <w:rPr>
                <w:sz w:val="20"/>
                <w:szCs w:val="20"/>
                <w:color w:val="auto"/>
              </w:rPr>
            </w:pPr>
            <w:r>
              <w:rPr>
                <w:rFonts w:ascii="Arial" w:cs="Arial" w:eastAsia="Arial" w:hAnsi="Arial"/>
                <w:sz w:val="18"/>
                <w:szCs w:val="18"/>
                <w:color w:val="auto"/>
              </w:rPr>
              <w:t>9.6%</w:t>
            </w:r>
          </w:p>
        </w:tc>
        <w:tc>
          <w:tcPr>
            <w:tcW w:w="88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86"/>
              </w:rPr>
              <w:t>$78,542</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$75,286</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22"/>
        </w:trPr>
        <w:tc>
          <w:tcPr>
            <w:tcW w:w="3800" w:type="dxa"/>
            <w:vAlign w:val="bottom"/>
          </w:tcPr>
          <w:p>
            <w:pPr>
              <w:spacing w:after="0"/>
              <w:rPr>
                <w:sz w:val="20"/>
                <w:szCs w:val="20"/>
                <w:color w:val="auto"/>
              </w:rPr>
            </w:pPr>
            <w:r>
              <w:rPr>
                <w:rFonts w:ascii="Arial" w:cs="Arial" w:eastAsia="Arial" w:hAnsi="Arial"/>
                <w:sz w:val="18"/>
                <w:szCs w:val="18"/>
                <w:color w:val="auto"/>
              </w:rPr>
              <w:t>% of net revenue</w:t>
            </w:r>
          </w:p>
        </w:tc>
        <w:tc>
          <w:tcPr>
            <w:tcW w:w="3100" w:type="dxa"/>
            <w:vAlign w:val="bottom"/>
            <w:gridSpan w:val="2"/>
          </w:tcPr>
          <w:p>
            <w:pPr>
              <w:jc w:val="right"/>
              <w:ind w:right="52"/>
              <w:spacing w:after="0"/>
              <w:rPr>
                <w:sz w:val="20"/>
                <w:szCs w:val="20"/>
                <w:color w:val="auto"/>
              </w:rPr>
            </w:pPr>
            <w:r>
              <w:rPr>
                <w:rFonts w:ascii="Arial" w:cs="Arial" w:eastAsia="Arial" w:hAnsi="Arial"/>
                <w:sz w:val="18"/>
                <w:szCs w:val="18"/>
                <w:color w:val="auto"/>
              </w:rPr>
              <w:t>4.5%</w:t>
            </w:r>
          </w:p>
        </w:tc>
        <w:tc>
          <w:tcPr>
            <w:tcW w:w="960" w:type="dxa"/>
            <w:vAlign w:val="bottom"/>
            <w:gridSpan w:val="2"/>
          </w:tcPr>
          <w:p>
            <w:pPr>
              <w:jc w:val="right"/>
              <w:ind w:right="52"/>
              <w:spacing w:after="0"/>
              <w:rPr>
                <w:sz w:val="20"/>
                <w:szCs w:val="20"/>
                <w:color w:val="auto"/>
              </w:rPr>
            </w:pPr>
            <w:r>
              <w:rPr>
                <w:rFonts w:ascii="Arial" w:cs="Arial" w:eastAsia="Arial" w:hAnsi="Arial"/>
                <w:sz w:val="18"/>
                <w:szCs w:val="18"/>
                <w:color w:val="auto"/>
              </w:rPr>
              <w:t>4.1%</w:t>
            </w:r>
          </w:p>
        </w:tc>
        <w:tc>
          <w:tcPr>
            <w:tcW w:w="960" w:type="dxa"/>
            <w:vAlign w:val="bottom"/>
          </w:tcPr>
          <w:p>
            <w:pPr>
              <w:spacing w:after="0"/>
              <w:rPr>
                <w:sz w:val="19"/>
                <w:szCs w:val="19"/>
                <w:color w:val="auto"/>
              </w:rPr>
            </w:pPr>
          </w:p>
        </w:tc>
        <w:tc>
          <w:tcPr>
            <w:tcW w:w="880" w:type="dxa"/>
            <w:vAlign w:val="bottom"/>
          </w:tcPr>
          <w:p>
            <w:pPr>
              <w:jc w:val="right"/>
              <w:ind w:right="64"/>
              <w:spacing w:after="0"/>
              <w:rPr>
                <w:sz w:val="20"/>
                <w:szCs w:val="20"/>
                <w:color w:val="auto"/>
              </w:rPr>
            </w:pPr>
            <w:r>
              <w:rPr>
                <w:rFonts w:ascii="Arial" w:cs="Arial" w:eastAsia="Arial" w:hAnsi="Arial"/>
                <w:sz w:val="18"/>
                <w:szCs w:val="18"/>
                <w:color w:val="auto"/>
              </w:rPr>
              <w:t>4.6%</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4.3%</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increase in selling and marketing expense for the three months ended July 30, 2011 compared to the three months ended July 31, 2010 of $3.5 million was primarily due to a $3.3 million increase in personnel-related costs as a result of increased headcount and contractor services, net of slightly lower incentive compensation expenses related to lower profitability.</w:t>
      </w:r>
    </w:p>
    <w:p>
      <w:pPr>
        <w:spacing w:after="0" w:line="140"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increase in selling and marketing expense for the six months ended July 30, 2011 compared to the six months ended July 31, 2010 of $3.3 million was primarily due to a $5.5 million increase in personnel-related costs as a result of increased headcount and contractor services, net of slightly lower incentive compensation expenses related to lower profitability. The increase was partially offset by a $2.4 million decrease in general selling and marketing expense, such as trade show and public relations expenses.</w:t>
      </w:r>
    </w:p>
    <w:p>
      <w:pPr>
        <w:spacing w:after="0" w:line="143"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We currently expect that selling and marketing expense for the three months ending October 29, 2011 will be essentially flat from the level of expense reported for the three months ended July 30, 2011.</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0" w:type="dxa"/>
            <w:vAlign w:val="bottom"/>
          </w:tcPr>
          <w:p>
            <w:pPr>
              <w:spacing w:after="0"/>
              <w:rPr>
                <w:sz w:val="14"/>
                <w:szCs w:val="14"/>
                <w:color w:val="auto"/>
              </w:rPr>
            </w:pPr>
          </w:p>
        </w:tc>
        <w:tc>
          <w:tcPr>
            <w:tcW w:w="1800" w:type="dxa"/>
            <w:vAlign w:val="bottom"/>
            <w:gridSpan w:val="3"/>
          </w:tcPr>
          <w:p>
            <w:pPr>
              <w:jc w:val="right"/>
              <w:ind w:right="352"/>
              <w:spacing w:after="0"/>
              <w:rPr>
                <w:sz w:val="20"/>
                <w:szCs w:val="20"/>
                <w:color w:val="auto"/>
              </w:rPr>
            </w:pPr>
            <w:r>
              <w:rPr>
                <w:rFonts w:ascii="Arial" w:cs="Arial" w:eastAsia="Arial" w:hAnsi="Arial"/>
                <w:sz w:val="14"/>
                <w:szCs w:val="14"/>
                <w:b w:val="1"/>
                <w:bCs w:val="1"/>
                <w:color w:val="auto"/>
                <w:w w:val="98"/>
              </w:rPr>
              <w:t>Three Months Ended</w:t>
            </w:r>
          </w:p>
        </w:tc>
        <w:tc>
          <w:tcPr>
            <w:tcW w:w="100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180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Six Months Ended</w:t>
            </w:r>
          </w:p>
        </w:tc>
        <w:tc>
          <w:tcPr>
            <w:tcW w:w="56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0" w:type="dxa"/>
            <w:vAlign w:val="bottom"/>
          </w:tcPr>
          <w:p>
            <w:pPr>
              <w:spacing w:after="0"/>
              <w:rPr>
                <w:sz w:val="11"/>
                <w:szCs w:val="11"/>
                <w:color w:val="auto"/>
              </w:rPr>
            </w:pPr>
          </w:p>
        </w:tc>
        <w:tc>
          <w:tcPr>
            <w:tcW w:w="84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97"/>
              </w:rPr>
              <w:t>July 30,</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31,</w:t>
            </w:r>
          </w:p>
        </w:tc>
        <w:tc>
          <w:tcPr>
            <w:tcW w:w="260" w:type="dxa"/>
            <w:vAlign w:val="bottom"/>
          </w:tcPr>
          <w:p>
            <w:pPr>
              <w:spacing w:after="0"/>
              <w:rPr>
                <w:sz w:val="11"/>
                <w:szCs w:val="11"/>
                <w:color w:val="auto"/>
              </w:rPr>
            </w:pPr>
          </w:p>
        </w:tc>
        <w:tc>
          <w:tcPr>
            <w:tcW w:w="1000" w:type="dxa"/>
            <w:vAlign w:val="bottom"/>
            <w:vMerge w:val="continue"/>
          </w:tcPr>
          <w:p>
            <w:pPr>
              <w:spacing w:after="0"/>
              <w:rPr>
                <w:sz w:val="11"/>
                <w:szCs w:val="11"/>
                <w:color w:val="auto"/>
              </w:rPr>
            </w:pPr>
          </w:p>
        </w:tc>
        <w:tc>
          <w:tcPr>
            <w:tcW w:w="860" w:type="dxa"/>
            <w:vAlign w:val="bottom"/>
            <w:tcBorders>
              <w:top w:val="single" w:sz="8" w:color="auto"/>
            </w:tcBorders>
          </w:tcPr>
          <w:p>
            <w:pPr>
              <w:jc w:val="right"/>
              <w:ind w:right="264"/>
              <w:spacing w:after="0" w:line="129" w:lineRule="exact"/>
              <w:rPr>
                <w:sz w:val="20"/>
                <w:szCs w:val="20"/>
                <w:color w:val="auto"/>
              </w:rPr>
            </w:pPr>
            <w:r>
              <w:rPr>
                <w:rFonts w:ascii="Arial" w:cs="Arial" w:eastAsia="Arial" w:hAnsi="Arial"/>
                <w:sz w:val="14"/>
                <w:szCs w:val="14"/>
                <w:b w:val="1"/>
                <w:bCs w:val="1"/>
                <w:color w:val="auto"/>
                <w:w w:val="97"/>
              </w:rPr>
              <w:t>July 30,</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31,</w:t>
            </w:r>
          </w:p>
        </w:tc>
        <w:tc>
          <w:tcPr>
            <w:tcW w:w="26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000" w:type="dxa"/>
            <w:vAlign w:val="bottom"/>
          </w:tcPr>
          <w:p>
            <w:pPr>
              <w:spacing w:after="0"/>
              <w:rPr>
                <w:sz w:val="14"/>
                <w:szCs w:val="14"/>
                <w:color w:val="auto"/>
              </w:rPr>
            </w:pPr>
          </w:p>
        </w:tc>
        <w:tc>
          <w:tcPr>
            <w:tcW w:w="840" w:type="dxa"/>
            <w:vAlign w:val="bottom"/>
          </w:tcPr>
          <w:p>
            <w:pPr>
              <w:jc w:val="right"/>
              <w:ind w:right="344"/>
              <w:spacing w:after="0"/>
              <w:rPr>
                <w:sz w:val="20"/>
                <w:szCs w:val="20"/>
                <w:color w:val="auto"/>
              </w:rPr>
            </w:pPr>
            <w:r>
              <w:rPr>
                <w:rFonts w:ascii="Arial" w:cs="Arial" w:eastAsia="Arial" w:hAnsi="Arial"/>
                <w:sz w:val="14"/>
                <w:szCs w:val="14"/>
                <w:b w:val="1"/>
                <w:bCs w:val="1"/>
                <w:color w:val="auto"/>
              </w:rPr>
              <w:t>2011</w:t>
            </w:r>
          </w:p>
        </w:tc>
        <w:tc>
          <w:tcPr>
            <w:tcW w:w="700" w:type="dxa"/>
            <w:vAlign w:val="bottom"/>
          </w:tcPr>
          <w:p>
            <w:pPr>
              <w:jc w:val="right"/>
              <w:ind w:right="82"/>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1000" w:type="dxa"/>
            <w:vAlign w:val="bottom"/>
          </w:tcPr>
          <w:p>
            <w:pPr>
              <w:ind w:left="120"/>
              <w:spacing w:after="0"/>
              <w:rPr>
                <w:sz w:val="20"/>
                <w:szCs w:val="20"/>
                <w:color w:val="auto"/>
              </w:rPr>
            </w:pPr>
            <w:r>
              <w:rPr>
                <w:rFonts w:ascii="Arial" w:cs="Arial" w:eastAsia="Arial" w:hAnsi="Arial"/>
                <w:sz w:val="14"/>
                <w:szCs w:val="14"/>
                <w:b w:val="1"/>
                <w:bCs w:val="1"/>
                <w:color w:val="auto"/>
              </w:rPr>
              <w:t>Change</w:t>
            </w:r>
          </w:p>
        </w:tc>
        <w:tc>
          <w:tcPr>
            <w:tcW w:w="860" w:type="dxa"/>
            <w:vAlign w:val="bottom"/>
          </w:tcPr>
          <w:p>
            <w:pPr>
              <w:jc w:val="right"/>
              <w:ind w:right="364"/>
              <w:spacing w:after="0"/>
              <w:rPr>
                <w:sz w:val="20"/>
                <w:szCs w:val="20"/>
                <w:color w:val="auto"/>
              </w:rPr>
            </w:pPr>
            <w:r>
              <w:rPr>
                <w:rFonts w:ascii="Arial" w:cs="Arial" w:eastAsia="Arial" w:hAnsi="Arial"/>
                <w:sz w:val="14"/>
                <w:szCs w:val="14"/>
                <w:b w:val="1"/>
                <w:bCs w:val="1"/>
                <w:color w:val="auto"/>
              </w:rPr>
              <w:t>2011</w:t>
            </w:r>
          </w:p>
        </w:tc>
        <w:tc>
          <w:tcPr>
            <w:tcW w:w="680" w:type="dxa"/>
            <w:vAlign w:val="bottom"/>
          </w:tcPr>
          <w:p>
            <w:pPr>
              <w:jc w:val="right"/>
              <w:ind w:right="82"/>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820" w:type="dxa"/>
            <w:vAlign w:val="bottom"/>
            <w:gridSpan w:val="2"/>
          </w:tcPr>
          <w:p>
            <w:pPr>
              <w:ind w:left="1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6000" w:type="dxa"/>
            <w:vAlign w:val="bottom"/>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120" w:type="dxa"/>
            <w:vAlign w:val="bottom"/>
            <w:tcBorders>
              <w:top w:val="single" w:sz="8" w:color="auto"/>
            </w:tcBorders>
            <w:gridSpan w:val="3"/>
          </w:tcPr>
          <w:p>
            <w:pPr>
              <w:jc w:val="right"/>
              <w:ind w:right="4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68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84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6"/>
              </w:rPr>
              <w:t>$23,631</w:t>
            </w:r>
          </w:p>
        </w:tc>
        <w:tc>
          <w:tcPr>
            <w:tcW w:w="9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$25,440</w:t>
            </w:r>
          </w:p>
        </w:tc>
        <w:tc>
          <w:tcPr>
            <w:tcW w:w="1000" w:type="dxa"/>
            <w:vAlign w:val="bottom"/>
            <w:shd w:val="clear" w:color="auto" w:fill="CCEEFF"/>
          </w:tcPr>
          <w:p>
            <w:pPr>
              <w:ind w:left="280"/>
              <w:spacing w:after="0"/>
              <w:rPr>
                <w:sz w:val="20"/>
                <w:szCs w:val="20"/>
                <w:color w:val="auto"/>
              </w:rPr>
            </w:pPr>
            <w:r>
              <w:rPr>
                <w:rFonts w:ascii="Arial" w:cs="Arial" w:eastAsia="Arial" w:hAnsi="Arial"/>
                <w:sz w:val="18"/>
                <w:szCs w:val="18"/>
                <w:color w:val="auto"/>
              </w:rPr>
              <w:t>(7.1)%</w:t>
            </w:r>
          </w:p>
        </w:tc>
        <w:tc>
          <w:tcPr>
            <w:tcW w:w="860" w:type="dxa"/>
            <w:vAlign w:val="bottom"/>
            <w:shd w:val="clear" w:color="auto" w:fill="CCEEFF"/>
          </w:tcPr>
          <w:p>
            <w:pPr>
              <w:jc w:val="right"/>
              <w:ind w:right="204"/>
              <w:spacing w:after="0"/>
              <w:rPr>
                <w:sz w:val="20"/>
                <w:szCs w:val="20"/>
                <w:color w:val="auto"/>
              </w:rPr>
            </w:pPr>
            <w:r>
              <w:rPr>
                <w:rFonts w:ascii="Arial" w:cs="Arial" w:eastAsia="Arial" w:hAnsi="Arial"/>
                <w:sz w:val="18"/>
                <w:szCs w:val="18"/>
                <w:color w:val="auto"/>
                <w:w w:val="86"/>
              </w:rPr>
              <w:t>$48,415</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$48,548</w:t>
            </w:r>
          </w:p>
        </w:tc>
        <w:tc>
          <w:tcPr>
            <w:tcW w:w="8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8"/>
              </w:rPr>
              <w:t>(0.3)%</w:t>
            </w:r>
          </w:p>
        </w:tc>
        <w:tc>
          <w:tcPr>
            <w:tcW w:w="0" w:type="dxa"/>
            <w:vAlign w:val="bottom"/>
          </w:tcPr>
          <w:p>
            <w:pPr>
              <w:spacing w:after="0"/>
              <w:rPr>
                <w:sz w:val="1"/>
                <w:szCs w:val="1"/>
                <w:color w:val="auto"/>
              </w:rPr>
            </w:pPr>
          </w:p>
        </w:tc>
      </w:tr>
      <w:tr>
        <w:trPr>
          <w:trHeight w:val="222"/>
        </w:trPr>
        <w:tc>
          <w:tcPr>
            <w:tcW w:w="6000" w:type="dxa"/>
            <w:vAlign w:val="bottom"/>
          </w:tcPr>
          <w:p>
            <w:pPr>
              <w:spacing w:after="0"/>
              <w:rPr>
                <w:sz w:val="20"/>
                <w:szCs w:val="20"/>
                <w:color w:val="auto"/>
              </w:rPr>
            </w:pPr>
            <w:r>
              <w:rPr>
                <w:rFonts w:ascii="Arial" w:cs="Arial" w:eastAsia="Arial" w:hAnsi="Arial"/>
                <w:sz w:val="18"/>
                <w:szCs w:val="18"/>
                <w:color w:val="auto"/>
              </w:rPr>
              <w:t>% of net revenue</w:t>
            </w:r>
          </w:p>
        </w:tc>
        <w:tc>
          <w:tcPr>
            <w:tcW w:w="840" w:type="dxa"/>
            <w:vAlign w:val="bottom"/>
          </w:tcPr>
          <w:p>
            <w:pPr>
              <w:jc w:val="right"/>
              <w:ind w:right="24"/>
              <w:spacing w:after="0"/>
              <w:rPr>
                <w:sz w:val="20"/>
                <w:szCs w:val="20"/>
                <w:color w:val="auto"/>
              </w:rPr>
            </w:pPr>
            <w:r>
              <w:rPr>
                <w:rFonts w:ascii="Arial" w:cs="Arial" w:eastAsia="Arial" w:hAnsi="Arial"/>
                <w:sz w:val="18"/>
                <w:szCs w:val="18"/>
                <w:color w:val="auto"/>
              </w:rPr>
              <w:t>2.7%</w:t>
            </w:r>
          </w:p>
        </w:tc>
        <w:tc>
          <w:tcPr>
            <w:tcW w:w="960" w:type="dxa"/>
            <w:vAlign w:val="bottom"/>
            <w:gridSpan w:val="2"/>
          </w:tcPr>
          <w:p>
            <w:pPr>
              <w:jc w:val="right"/>
              <w:ind w:right="32"/>
              <w:spacing w:after="0"/>
              <w:rPr>
                <w:sz w:val="20"/>
                <w:szCs w:val="20"/>
                <w:color w:val="auto"/>
              </w:rPr>
            </w:pPr>
            <w:r>
              <w:rPr>
                <w:rFonts w:ascii="Arial" w:cs="Arial" w:eastAsia="Arial" w:hAnsi="Arial"/>
                <w:sz w:val="18"/>
                <w:szCs w:val="18"/>
                <w:color w:val="auto"/>
              </w:rPr>
              <w:t>2.8%</w:t>
            </w:r>
          </w:p>
        </w:tc>
        <w:tc>
          <w:tcPr>
            <w:tcW w:w="1000" w:type="dxa"/>
            <w:vAlign w:val="bottom"/>
          </w:tcPr>
          <w:p>
            <w:pPr>
              <w:spacing w:after="0"/>
              <w:rPr>
                <w:sz w:val="19"/>
                <w:szCs w:val="19"/>
                <w:color w:val="auto"/>
              </w:rPr>
            </w:pPr>
          </w:p>
        </w:tc>
        <w:tc>
          <w:tcPr>
            <w:tcW w:w="860" w:type="dxa"/>
            <w:vAlign w:val="bottom"/>
          </w:tcPr>
          <w:p>
            <w:pPr>
              <w:jc w:val="right"/>
              <w:ind w:right="64"/>
              <w:spacing w:after="0"/>
              <w:rPr>
                <w:sz w:val="20"/>
                <w:szCs w:val="20"/>
                <w:color w:val="auto"/>
              </w:rPr>
            </w:pPr>
            <w:r>
              <w:rPr>
                <w:rFonts w:ascii="Arial" w:cs="Arial" w:eastAsia="Arial" w:hAnsi="Arial"/>
                <w:sz w:val="18"/>
                <w:szCs w:val="18"/>
                <w:color w:val="auto"/>
              </w:rPr>
              <w:t>2.8%</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2.8%</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300" w:firstLine="456"/>
        <w:spacing w:after="0" w:line="306" w:lineRule="auto"/>
        <w:rPr>
          <w:sz w:val="20"/>
          <w:szCs w:val="20"/>
          <w:color w:val="auto"/>
        </w:rPr>
      </w:pPr>
      <w:r>
        <w:rPr>
          <w:rFonts w:ascii="Arial" w:cs="Arial" w:eastAsia="Arial" w:hAnsi="Arial"/>
          <w:sz w:val="16"/>
          <w:szCs w:val="16"/>
          <w:color w:val="auto"/>
        </w:rPr>
        <w:t>The decrease in general and administrative expense for the three months ended July 30, 2011 compared to the three months ended July 31, 2010 of $1.8 million was primarily due to lower stock-based compensation expenses of $1.4 million. The lower stock-based compensation expenses were primarily due to adjustments recorded on certain grants connected to performance targets that we no longer expect to be achieved.</w:t>
      </w:r>
    </w:p>
    <w:p>
      <w:pPr>
        <w:spacing w:after="0" w:line="107"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General and administrative expense for the six months ended July 30, 2011 was flat compared to the six months ended July 31, 2010. This was due to lower personnel-related expenses, partially offset by higher facility expense and increased spending on office equipment, including hardware and software.</w:t>
      </w:r>
    </w:p>
    <w:p>
      <w:pPr>
        <w:spacing w:after="0" w:line="85"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We currently expect that general and administrative expense for the three months ending October 29, 2011 will increase slightly from the level of expense reported for the three months ended July 30, 2011.</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6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1820" w:type="dxa"/>
            <w:vAlign w:val="bottom"/>
            <w:gridSpan w:val="3"/>
          </w:tcPr>
          <w:p>
            <w:pPr>
              <w:ind w:left="160"/>
              <w:spacing w:after="0"/>
              <w:rPr>
                <w:sz w:val="20"/>
                <w:szCs w:val="20"/>
                <w:color w:val="auto"/>
              </w:rPr>
            </w:pPr>
            <w:r>
              <w:rPr>
                <w:rFonts w:ascii="Arial" w:cs="Arial" w:eastAsia="Arial" w:hAnsi="Arial"/>
                <w:sz w:val="14"/>
                <w:szCs w:val="14"/>
                <w:b w:val="1"/>
                <w:bCs w:val="1"/>
                <w:color w:val="auto"/>
              </w:rPr>
              <w:t>Three Months Ended</w:t>
            </w:r>
          </w:p>
        </w:tc>
        <w:tc>
          <w:tcPr>
            <w:tcW w:w="1020" w:type="dxa"/>
            <w:vAlign w:val="bottom"/>
            <w:vMerge w:val="restart"/>
          </w:tcPr>
          <w:p>
            <w:pPr>
              <w:jc w:val="right"/>
              <w:ind w:right="526"/>
              <w:spacing w:after="0"/>
              <w:rPr>
                <w:sz w:val="20"/>
                <w:szCs w:val="20"/>
                <w:color w:val="auto"/>
              </w:rPr>
            </w:pPr>
            <w:r>
              <w:rPr>
                <w:rFonts w:ascii="Arial" w:cs="Arial" w:eastAsia="Arial" w:hAnsi="Arial"/>
                <w:sz w:val="14"/>
                <w:szCs w:val="14"/>
                <w:b w:val="1"/>
                <w:bCs w:val="1"/>
                <w:color w:val="auto"/>
              </w:rPr>
              <w:t>%</w:t>
            </w:r>
          </w:p>
        </w:tc>
        <w:tc>
          <w:tcPr>
            <w:tcW w:w="182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46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84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97"/>
              </w:rPr>
              <w:t>July 30,</w:t>
            </w:r>
          </w:p>
        </w:tc>
        <w:tc>
          <w:tcPr>
            <w:tcW w:w="700" w:type="dxa"/>
            <w:vAlign w:val="bottom"/>
            <w:tcBorders>
              <w:top w:val="single" w:sz="8" w:color="auto"/>
            </w:tcBorders>
          </w:tcPr>
          <w:p>
            <w:pPr>
              <w:jc w:val="center"/>
              <w:ind w:left="62"/>
              <w:spacing w:after="0" w:line="129" w:lineRule="exact"/>
              <w:rPr>
                <w:sz w:val="20"/>
                <w:szCs w:val="20"/>
                <w:color w:val="auto"/>
              </w:rPr>
            </w:pPr>
            <w:r>
              <w:rPr>
                <w:rFonts w:ascii="Arial" w:cs="Arial" w:eastAsia="Arial" w:hAnsi="Arial"/>
                <w:sz w:val="14"/>
                <w:szCs w:val="14"/>
                <w:b w:val="1"/>
                <w:bCs w:val="1"/>
                <w:color w:val="auto"/>
                <w:w w:val="85"/>
              </w:rPr>
              <w:t>July 31,</w:t>
            </w:r>
          </w:p>
        </w:tc>
        <w:tc>
          <w:tcPr>
            <w:tcW w:w="28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840" w:type="dxa"/>
            <w:vAlign w:val="bottom"/>
            <w:tcBorders>
              <w:top w:val="single" w:sz="8" w:color="auto"/>
            </w:tcBorders>
          </w:tcPr>
          <w:p>
            <w:pPr>
              <w:jc w:val="right"/>
              <w:ind w:right="264"/>
              <w:spacing w:after="0" w:line="129" w:lineRule="exact"/>
              <w:rPr>
                <w:sz w:val="20"/>
                <w:szCs w:val="20"/>
                <w:color w:val="auto"/>
              </w:rPr>
            </w:pPr>
            <w:r>
              <w:rPr>
                <w:rFonts w:ascii="Arial" w:cs="Arial" w:eastAsia="Arial" w:hAnsi="Arial"/>
                <w:sz w:val="14"/>
                <w:szCs w:val="14"/>
                <w:b w:val="1"/>
                <w:bCs w:val="1"/>
                <w:color w:val="auto"/>
                <w:w w:val="93"/>
              </w:rPr>
              <w:t>July 30,</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460" w:type="dxa"/>
            <w:vAlign w:val="bottom"/>
          </w:tcPr>
          <w:p>
            <w:pPr>
              <w:spacing w:after="0"/>
              <w:rPr>
                <w:sz w:val="14"/>
                <w:szCs w:val="14"/>
                <w:color w:val="auto"/>
              </w:rPr>
            </w:pPr>
          </w:p>
        </w:tc>
        <w:tc>
          <w:tcPr>
            <w:tcW w:w="2320" w:type="dxa"/>
            <w:vAlign w:val="bottom"/>
            <w:gridSpan w:val="2"/>
          </w:tcPr>
          <w:p>
            <w:pPr>
              <w:ind w:left="1640"/>
              <w:spacing w:after="0"/>
              <w:rPr>
                <w:sz w:val="20"/>
                <w:szCs w:val="20"/>
                <w:color w:val="auto"/>
              </w:rPr>
            </w:pPr>
            <w:r>
              <w:rPr>
                <w:rFonts w:ascii="Arial" w:cs="Arial" w:eastAsia="Arial" w:hAnsi="Arial"/>
                <w:sz w:val="14"/>
                <w:szCs w:val="14"/>
                <w:b w:val="1"/>
                <w:bCs w:val="1"/>
                <w:color w:val="auto"/>
              </w:rPr>
              <w:t>2011</w:t>
            </w:r>
          </w:p>
        </w:tc>
        <w:tc>
          <w:tcPr>
            <w:tcW w:w="700" w:type="dxa"/>
            <w:vAlign w:val="bottom"/>
          </w:tcPr>
          <w:p>
            <w:pPr>
              <w:jc w:val="right"/>
              <w:ind w:right="62"/>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1020" w:type="dxa"/>
            <w:vAlign w:val="bottom"/>
          </w:tcPr>
          <w:p>
            <w:pPr>
              <w:jc w:val="center"/>
              <w:ind w:right="266"/>
              <w:spacing w:after="0"/>
              <w:rPr>
                <w:sz w:val="20"/>
                <w:szCs w:val="20"/>
                <w:color w:val="auto"/>
              </w:rPr>
            </w:pPr>
            <w:r>
              <w:rPr>
                <w:rFonts w:ascii="Arial" w:cs="Arial" w:eastAsia="Arial" w:hAnsi="Arial"/>
                <w:sz w:val="14"/>
                <w:szCs w:val="14"/>
                <w:b w:val="1"/>
                <w:bCs w:val="1"/>
                <w:color w:val="auto"/>
                <w:w w:val="85"/>
              </w:rPr>
              <w:t>Change</w:t>
            </w:r>
          </w:p>
        </w:tc>
        <w:tc>
          <w:tcPr>
            <w:tcW w:w="840" w:type="dxa"/>
            <w:vAlign w:val="bottom"/>
          </w:tcPr>
          <w:p>
            <w:pPr>
              <w:jc w:val="right"/>
              <w:ind w:right="344"/>
              <w:spacing w:after="0"/>
              <w:rPr>
                <w:sz w:val="20"/>
                <w:szCs w:val="20"/>
                <w:color w:val="auto"/>
              </w:rPr>
            </w:pPr>
            <w:r>
              <w:rPr>
                <w:rFonts w:ascii="Arial" w:cs="Arial" w:eastAsia="Arial" w:hAnsi="Arial"/>
                <w:sz w:val="14"/>
                <w:szCs w:val="14"/>
                <w:b w:val="1"/>
                <w:bCs w:val="1"/>
                <w:color w:val="auto"/>
              </w:rPr>
              <w:t>2011</w:t>
            </w:r>
          </w:p>
        </w:tc>
        <w:tc>
          <w:tcPr>
            <w:tcW w:w="700" w:type="dxa"/>
            <w:vAlign w:val="bottom"/>
          </w:tcPr>
          <w:p>
            <w:pPr>
              <w:jc w:val="right"/>
              <w:ind w:right="62"/>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46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140" w:type="dxa"/>
            <w:vAlign w:val="bottom"/>
            <w:tcBorders>
              <w:top w:val="single" w:sz="8" w:color="auto"/>
            </w:tcBorders>
            <w:gridSpan w:val="3"/>
          </w:tcPr>
          <w:p>
            <w:pPr>
              <w:jc w:val="right"/>
              <w:ind w:right="44"/>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70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232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$11,138</w:t>
            </w:r>
          </w:p>
        </w:tc>
        <w:tc>
          <w:tcPr>
            <w:tcW w:w="98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$21,214</w:t>
            </w:r>
          </w:p>
        </w:tc>
        <w:tc>
          <w:tcPr>
            <w:tcW w:w="1020" w:type="dxa"/>
            <w:vAlign w:val="bottom"/>
            <w:shd w:val="clear" w:color="auto" w:fill="CCEEFF"/>
          </w:tcPr>
          <w:p>
            <w:pPr>
              <w:jc w:val="right"/>
              <w:ind w:right="166"/>
              <w:spacing w:after="0"/>
              <w:rPr>
                <w:sz w:val="20"/>
                <w:szCs w:val="20"/>
                <w:color w:val="auto"/>
              </w:rPr>
            </w:pPr>
            <w:r>
              <w:rPr>
                <w:rFonts w:ascii="Arial" w:cs="Arial" w:eastAsia="Arial" w:hAnsi="Arial"/>
                <w:sz w:val="18"/>
                <w:szCs w:val="18"/>
                <w:color w:val="auto"/>
              </w:rPr>
              <w:t>(47.5)%</w:t>
            </w:r>
          </w:p>
        </w:tc>
        <w:tc>
          <w:tcPr>
            <w:tcW w:w="84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6"/>
              </w:rPr>
              <w:t>$25,479</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$43,763</w:t>
            </w:r>
          </w:p>
        </w:tc>
        <w:tc>
          <w:tcPr>
            <w:tcW w:w="2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(41.8)%</w:t>
            </w:r>
          </w:p>
        </w:tc>
        <w:tc>
          <w:tcPr>
            <w:tcW w:w="0" w:type="dxa"/>
            <w:vAlign w:val="bottom"/>
          </w:tcPr>
          <w:p>
            <w:pPr>
              <w:spacing w:after="0"/>
              <w:rPr>
                <w:sz w:val="1"/>
                <w:szCs w:val="1"/>
                <w:color w:val="auto"/>
              </w:rPr>
            </w:pPr>
          </w:p>
        </w:tc>
      </w:tr>
      <w:tr>
        <w:trPr>
          <w:trHeight w:val="222"/>
        </w:trPr>
        <w:tc>
          <w:tcPr>
            <w:tcW w:w="4460" w:type="dxa"/>
            <w:vAlign w:val="bottom"/>
          </w:tcPr>
          <w:p>
            <w:pPr>
              <w:spacing w:after="0"/>
              <w:rPr>
                <w:sz w:val="20"/>
                <w:szCs w:val="20"/>
                <w:color w:val="auto"/>
              </w:rPr>
            </w:pPr>
            <w:r>
              <w:rPr>
                <w:rFonts w:ascii="Arial" w:cs="Arial" w:eastAsia="Arial" w:hAnsi="Arial"/>
                <w:sz w:val="18"/>
                <w:szCs w:val="18"/>
                <w:color w:val="auto"/>
              </w:rPr>
              <w:t>% of net revenue</w:t>
            </w:r>
          </w:p>
        </w:tc>
        <w:tc>
          <w:tcPr>
            <w:tcW w:w="2320" w:type="dxa"/>
            <w:vAlign w:val="bottom"/>
            <w:gridSpan w:val="2"/>
          </w:tcPr>
          <w:p>
            <w:pPr>
              <w:jc w:val="right"/>
              <w:ind w:right="52"/>
              <w:spacing w:after="0"/>
              <w:rPr>
                <w:sz w:val="20"/>
                <w:szCs w:val="20"/>
                <w:color w:val="auto"/>
              </w:rPr>
            </w:pPr>
            <w:r>
              <w:rPr>
                <w:rFonts w:ascii="Arial" w:cs="Arial" w:eastAsia="Arial" w:hAnsi="Arial"/>
                <w:sz w:val="18"/>
                <w:szCs w:val="18"/>
                <w:color w:val="auto"/>
              </w:rPr>
              <w:t>1.2%</w:t>
            </w:r>
          </w:p>
        </w:tc>
        <w:tc>
          <w:tcPr>
            <w:tcW w:w="980" w:type="dxa"/>
            <w:vAlign w:val="bottom"/>
            <w:gridSpan w:val="2"/>
          </w:tcPr>
          <w:p>
            <w:pPr>
              <w:jc w:val="right"/>
              <w:ind w:right="52"/>
              <w:spacing w:after="0"/>
              <w:rPr>
                <w:sz w:val="20"/>
                <w:szCs w:val="20"/>
                <w:color w:val="auto"/>
              </w:rPr>
            </w:pPr>
            <w:r>
              <w:rPr>
                <w:rFonts w:ascii="Arial" w:cs="Arial" w:eastAsia="Arial" w:hAnsi="Arial"/>
                <w:sz w:val="18"/>
                <w:szCs w:val="18"/>
                <w:color w:val="auto"/>
              </w:rPr>
              <w:t>2.4%</w:t>
            </w:r>
          </w:p>
        </w:tc>
        <w:tc>
          <w:tcPr>
            <w:tcW w:w="1020" w:type="dxa"/>
            <w:vAlign w:val="bottom"/>
          </w:tcPr>
          <w:p>
            <w:pPr>
              <w:spacing w:after="0"/>
              <w:rPr>
                <w:sz w:val="19"/>
                <w:szCs w:val="19"/>
                <w:color w:val="auto"/>
              </w:rPr>
            </w:pPr>
          </w:p>
        </w:tc>
        <w:tc>
          <w:tcPr>
            <w:tcW w:w="840" w:type="dxa"/>
            <w:vAlign w:val="bottom"/>
          </w:tcPr>
          <w:p>
            <w:pPr>
              <w:jc w:val="right"/>
              <w:ind w:right="44"/>
              <w:spacing w:after="0"/>
              <w:rPr>
                <w:sz w:val="20"/>
                <w:szCs w:val="20"/>
                <w:color w:val="auto"/>
              </w:rPr>
            </w:pPr>
            <w:r>
              <w:rPr>
                <w:rFonts w:ascii="Arial" w:cs="Arial" w:eastAsia="Arial" w:hAnsi="Arial"/>
                <w:sz w:val="18"/>
                <w:szCs w:val="18"/>
                <w:color w:val="auto"/>
              </w:rPr>
              <w:t>1.4%</w:t>
            </w:r>
          </w:p>
        </w:tc>
        <w:tc>
          <w:tcPr>
            <w:tcW w:w="980" w:type="dxa"/>
            <w:vAlign w:val="bottom"/>
            <w:gridSpan w:val="2"/>
          </w:tcPr>
          <w:p>
            <w:pPr>
              <w:jc w:val="right"/>
              <w:ind w:right="120"/>
              <w:spacing w:after="0"/>
              <w:rPr>
                <w:sz w:val="20"/>
                <w:szCs w:val="20"/>
                <w:color w:val="auto"/>
              </w:rPr>
            </w:pPr>
            <w:r>
              <w:rPr>
                <w:rFonts w:ascii="Arial" w:cs="Arial" w:eastAsia="Arial" w:hAnsi="Arial"/>
                <w:sz w:val="18"/>
                <w:szCs w:val="18"/>
                <w:color w:val="auto"/>
              </w:rPr>
              <w:t>2.4%</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The decrease in amortization of acquired intangible assets for the three and six months ended July 30, 2011 compared to the three and six months ended July 31, 2010 was due to intangible assets from certain acquisitions becoming fully amortized.</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340" w:type="dxa"/>
            <w:vAlign w:val="bottom"/>
          </w:tcPr>
          <w:p>
            <w:pPr>
              <w:spacing w:after="0"/>
              <w:rPr>
                <w:sz w:val="14"/>
                <w:szCs w:val="14"/>
                <w:color w:val="auto"/>
              </w:rPr>
            </w:pPr>
          </w:p>
        </w:tc>
        <w:tc>
          <w:tcPr>
            <w:tcW w:w="1660" w:type="dxa"/>
            <w:vAlign w:val="bottom"/>
            <w:gridSpan w:val="3"/>
          </w:tcPr>
          <w:p>
            <w:pPr>
              <w:jc w:val="right"/>
              <w:ind w:right="272"/>
              <w:spacing w:after="0"/>
              <w:rPr>
                <w:sz w:val="20"/>
                <w:szCs w:val="20"/>
                <w:color w:val="auto"/>
              </w:rPr>
            </w:pPr>
            <w:r>
              <w:rPr>
                <w:rFonts w:ascii="Arial" w:cs="Arial" w:eastAsia="Arial" w:hAnsi="Arial"/>
                <w:sz w:val="14"/>
                <w:szCs w:val="14"/>
                <w:b w:val="1"/>
                <w:bCs w:val="1"/>
                <w:color w:val="auto"/>
                <w:w w:val="93"/>
              </w:rPr>
              <w:t>Three Months Ended</w:t>
            </w:r>
          </w:p>
        </w:tc>
        <w:tc>
          <w:tcPr>
            <w:tcW w:w="900" w:type="dxa"/>
            <w:vAlign w:val="bottom"/>
            <w:vMerge w:val="restart"/>
          </w:tcPr>
          <w:p>
            <w:pPr>
              <w:jc w:val="right"/>
              <w:ind w:right="406"/>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162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w w:val="97"/>
              </w:rPr>
              <w:t>Six Months Ended</w:t>
            </w:r>
          </w:p>
        </w:tc>
        <w:tc>
          <w:tcPr>
            <w:tcW w:w="5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340" w:type="dxa"/>
            <w:vAlign w:val="bottom"/>
          </w:tcPr>
          <w:p>
            <w:pPr>
              <w:spacing w:after="0"/>
              <w:rPr>
                <w:sz w:val="11"/>
                <w:szCs w:val="11"/>
                <w:color w:val="auto"/>
              </w:rPr>
            </w:pPr>
          </w:p>
        </w:tc>
        <w:tc>
          <w:tcPr>
            <w:tcW w:w="78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9"/>
              </w:rPr>
              <w:t>July 30,</w:t>
            </w:r>
          </w:p>
        </w:tc>
        <w:tc>
          <w:tcPr>
            <w:tcW w:w="6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31,</w:t>
            </w:r>
          </w:p>
        </w:tc>
        <w:tc>
          <w:tcPr>
            <w:tcW w:w="260" w:type="dxa"/>
            <w:vAlign w:val="bottom"/>
          </w:tcPr>
          <w:p>
            <w:pPr>
              <w:spacing w:after="0"/>
              <w:rPr>
                <w:sz w:val="11"/>
                <w:szCs w:val="11"/>
                <w:color w:val="auto"/>
              </w:rPr>
            </w:pPr>
          </w:p>
        </w:tc>
        <w:tc>
          <w:tcPr>
            <w:tcW w:w="90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89"/>
              </w:rPr>
              <w:t>July 30,</w:t>
            </w: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340" w:type="dxa"/>
            <w:vAlign w:val="bottom"/>
          </w:tcPr>
          <w:p>
            <w:pPr>
              <w:spacing w:after="0"/>
              <w:rPr>
                <w:sz w:val="14"/>
                <w:szCs w:val="14"/>
                <w:color w:val="auto"/>
              </w:rPr>
            </w:pPr>
          </w:p>
        </w:tc>
        <w:tc>
          <w:tcPr>
            <w:tcW w:w="780" w:type="dxa"/>
            <w:vAlign w:val="bottom"/>
          </w:tcPr>
          <w:p>
            <w:pPr>
              <w:jc w:val="right"/>
              <w:ind w:right="324"/>
              <w:spacing w:after="0"/>
              <w:rPr>
                <w:sz w:val="20"/>
                <w:szCs w:val="20"/>
                <w:color w:val="auto"/>
              </w:rPr>
            </w:pPr>
            <w:r>
              <w:rPr>
                <w:rFonts w:ascii="Arial" w:cs="Arial" w:eastAsia="Arial" w:hAnsi="Arial"/>
                <w:sz w:val="14"/>
                <w:szCs w:val="14"/>
                <w:b w:val="1"/>
                <w:bCs w:val="1"/>
                <w:color w:val="auto"/>
              </w:rPr>
              <w:t>2011</w:t>
            </w:r>
          </w:p>
        </w:tc>
        <w:tc>
          <w:tcPr>
            <w:tcW w:w="620" w:type="dxa"/>
            <w:vAlign w:val="bottom"/>
          </w:tcPr>
          <w:p>
            <w:pPr>
              <w:jc w:val="right"/>
              <w:ind w:right="42"/>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900" w:type="dxa"/>
            <w:vAlign w:val="bottom"/>
          </w:tcPr>
          <w:p>
            <w:pPr>
              <w:jc w:val="center"/>
              <w:ind w:right="146"/>
              <w:spacing w:after="0"/>
              <w:rPr>
                <w:sz w:val="20"/>
                <w:szCs w:val="20"/>
                <w:color w:val="auto"/>
              </w:rPr>
            </w:pPr>
            <w:r>
              <w:rPr>
                <w:rFonts w:ascii="Arial" w:cs="Arial" w:eastAsia="Arial" w:hAnsi="Arial"/>
                <w:sz w:val="14"/>
                <w:szCs w:val="14"/>
                <w:b w:val="1"/>
                <w:bCs w:val="1"/>
                <w:color w:val="auto"/>
                <w:w w:val="85"/>
              </w:rPr>
              <w:t>Change</w:t>
            </w:r>
          </w:p>
        </w:tc>
        <w:tc>
          <w:tcPr>
            <w:tcW w:w="92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2011</w:t>
            </w:r>
          </w:p>
        </w:tc>
        <w:tc>
          <w:tcPr>
            <w:tcW w:w="540" w:type="dxa"/>
            <w:vAlign w:val="bottom"/>
          </w:tcPr>
          <w:p>
            <w:pPr>
              <w:jc w:val="right"/>
              <w:ind w:right="2"/>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340" w:type="dxa"/>
            <w:vAlign w:val="bottom"/>
          </w:tcPr>
          <w:p>
            <w:pPr>
              <w:spacing w:after="0"/>
              <w:rPr>
                <w:sz w:val="12"/>
                <w:szCs w:val="12"/>
                <w:color w:val="auto"/>
              </w:rPr>
            </w:pPr>
          </w:p>
        </w:tc>
        <w:tc>
          <w:tcPr>
            <w:tcW w:w="78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2080" w:type="dxa"/>
            <w:vAlign w:val="bottom"/>
            <w:tcBorders>
              <w:top w:val="single" w:sz="8" w:color="auto"/>
            </w:tcBorders>
            <w:gridSpan w:val="4"/>
          </w:tcPr>
          <w:p>
            <w:pPr>
              <w:jc w:val="right"/>
              <w:ind w:right="12"/>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54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34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780" w:type="dxa"/>
            <w:vAlign w:val="bottom"/>
            <w:shd w:val="clear" w:color="auto" w:fill="CCEEFF"/>
          </w:tcPr>
          <w:p>
            <w:pPr>
              <w:jc w:val="right"/>
              <w:ind w:right="204"/>
              <w:spacing w:after="0"/>
              <w:rPr>
                <w:sz w:val="20"/>
                <w:szCs w:val="20"/>
                <w:color w:val="auto"/>
              </w:rPr>
            </w:pPr>
            <w:r>
              <w:rPr>
                <w:rFonts w:ascii="Arial" w:cs="Arial" w:eastAsia="Arial" w:hAnsi="Arial"/>
                <w:sz w:val="18"/>
                <w:szCs w:val="18"/>
                <w:color w:val="auto"/>
                <w:w w:val="87"/>
              </w:rPr>
              <w:t>$2,064</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$4,253</w:t>
            </w:r>
          </w:p>
        </w:tc>
        <w:tc>
          <w:tcPr>
            <w:tcW w:w="260" w:type="dxa"/>
            <w:vAlign w:val="bottom"/>
            <w:shd w:val="clear" w:color="auto" w:fill="CCEEFF"/>
          </w:tcPr>
          <w:p>
            <w:pPr>
              <w:spacing w:after="0"/>
              <w:rPr>
                <w:sz w:val="18"/>
                <w:szCs w:val="18"/>
                <w:color w:val="auto"/>
              </w:rPr>
            </w:pPr>
          </w:p>
        </w:tc>
        <w:tc>
          <w:tcPr>
            <w:tcW w:w="900" w:type="dxa"/>
            <w:vAlign w:val="bottom"/>
            <w:shd w:val="clear" w:color="auto" w:fill="CCEEFF"/>
          </w:tcPr>
          <w:p>
            <w:pPr>
              <w:jc w:val="right"/>
              <w:ind w:right="46"/>
              <w:spacing w:after="0"/>
              <w:rPr>
                <w:sz w:val="20"/>
                <w:szCs w:val="20"/>
                <w:color w:val="auto"/>
              </w:rPr>
            </w:pPr>
            <w:r>
              <w:rPr>
                <w:rFonts w:ascii="Arial" w:cs="Arial" w:eastAsia="Arial" w:hAnsi="Arial"/>
                <w:sz w:val="18"/>
                <w:szCs w:val="18"/>
                <w:color w:val="auto"/>
              </w:rPr>
              <w:t>(51.5)%</w:t>
            </w:r>
          </w:p>
        </w:tc>
        <w:tc>
          <w:tcPr>
            <w:tcW w:w="92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$1,857</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$ 552</w:t>
            </w: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236.4%</w:t>
            </w:r>
          </w:p>
        </w:tc>
        <w:tc>
          <w:tcPr>
            <w:tcW w:w="0" w:type="dxa"/>
            <w:vAlign w:val="bottom"/>
          </w:tcPr>
          <w:p>
            <w:pPr>
              <w:spacing w:after="0"/>
              <w:rPr>
                <w:sz w:val="1"/>
                <w:szCs w:val="1"/>
                <w:color w:val="auto"/>
              </w:rPr>
            </w:pPr>
          </w:p>
        </w:tc>
      </w:tr>
      <w:tr>
        <w:trPr>
          <w:trHeight w:val="222"/>
        </w:trPr>
        <w:tc>
          <w:tcPr>
            <w:tcW w:w="6340" w:type="dxa"/>
            <w:vAlign w:val="bottom"/>
          </w:tcPr>
          <w:p>
            <w:pPr>
              <w:spacing w:after="0"/>
              <w:rPr>
                <w:sz w:val="20"/>
                <w:szCs w:val="20"/>
                <w:color w:val="auto"/>
              </w:rPr>
            </w:pPr>
            <w:r>
              <w:rPr>
                <w:rFonts w:ascii="Arial" w:cs="Arial" w:eastAsia="Arial" w:hAnsi="Arial"/>
                <w:sz w:val="18"/>
                <w:szCs w:val="18"/>
                <w:color w:val="auto"/>
              </w:rPr>
              <w:t>% of net revenue</w:t>
            </w:r>
          </w:p>
        </w:tc>
        <w:tc>
          <w:tcPr>
            <w:tcW w:w="780" w:type="dxa"/>
            <w:vAlign w:val="bottom"/>
          </w:tcPr>
          <w:p>
            <w:pPr>
              <w:jc w:val="right"/>
              <w:ind w:right="64"/>
              <w:spacing w:after="0"/>
              <w:rPr>
                <w:sz w:val="20"/>
                <w:szCs w:val="20"/>
                <w:color w:val="auto"/>
              </w:rPr>
            </w:pPr>
            <w:r>
              <w:rPr>
                <w:rFonts w:ascii="Arial" w:cs="Arial" w:eastAsia="Arial" w:hAnsi="Arial"/>
                <w:sz w:val="18"/>
                <w:szCs w:val="18"/>
                <w:color w:val="auto"/>
              </w:rPr>
              <w:t>0.2%</w:t>
            </w:r>
          </w:p>
        </w:tc>
        <w:tc>
          <w:tcPr>
            <w:tcW w:w="880" w:type="dxa"/>
            <w:vAlign w:val="bottom"/>
            <w:gridSpan w:val="2"/>
          </w:tcPr>
          <w:p>
            <w:pPr>
              <w:jc w:val="right"/>
              <w:ind w:right="52"/>
              <w:spacing w:after="0"/>
              <w:rPr>
                <w:sz w:val="20"/>
                <w:szCs w:val="20"/>
                <w:color w:val="auto"/>
              </w:rPr>
            </w:pPr>
            <w:r>
              <w:rPr>
                <w:rFonts w:ascii="Arial" w:cs="Arial" w:eastAsia="Arial" w:hAnsi="Arial"/>
                <w:sz w:val="18"/>
                <w:szCs w:val="18"/>
                <w:color w:val="auto"/>
              </w:rPr>
              <w:t>0.5%</w:t>
            </w:r>
          </w:p>
        </w:tc>
        <w:tc>
          <w:tcPr>
            <w:tcW w:w="900" w:type="dxa"/>
            <w:vAlign w:val="bottom"/>
          </w:tcPr>
          <w:p>
            <w:pPr>
              <w:spacing w:after="0"/>
              <w:rPr>
                <w:sz w:val="19"/>
                <w:szCs w:val="19"/>
                <w:color w:val="auto"/>
              </w:rPr>
            </w:pPr>
          </w:p>
        </w:tc>
        <w:tc>
          <w:tcPr>
            <w:tcW w:w="920" w:type="dxa"/>
            <w:vAlign w:val="bottom"/>
            <w:gridSpan w:val="2"/>
          </w:tcPr>
          <w:p>
            <w:pPr>
              <w:jc w:val="right"/>
              <w:ind w:right="92"/>
              <w:spacing w:after="0"/>
              <w:rPr>
                <w:sz w:val="20"/>
                <w:szCs w:val="20"/>
                <w:color w:val="auto"/>
              </w:rPr>
            </w:pPr>
            <w:r>
              <w:rPr>
                <w:rFonts w:ascii="Arial" w:cs="Arial" w:eastAsia="Arial" w:hAnsi="Arial"/>
                <w:sz w:val="18"/>
                <w:szCs w:val="18"/>
                <w:color w:val="auto"/>
              </w:rPr>
              <w:t>0.1%</w:t>
            </w: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0.0%</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160" w:firstLine="456"/>
        <w:spacing w:after="0" w:line="298" w:lineRule="auto"/>
        <w:rPr>
          <w:sz w:val="20"/>
          <w:szCs w:val="20"/>
          <w:color w:val="auto"/>
        </w:rPr>
      </w:pPr>
      <w:r>
        <w:rPr>
          <w:rFonts w:ascii="Arial" w:cs="Arial" w:eastAsia="Arial" w:hAnsi="Arial"/>
          <w:sz w:val="16"/>
          <w:szCs w:val="16"/>
          <w:color w:val="auto"/>
        </w:rPr>
        <w:t>The decrease in interest and other income, net, for the three months ended July 30, 2011 compared to the three months ended July 31, 2010 was primarily due to higher currency translation losses, resulting from the weakening of the U.S. dollar during the three months ended July 30, 2011. This was partially offset by gains from sales of investments and higher interest income on investments during the three months ended July 30, 2011. The increase in interest income was driven by a higher rate of return and, to a lesser extent, higher cash and investments balances.</w:t>
      </w:r>
    </w:p>
    <w:p>
      <w:pPr>
        <w:spacing w:after="0" w:line="11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increase in interest and other income, net, for the six months ended July 30, 2011 compared to the six months ended July 31, 2010 was primarily due to gains from sales of investments and higher interest income on our investments during the six months ended July 30, 2011. The increase in interest income was due to higher average cash and investment balances, as well as a higher rate of return. This was partially offset by higher translation losses due to a significant weakening of the U.S. dollar during the six months ended July 30, 2011.</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Provision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2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1660" w:type="dxa"/>
            <w:vAlign w:val="bottom"/>
            <w:gridSpan w:val="3"/>
          </w:tcPr>
          <w:p>
            <w:pPr>
              <w:jc w:val="right"/>
              <w:ind w:right="292"/>
              <w:spacing w:after="0"/>
              <w:rPr>
                <w:sz w:val="20"/>
                <w:szCs w:val="20"/>
                <w:color w:val="auto"/>
              </w:rPr>
            </w:pPr>
            <w:r>
              <w:rPr>
                <w:rFonts w:ascii="Arial" w:cs="Arial" w:eastAsia="Arial" w:hAnsi="Arial"/>
                <w:sz w:val="14"/>
                <w:szCs w:val="14"/>
                <w:b w:val="1"/>
                <w:bCs w:val="1"/>
                <w:color w:val="auto"/>
                <w:w w:val="92"/>
              </w:rPr>
              <w:t>Three Months Ended</w:t>
            </w:r>
          </w:p>
        </w:tc>
        <w:tc>
          <w:tcPr>
            <w:tcW w:w="96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1660" w:type="dxa"/>
            <w:vAlign w:val="bottom"/>
            <w:gridSpan w:val="3"/>
          </w:tcPr>
          <w:p>
            <w:pPr>
              <w:jc w:val="right"/>
              <w:ind w:right="440"/>
              <w:spacing w:after="0"/>
              <w:rPr>
                <w:sz w:val="20"/>
                <w:szCs w:val="20"/>
                <w:color w:val="auto"/>
              </w:rPr>
            </w:pPr>
            <w:r>
              <w:rPr>
                <w:rFonts w:ascii="Arial" w:cs="Arial" w:eastAsia="Arial" w:hAnsi="Arial"/>
                <w:sz w:val="14"/>
                <w:szCs w:val="14"/>
                <w:b w:val="1"/>
                <w:bCs w:val="1"/>
                <w:color w:val="auto"/>
                <w:w w:val="98"/>
              </w:rPr>
              <w:t>Six Months Ended</w:t>
            </w:r>
          </w:p>
        </w:tc>
        <w:tc>
          <w:tcPr>
            <w:tcW w:w="5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120" w:type="dxa"/>
            <w:vAlign w:val="bottom"/>
          </w:tcPr>
          <w:p>
            <w:pPr>
              <w:spacing w:after="0"/>
              <w:rPr>
                <w:sz w:val="11"/>
                <w:szCs w:val="11"/>
                <w:color w:val="auto"/>
              </w:rPr>
            </w:pPr>
          </w:p>
        </w:tc>
        <w:tc>
          <w:tcPr>
            <w:tcW w:w="2240" w:type="dxa"/>
            <w:vAlign w:val="bottom"/>
          </w:tcPr>
          <w:p>
            <w:pPr>
              <w:spacing w:after="0"/>
              <w:rPr>
                <w:sz w:val="11"/>
                <w:szCs w:val="11"/>
                <w:color w:val="auto"/>
              </w:rPr>
            </w:pPr>
          </w:p>
        </w:tc>
        <w:tc>
          <w:tcPr>
            <w:tcW w:w="760" w:type="dxa"/>
            <w:vAlign w:val="bottom"/>
            <w:tcBorders>
              <w:top w:val="single" w:sz="8" w:color="auto"/>
            </w:tcBorders>
          </w:tcPr>
          <w:p>
            <w:pPr>
              <w:jc w:val="right"/>
              <w:ind w:right="212"/>
              <w:spacing w:after="0" w:line="129" w:lineRule="exact"/>
              <w:rPr>
                <w:sz w:val="20"/>
                <w:szCs w:val="20"/>
                <w:color w:val="auto"/>
              </w:rPr>
            </w:pPr>
            <w:r>
              <w:rPr>
                <w:rFonts w:ascii="Arial" w:cs="Arial" w:eastAsia="Arial" w:hAnsi="Arial"/>
                <w:sz w:val="14"/>
                <w:szCs w:val="14"/>
                <w:b w:val="1"/>
                <w:bCs w:val="1"/>
                <w:color w:val="auto"/>
                <w:w w:val="89"/>
              </w:rPr>
              <w:t>July 30,</w:t>
            </w:r>
          </w:p>
        </w:tc>
        <w:tc>
          <w:tcPr>
            <w:tcW w:w="6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960" w:type="dxa"/>
            <w:vAlign w:val="bottom"/>
            <w:vMerge w:val="continue"/>
          </w:tcPr>
          <w:p>
            <w:pPr>
              <w:spacing w:after="0"/>
              <w:rPr>
                <w:sz w:val="11"/>
                <w:szCs w:val="11"/>
                <w:color w:val="auto"/>
              </w:rPr>
            </w:pPr>
          </w:p>
        </w:tc>
        <w:tc>
          <w:tcPr>
            <w:tcW w:w="820" w:type="dxa"/>
            <w:vAlign w:val="bottom"/>
            <w:tcBorders>
              <w:top w:val="single" w:sz="8" w:color="auto"/>
            </w:tcBorders>
          </w:tcPr>
          <w:p>
            <w:pPr>
              <w:jc w:val="right"/>
              <w:ind w:right="264"/>
              <w:spacing w:after="0" w:line="129" w:lineRule="exact"/>
              <w:rPr>
                <w:sz w:val="20"/>
                <w:szCs w:val="20"/>
                <w:color w:val="auto"/>
              </w:rPr>
            </w:pPr>
            <w:r>
              <w:rPr>
                <w:rFonts w:ascii="Arial" w:cs="Arial" w:eastAsia="Arial" w:hAnsi="Arial"/>
                <w:sz w:val="14"/>
                <w:szCs w:val="14"/>
                <w:b w:val="1"/>
                <w:bCs w:val="1"/>
                <w:color w:val="auto"/>
                <w:w w:val="89"/>
              </w:rPr>
              <w:t>July 30,</w:t>
            </w: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20" w:type="dxa"/>
            <w:vAlign w:val="bottom"/>
          </w:tcPr>
          <w:p>
            <w:pPr>
              <w:spacing w:after="0"/>
              <w:rPr>
                <w:sz w:val="14"/>
                <w:szCs w:val="14"/>
                <w:color w:val="auto"/>
              </w:rPr>
            </w:pPr>
          </w:p>
        </w:tc>
        <w:tc>
          <w:tcPr>
            <w:tcW w:w="3000" w:type="dxa"/>
            <w:vAlign w:val="bottom"/>
            <w:gridSpan w:val="2"/>
          </w:tcPr>
          <w:p>
            <w:pPr>
              <w:jc w:val="right"/>
              <w:ind w:right="312"/>
              <w:spacing w:after="0"/>
              <w:rPr>
                <w:sz w:val="20"/>
                <w:szCs w:val="20"/>
                <w:color w:val="auto"/>
              </w:rPr>
            </w:pPr>
            <w:r>
              <w:rPr>
                <w:rFonts w:ascii="Arial" w:cs="Arial" w:eastAsia="Arial" w:hAnsi="Arial"/>
                <w:sz w:val="14"/>
                <w:szCs w:val="14"/>
                <w:b w:val="1"/>
                <w:bCs w:val="1"/>
                <w:color w:val="auto"/>
              </w:rPr>
              <w:t>2011</w:t>
            </w:r>
          </w:p>
        </w:tc>
        <w:tc>
          <w:tcPr>
            <w:tcW w:w="620" w:type="dxa"/>
            <w:vAlign w:val="bottom"/>
          </w:tcPr>
          <w:p>
            <w:pPr>
              <w:jc w:val="right"/>
              <w:ind w:right="22"/>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960" w:type="dxa"/>
            <w:vAlign w:val="bottom"/>
          </w:tcPr>
          <w:p>
            <w:pPr>
              <w:ind w:left="120"/>
              <w:spacing w:after="0"/>
              <w:rPr>
                <w:sz w:val="20"/>
                <w:szCs w:val="20"/>
                <w:color w:val="auto"/>
              </w:rPr>
            </w:pPr>
            <w:r>
              <w:rPr>
                <w:rFonts w:ascii="Arial" w:cs="Arial" w:eastAsia="Arial" w:hAnsi="Arial"/>
                <w:sz w:val="14"/>
                <w:szCs w:val="14"/>
                <w:b w:val="1"/>
                <w:bCs w:val="1"/>
                <w:color w:val="auto"/>
              </w:rPr>
              <w:t>Change</w:t>
            </w:r>
          </w:p>
        </w:tc>
        <w:tc>
          <w:tcPr>
            <w:tcW w:w="820" w:type="dxa"/>
            <w:vAlign w:val="bottom"/>
          </w:tcPr>
          <w:p>
            <w:pPr>
              <w:jc w:val="right"/>
              <w:ind w:right="364"/>
              <w:spacing w:after="0"/>
              <w:rPr>
                <w:sz w:val="20"/>
                <w:szCs w:val="20"/>
                <w:color w:val="auto"/>
              </w:rPr>
            </w:pPr>
            <w:r>
              <w:rPr>
                <w:rFonts w:ascii="Arial" w:cs="Arial" w:eastAsia="Arial" w:hAnsi="Arial"/>
                <w:sz w:val="14"/>
                <w:szCs w:val="14"/>
                <w:b w:val="1"/>
                <w:bCs w:val="1"/>
                <w:color w:val="auto"/>
              </w:rPr>
              <w:t>2011</w:t>
            </w:r>
          </w:p>
        </w:tc>
        <w:tc>
          <w:tcPr>
            <w:tcW w:w="560" w:type="dxa"/>
            <w:vAlign w:val="bottom"/>
          </w:tcPr>
          <w:p>
            <w:pPr>
              <w:jc w:val="right"/>
              <w:ind w:right="22"/>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120" w:type="dxa"/>
            <w:vAlign w:val="bottom"/>
          </w:tcPr>
          <w:p>
            <w:pPr>
              <w:spacing w:after="0"/>
              <w:rPr>
                <w:sz w:val="12"/>
                <w:szCs w:val="12"/>
                <w:color w:val="auto"/>
              </w:rPr>
            </w:pPr>
          </w:p>
        </w:tc>
        <w:tc>
          <w:tcPr>
            <w:tcW w:w="2240" w:type="dxa"/>
            <w:vAlign w:val="bottom"/>
          </w:tcPr>
          <w:p>
            <w:pPr>
              <w:spacing w:after="0"/>
              <w:rPr>
                <w:sz w:val="12"/>
                <w:szCs w:val="12"/>
                <w:color w:val="auto"/>
              </w:rPr>
            </w:pPr>
          </w:p>
        </w:tc>
        <w:tc>
          <w:tcPr>
            <w:tcW w:w="76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2060" w:type="dxa"/>
            <w:vAlign w:val="bottom"/>
            <w:tcBorders>
              <w:top w:val="single" w:sz="8" w:color="auto"/>
            </w:tcBorders>
            <w:gridSpan w:val="3"/>
          </w:tcPr>
          <w:p>
            <w:pPr>
              <w:jc w:val="right"/>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56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300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$4,312</w:t>
            </w:r>
          </w:p>
        </w:tc>
        <w:tc>
          <w:tcPr>
            <w:tcW w:w="90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$2,499</w:t>
            </w:r>
          </w:p>
        </w:tc>
        <w:tc>
          <w:tcPr>
            <w:tcW w:w="960" w:type="dxa"/>
            <w:vAlign w:val="bottom"/>
            <w:shd w:val="clear" w:color="auto" w:fill="CCEEFF"/>
          </w:tcPr>
          <w:p>
            <w:pPr>
              <w:ind w:left="260"/>
              <w:spacing w:after="0"/>
              <w:rPr>
                <w:sz w:val="20"/>
                <w:szCs w:val="20"/>
                <w:color w:val="auto"/>
              </w:rPr>
            </w:pPr>
            <w:r>
              <w:rPr>
                <w:rFonts w:ascii="Arial" w:cs="Arial" w:eastAsia="Arial" w:hAnsi="Arial"/>
                <w:sz w:val="18"/>
                <w:szCs w:val="18"/>
                <w:color w:val="auto"/>
              </w:rPr>
              <w:t>72.5%</w:t>
            </w:r>
          </w:p>
        </w:tc>
        <w:tc>
          <w:tcPr>
            <w:tcW w:w="820" w:type="dxa"/>
            <w:vAlign w:val="bottom"/>
            <w:shd w:val="clear" w:color="auto" w:fill="CCEEFF"/>
          </w:tcPr>
          <w:p>
            <w:pPr>
              <w:jc w:val="right"/>
              <w:ind w:right="244"/>
              <w:spacing w:after="0"/>
              <w:rPr>
                <w:sz w:val="20"/>
                <w:szCs w:val="20"/>
                <w:color w:val="auto"/>
              </w:rPr>
            </w:pPr>
            <w:r>
              <w:rPr>
                <w:rFonts w:ascii="Arial" w:cs="Arial" w:eastAsia="Arial" w:hAnsi="Arial"/>
                <w:sz w:val="18"/>
                <w:szCs w:val="18"/>
                <w:color w:val="auto"/>
                <w:w w:val="87"/>
              </w:rPr>
              <w:t>$5,346</w:t>
            </w:r>
          </w:p>
        </w:tc>
        <w:tc>
          <w:tcPr>
            <w:tcW w:w="8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8"/>
              </w:rPr>
              <w:t>$1,383</w:t>
            </w: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286.6%</w:t>
            </w:r>
          </w:p>
        </w:tc>
        <w:tc>
          <w:tcPr>
            <w:tcW w:w="0" w:type="dxa"/>
            <w:vAlign w:val="bottom"/>
          </w:tcPr>
          <w:p>
            <w:pPr>
              <w:spacing w:after="0"/>
              <w:rPr>
                <w:sz w:val="1"/>
                <w:szCs w:val="1"/>
                <w:color w:val="auto"/>
              </w:rPr>
            </w:pPr>
          </w:p>
        </w:tc>
      </w:tr>
      <w:tr>
        <w:trPr>
          <w:trHeight w:val="222"/>
        </w:trPr>
        <w:tc>
          <w:tcPr>
            <w:tcW w:w="4120" w:type="dxa"/>
            <w:vAlign w:val="bottom"/>
          </w:tcPr>
          <w:p>
            <w:pPr>
              <w:spacing w:after="0"/>
              <w:rPr>
                <w:sz w:val="20"/>
                <w:szCs w:val="20"/>
                <w:color w:val="auto"/>
              </w:rPr>
            </w:pPr>
            <w:r>
              <w:rPr>
                <w:rFonts w:ascii="Arial" w:cs="Arial" w:eastAsia="Arial" w:hAnsi="Arial"/>
                <w:sz w:val="18"/>
                <w:szCs w:val="18"/>
                <w:color w:val="auto"/>
              </w:rPr>
              <w:t>% of net revenue</w:t>
            </w:r>
          </w:p>
        </w:tc>
        <w:tc>
          <w:tcPr>
            <w:tcW w:w="3000" w:type="dxa"/>
            <w:vAlign w:val="bottom"/>
            <w:gridSpan w:val="2"/>
          </w:tcPr>
          <w:p>
            <w:pPr>
              <w:jc w:val="right"/>
              <w:ind w:right="52"/>
              <w:spacing w:after="0"/>
              <w:rPr>
                <w:sz w:val="20"/>
                <w:szCs w:val="20"/>
                <w:color w:val="auto"/>
              </w:rPr>
            </w:pPr>
            <w:r>
              <w:rPr>
                <w:rFonts w:ascii="Arial" w:cs="Arial" w:eastAsia="Arial" w:hAnsi="Arial"/>
                <w:sz w:val="18"/>
                <w:szCs w:val="18"/>
                <w:color w:val="auto"/>
              </w:rPr>
              <w:t>0.5%</w:t>
            </w:r>
          </w:p>
        </w:tc>
        <w:tc>
          <w:tcPr>
            <w:tcW w:w="900" w:type="dxa"/>
            <w:vAlign w:val="bottom"/>
            <w:gridSpan w:val="2"/>
          </w:tcPr>
          <w:p>
            <w:pPr>
              <w:jc w:val="right"/>
              <w:ind w:right="52"/>
              <w:spacing w:after="0"/>
              <w:rPr>
                <w:sz w:val="20"/>
                <w:szCs w:val="20"/>
                <w:color w:val="auto"/>
              </w:rPr>
            </w:pPr>
            <w:r>
              <w:rPr>
                <w:rFonts w:ascii="Arial" w:cs="Arial" w:eastAsia="Arial" w:hAnsi="Arial"/>
                <w:sz w:val="18"/>
                <w:szCs w:val="18"/>
                <w:color w:val="auto"/>
              </w:rPr>
              <w:t>0.3%</w:t>
            </w:r>
          </w:p>
        </w:tc>
        <w:tc>
          <w:tcPr>
            <w:tcW w:w="960" w:type="dxa"/>
            <w:vAlign w:val="bottom"/>
          </w:tcPr>
          <w:p>
            <w:pPr>
              <w:spacing w:after="0"/>
              <w:rPr>
                <w:sz w:val="19"/>
                <w:szCs w:val="19"/>
                <w:color w:val="auto"/>
              </w:rPr>
            </w:pPr>
          </w:p>
        </w:tc>
        <w:tc>
          <w:tcPr>
            <w:tcW w:w="820" w:type="dxa"/>
            <w:vAlign w:val="bottom"/>
          </w:tcPr>
          <w:p>
            <w:pPr>
              <w:jc w:val="right"/>
              <w:ind w:right="104"/>
              <w:spacing w:after="0"/>
              <w:rPr>
                <w:sz w:val="20"/>
                <w:szCs w:val="20"/>
                <w:color w:val="auto"/>
              </w:rPr>
            </w:pPr>
            <w:r>
              <w:rPr>
                <w:rFonts w:ascii="Arial" w:cs="Arial" w:eastAsia="Arial" w:hAnsi="Arial"/>
                <w:sz w:val="18"/>
                <w:szCs w:val="18"/>
                <w:color w:val="auto"/>
              </w:rPr>
              <w:t>0.3%</w:t>
            </w: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0.1%</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60" w:firstLine="456"/>
        <w:spacing w:after="0" w:line="332" w:lineRule="auto"/>
        <w:rPr>
          <w:sz w:val="20"/>
          <w:szCs w:val="20"/>
          <w:color w:val="auto"/>
        </w:rPr>
      </w:pPr>
      <w:r>
        <w:rPr>
          <w:rFonts w:ascii="Arial" w:cs="Arial" w:eastAsia="Arial" w:hAnsi="Arial"/>
          <w:sz w:val="16"/>
          <w:szCs w:val="16"/>
          <w:color w:val="auto"/>
        </w:rPr>
        <w:t>During the three months ended July 30, 2011 and July 31, 2010, our effective tax rate was 2.2% and 1.1%, respectively. The income tax provision for these periods was affected by non-tax-deductible expenses such as stock-based compensation expense and amortization of acquired intangibles.</w:t>
      </w:r>
    </w:p>
    <w:p>
      <w:pPr>
        <w:spacing w:after="0" w:line="85"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During the three months ended July 30, 2011, the provision for income taxes consisted of the current income tax liability of $4.9 million, a reduction of unrecognized tax benefits of $2.6 million due to the expiration of the statute of limitations in a non-U.S. jurisdiction and an increase in unrecognized tax benefits of $1.8 million and the settlement of a non-U.S. audit for $0.2 million. During the three months ended July 31, 2010 the provision for income taxes was impacted by the current income tax liability of $3.0 million, a reduction of unrecognized tax benefits of $2.3 million due to the expiration of the statute of limitations in a non-U.S. jurisdiction, an increase in unrecognized tax benefits of $2.3 million, a decrease of $1.5 million due a deferred tax asset for employee stock options on a non-U.S. subsidiary, and a $1.0 million withholding tax on the disposition of an investment.</w:t>
      </w:r>
    </w:p>
    <w:p>
      <w:pPr>
        <w:spacing w:after="0" w:line="12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During the six months ended July 30, 2011, the provision for income taxes consisted of the current income tax liability of $8.2 million, a reduction of unrecognized tax benefits of $6.9 million due to the expiration of the statute of limitations in multiple jurisdictions and an increase in unrecognized tax benefits of $3.8 million, and a settlement of a non-U.S. audit for $0.2 million. During the six months ended July 31, 2010 the provision for income taxes was impacted by the current income tax liability of $6.2 million, a reduction of unrecognized tax benefits of $8.8 million due to the expiration of the statute of limitations in multiple jurisdictions, an increase in unrecognized tax benefits of $4.4 million dollars, a decrease of $1.5 million due a deferred tax asset for employee stock options on a non-U.S. subsidiary, and a $1.0 million withholding tax on the disposition of an investment.</w:t>
      </w:r>
    </w:p>
    <w:p>
      <w:pPr>
        <w:spacing w:after="0" w:line="12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During the next 12 months, it is reasonably possible that the amount of unrecognized tax benefits could decrease due to potential settlement with tax authorities and the expiration of applicable statutes of limitations. However, the amount cannot be reasonably estimated as we will have negotiations with various tax authorities throughout the year.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Our principal source of liquidity as of July 30, 2011 consisted of approximately $2.4 billion of cash, cash equivalents and short-term investments. We believe that our existing cash, cash equivalents and short term investments, together with cash generated from operations, will be sufficient to cover our working capital needs, capital expenditures, investment requirements and commitments for at least the next 12 months.</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Net cash provided by operating activities was $440.6 million for the six months ended July 30, 2011. The cash inflows from operations for the six months ended July 30, 2011 were primarily due to $476.2 million of net income adjusted for non-cash items, offset by changes in assets and liabilities of $35.6 million.</w:t>
      </w:r>
    </w:p>
    <w:p>
      <w:pPr>
        <w:spacing w:after="0" w:line="85"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Significant working capital changes driving cash outflows for the six months ended July 30, 2011 included an increase in inventory of $76.6 million as we prepared for future shipment increases, a decrease in accrued employee compensation of $29.3 million due primarily to timing differences in the payment of incentive compensation and payroll taxes, and a decrease in deferred income of $8.3 million as the inventory levels at our distributors were lower at the end of the second quarter of fiscal 2012. Working capital changes contributing to positive cash flows included a decrease in accounts receivable of $53.6 million due to the more linear shipment patterns during the three months ended July 30, 2011 compared to the three months ended January 29, 2011.</w:t>
      </w:r>
    </w:p>
    <w:p>
      <w:pPr>
        <w:spacing w:after="0" w:line="116"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Net cash provided by operating activities was $574.8 million for the six months ended July 31, 2010. The cash inflows from operations in the six months ended July 31, 2010 were primarily due to $575.0 million of net income adjusted for non-cash items. Increases in working capital during the six months ended July 31, 2010 included an increase in accounts payable of $102.1 million, due primarily to the timing of inventory receipts. Deferred income increased by $26.6 million, due primarily to increases in deferrals related to our module business and our distributors increasing inventory levels in anticipation of increased sales to their end customers. These increases were partially offset by an increase in accounts receivable of $134.0 million, due to higher levels of revenue and seasonal patterns.</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Net cash used in investing activities was $526.7 million for the six months ended July 30, 2011 compared to $429.9 million for the six months ended</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July 31, 2010. The net cash used in investing activities in the six months ended July 30, 2011 was primarily due to net purchases of investments of $458.8 million.</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In addition, we paid $42.2 million for the purchase of property and equipment, $16.8 million for an acquisition and $6.6 million for technology licenses.</w:t>
      </w:r>
    </w:p>
    <w:p>
      <w:pPr>
        <w:spacing w:after="0" w:line="188" w:lineRule="exact"/>
        <w:rPr>
          <w:sz w:val="20"/>
          <w:szCs w:val="20"/>
          <w:color w:val="auto"/>
        </w:rPr>
      </w:pPr>
    </w:p>
    <w:p>
      <w:pPr>
        <w:ind w:right="40" w:firstLine="456"/>
        <w:spacing w:after="0" w:line="332" w:lineRule="auto"/>
        <w:rPr>
          <w:sz w:val="20"/>
          <w:szCs w:val="20"/>
          <w:color w:val="auto"/>
        </w:rPr>
      </w:pPr>
      <w:r>
        <w:rPr>
          <w:rFonts w:ascii="Arial" w:cs="Arial" w:eastAsia="Arial" w:hAnsi="Arial"/>
          <w:sz w:val="16"/>
          <w:szCs w:val="16"/>
          <w:color w:val="auto"/>
        </w:rPr>
        <w:t>The net cash used for the six months ended July 31, 2010 was primarily due to the net purchase of investments of $363.1 million, payment of $20.7 million for an acquisition, purchases of property and equipment of $39.3 million and purchases of technology licenses for $6.8 million.</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(Used in) Financing Activities</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Net cash used in financing activities was $898.0 million for the six months ended July 30, 2011 compared to net cash provided by financing activity of $79.8 million for the six months ended July 31, 2010. For the six months ended July 30, 2011, net cash used in financing activities was primarily attributable to repurchases under our stock repurchase program of 59.4 million shares. The cash outflow was partially offset by $41.8 million of proceeds from the issuance of common shares under our stock option and employee stock purchase plans. For the six months ended July 31, 2010, net cash provided by financing activities was primarily attributable to proceeds from the issuance of common shares under our stock option and employee stock purchase plans.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July 30, 2011, we did not have any material off-balance sheet arrangements, as defined in Item 303(a)(4)(ii) of SEC Regulation S-K.</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 and Accounting Changes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Refer to “Note 2 – Recent Accounting Pronouncements and Accounting Changes” in Part 1, Item 1 of this Form 10-Q.</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We presented our contractual obligations at January 29, 2011 in our Annual Report on Form 10-K for the fiscal year then ended. There has been no material changes outside the ordinary course of business in those obligations during three months ended July 30, 2011.</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40"/>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July 30, 2011. We maintain an investment policy that requires minimum credit ratings, diversification of credit risk and limits the long-term interest rate risk by requiring maturities of less than five years. We invest our excess cash primarily in highly liquid debt instruments of the U.S. government and its agencies, time deposits, money market mutual funds, and corporate debt securities. These investments are generally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July 30, 2011, a hypothetical 100 basis point increase in interest rates across all maturities would result in a $15.2 million incremental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1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As of July 30, 2011, our investment portfolio included $27.7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we have used a discounted cash flow 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As of July 30, 2011, the fair value of auction rate securities was $1.6 million less than par value and recorded in long-term investments.</w:t>
      </w:r>
    </w:p>
    <w:p>
      <w:pPr>
        <w:spacing w:after="0" w:line="12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Based on our balance of approximately $2.4 billion in cash, cash equivalents and short-term investments and the fact that we continue to generate positive cash flow on a quarterly basis, we do not anticipate having to sell these securities below par value in order to operate our business. We do not have the intent to sell these auction rate securities until recovery and it is more likely than not that we will not be required to sell the auction rate securities prior to recovery. Thus we consider the impairment to be temporary and recorded the unrealized loss to accumulated other comprehensive income (loss), a component of shareholders’ equity.</w:t>
      </w:r>
    </w:p>
    <w:p>
      <w:pPr>
        <w:spacing w:after="0" w:line="143"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these investments under the cost method when</w:t>
      </w:r>
      <w:r>
        <w:rPr>
          <w:rFonts w:ascii="Arial" w:cs="Arial" w:eastAsia="Arial" w:hAnsi="Arial"/>
          <w:sz w:val="18"/>
          <w:szCs w:val="18"/>
          <w:i w:val="1"/>
          <w:iCs w:val="1"/>
          <w:color w:val="auto"/>
        </w:rPr>
        <w:t xml:space="preserve"> </w:t>
      </w:r>
      <w:r>
        <w:rPr>
          <w:rFonts w:ascii="Arial" w:cs="Arial" w:eastAsia="Arial" w:hAnsi="Arial"/>
          <w:sz w:val="18"/>
          <w:szCs w:val="18"/>
          <w:color w:val="auto"/>
        </w:rPr>
        <w:t>we do not have the ability to exercise significant influence or the control over the operations of these companies and under the equity method when we have the ability to exercise significant influence, but do not have the control. Carrying value of these equity investments was $5.9 million at July 30, 2011, and were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i w:val="1"/>
          <w:iCs w:val="1"/>
          <w:color w:val="auto"/>
        </w:rPr>
        <w:t xml:space="preserve">Commodity Price Risk — </w:t>
      </w:r>
      <w:r>
        <w:rPr>
          <w:rFonts w:ascii="Arial" w:cs="Arial" w:eastAsia="Arial" w:hAnsi="Arial"/>
          <w:sz w:val="16"/>
          <w:szCs w:val="16"/>
          <w:color w:val="auto"/>
        </w:rPr>
        <w:t>We are subject to risk from fluctuating market prices of certain commodity raw materials, particularly gold, that are incorporated into</w:t>
      </w:r>
      <w:r>
        <w:rPr>
          <w:rFonts w:ascii="Arial" w:cs="Arial" w:eastAsia="Arial" w:hAnsi="Arial"/>
          <w:sz w:val="16"/>
          <w:szCs w:val="16"/>
          <w:i w:val="1"/>
          <w:iCs w:val="1"/>
          <w:color w:val="auto"/>
        </w:rPr>
        <w:t xml:space="preserve"> </w:t>
      </w:r>
      <w:r>
        <w:rPr>
          <w:rFonts w:ascii="Arial" w:cs="Arial" w:eastAsia="Arial" w:hAnsi="Arial"/>
          <w:sz w:val="16"/>
          <w:szCs w:val="16"/>
          <w:color w:val="auto"/>
        </w:rPr>
        <w:t>our end products. Supplies for such commodities may from time-to-time become restricted, or general market factors and conditions may affect the pricing of such commodities. Over the past few years, the price of gold increased significantly and certain of our supply chain partners assess surcharges to compensate for the rising commodity prices. Specifically, the cost of gold has increased significantly and has impacted our cost of goods sold as a percentage of net revenue in the three and six months ended July 30, 2011 by approximately 1% of net revenue as compared to the three and six months ended July 31, 2010. We are currently restructuring certain manufacturing processes to use copper instead of gold in our products. While we continue to attempt to mitigate the risk of similar increases in commodities-related costs, there can be no assurance that we will be able to successfully safeguard against potential short-term and long-term commodities price fluctuations. We do not enter into formal hedging arrangements to mitigate against commodity risk.</w:t>
      </w:r>
    </w:p>
    <w:p>
      <w:pPr>
        <w:spacing w:after="0" w:line="118" w:lineRule="exact"/>
        <w:rPr>
          <w:sz w:val="20"/>
          <w:szCs w:val="20"/>
          <w:color w:val="auto"/>
        </w:rPr>
      </w:pPr>
    </w:p>
    <w:p>
      <w:pPr>
        <w:ind w:right="160"/>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other income and expense.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Israeli Shekel expenses. We enter into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De-designated hedges or hedges deemed ineffective are recorded in other income and expense. We do not hedge our tax liabilities denominated in local currency on our balance sheet as the timing of these tax liabilities becoming cash flows is not deemed to be certain.</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380"/>
          </w:cols>
          <w:pgMar w:left="240" w:top="459" w:right="27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3.1%. We expect our hedges of foreign currency exposures to be highly effective and offset a significant portion of the short-term impact of changes in exchange rates.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July 30, 2011, our disclosure controls and procedures were effective.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July 30, 2011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information set forth under “Note 9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January 29, 2011 and subsequent reports on Forms 10-Q and 8-K. Many of these risks and uncertainties are beyond our control, including business cycles and seasonal trends of the computing, semiconductor and related industries.</w:t>
      </w:r>
    </w:p>
    <w:p>
      <w:pPr>
        <w:spacing w:after="0" w:line="19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0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markets we address, including the continuing volatility in the technology sector and semiconductor industry, and current general economic volatility;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cancellations, rescheduling or deferrals of significant customer orders or shipments;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right="68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or demand for new products requested by our customers;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gain or loss of a key customer or design win;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increases in assembly costs due to commodity price increases, such as the price of gold;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our ability to anticipate and adapt to changes in technology and evolving industry standards and our customers’ changing demands;</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successfully transition to smaller geometry process technologies or achieve higher levels of design integration;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360"/>
          </w:cols>
          <w:pgMar w:left="240" w:top="459" w:right="29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and</w:t>
      </w:r>
    </w:p>
    <w:p>
      <w:pPr>
        <w:spacing w:after="0" w:line="90" w:lineRule="exact"/>
        <w:rPr>
          <w:rFonts w:ascii="Arial" w:cs="Arial" w:eastAsia="Arial" w:hAnsi="Arial"/>
          <w:sz w:val="18"/>
          <w:szCs w:val="18"/>
          <w:color w:val="auto"/>
        </w:rPr>
      </w:pPr>
    </w:p>
    <w:p>
      <w:pPr>
        <w:ind w:left="900" w:right="42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132" w:lineRule="exact"/>
        <w:rPr>
          <w:sz w:val="20"/>
          <w:szCs w:val="20"/>
          <w:color w:val="auto"/>
        </w:rPr>
      </w:pPr>
    </w:p>
    <w:p>
      <w:pPr>
        <w:ind w:right="20" w:firstLine="456"/>
        <w:spacing w:after="0" w:line="318" w:lineRule="auto"/>
        <w:rPr>
          <w:sz w:val="20"/>
          <w:szCs w:val="20"/>
          <w:color w:val="auto"/>
        </w:rPr>
      </w:pPr>
      <w:r>
        <w:rPr>
          <w:rFonts w:ascii="Arial" w:cs="Arial" w:eastAsia="Arial" w:hAnsi="Arial"/>
          <w:sz w:val="15"/>
          <w:szCs w:val="15"/>
          <w:color w:val="auto"/>
        </w:rPr>
        <w:t>Due to fluctuations in our quarterly results of operations and other factors, the price at which our common shares will trade is likely to continue to be highly volatile. In future periods, our stock price could decline if, amongst other factors, our revenues or operating results are below our estimates or the estimates or expectations of public market analysts and investors.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maintain and grow our business</w:t>
      </w:r>
    </w:p>
    <w:p>
      <w:pPr>
        <w:spacing w:after="0" w:line="181"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global credit and financial markets have experienced and in some cases continue to experience extreme volatility and disruptions, including severely diminished liquidity and credit availability, increased concerns about inflation and deflation and the downgrade of U.S. debt and exposure risks on other sovereign debts, decreased consumer confidence, lower economic growth, volatile energy costs, increased unemployment rates, and uncertainty about economic stability. We cannot predict the timing, strength or duration of any economic slowdown or subsequent global economic recovery in the hard disk drive or in the semiconductor industry.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199"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hard disk drive industry is intensely competitive, and the technology changes rapidly.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Hard disk drive manufacturers tend to order more components than they may need during growth periods, and sharply reduce orders for components during periods of contraction. Rapid technological changes in the hard disk drive industry often result in shifts in market share among the industry’s participants. If the hard disk drive manufacturers using our products do not retain or increase their market share, our sales may decrease.</w:t>
      </w:r>
    </w:p>
    <w:p>
      <w:pPr>
        <w:spacing w:after="0" w:line="107"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In addition, the hard disk drive industry has experienced consolidation over the past several years. For example, during fiscal 2010, Toshiba acquired the hard disk drive operations of Fujitsu. In March 2011, Western Digital announced that it plans to acquire Hitachi’s hard disk drive unit; and in April 2011, Seagate announced that it plans to acquire Samsung’s hard disk drive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44"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Furthermore, future changes in the nature of information storage products could reduce demand for traditional hard disk drives. For example, products using alternative technologies, such as solid-state flash drives and other storage technologies could become a source of competition to manufacturers of hard disk drives. We offer solid state drive controllers, leveraging our technology in hard drives, and believe we will maintain significant market share in this market segment.</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We operate in the intensely competitive mobile and wireless communications markets, and our failure to compete effectively would harm our results of operations.</w:t>
      </w:r>
    </w:p>
    <w:p>
      <w:pPr>
        <w:spacing w:after="0" w:line="51"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wired and wireless products and services. As competition in the markets in which we operate continues to increase, our revenues and gross margins may be harmed.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202"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new silicon devices is highly complex, and due to supply chain cross-dependencies and other issues, we may experience delays in completing the development, production and introduction of our new products. In addition, the success of our business also depends on market acceptance of new consumer products and technologies, which contain our products. Even if new and enhanced products are introduced to the market, we may not be able to achieve market acceptance of them in a timely manner.</w:t>
      </w:r>
    </w:p>
    <w:p>
      <w:pPr>
        <w:spacing w:after="0" w:line="12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certain price concessions, which could cause our average selling prices and gross margins to decline.</w:t>
      </w:r>
    </w:p>
    <w:p>
      <w:pPr>
        <w:spacing w:after="0" w:line="221"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59"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100" w:firstLine="456"/>
        <w:spacing w:after="0" w:line="287" w:lineRule="auto"/>
        <w:rPr>
          <w:sz w:val="20"/>
          <w:szCs w:val="20"/>
          <w:color w:val="auto"/>
        </w:rPr>
      </w:pPr>
      <w:r>
        <w:rPr>
          <w:rFonts w:ascii="Arial" w:cs="Arial" w:eastAsia="Arial" w:hAnsi="Arial"/>
          <w:sz w:val="16"/>
          <w:szCs w:val="16"/>
          <w:color w:val="auto"/>
        </w:rPr>
        <w:t>Substantially all of our products are manufactured by third party foundries located in Taiwan. Currently, our alternative manufacturing sources are located in China and Singapore. In addition, substantially all of our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or by political changes.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and may be subject to additional earthquakes that could disrupt manufacturing operations.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a significant natural disaster or a quarantine or closure that affects our manufacturers in the Pacific Rim, our revenues, cost of goods sold and results of operations would be negatively impacted. In addition, if we were unable to quickly identify alternate manufacturing facilities, we could experience significant delays in product shipments.</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00"/>
          </w:cols>
          <w:pgMar w:left="240" w:top="459" w:right="2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In addition, when demand is strong, availability of foundry capacity may be constrained, and with limited exceptions, our vendors are not obligated to perform services or supply products to us for any specific period, in any specific quantities, or at any specific price, except as may be provided in a particular purchase order. For example, in recent years, we experienced some supply shortages due to the difficulties encountered by the foundries in rapidly increasing their production capacities from low utilization levels to the high utilization levels required due to a rapid increase in demand. Although we have entered into contractual commitments to supply specified levels of products to some of our customers, we may not have sufficient levels of production capacity with all of our foundries, despite signing an agreement with a foundry to reserve and secure foundry fabrication capacity for a fixed number of wafers.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Although we use several independent foundries to manufacture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43"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44"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We are also subject to risk from fluctuating market prices of certain commodity raw materials, particularly gold, that are incorporated into our end products or used by our suppliers to manufacture our end products. Supplies for such commodities may from time-to-time become restricted, or general market factors and conditions may affect pricing of such commodities. Over the past few years, the price of gold increased significantly and certain of our supply chain partners assess surcharges to compensate for the resultant increase in manufacturing costs. As a result, our gross margins may be adversely affected by significant increases in the price of gold. We are currently restructuring certain manufacturing processes to use copper instead of gold in our products. In transitioning from gold to copper, because the capacity of either wafer producers or assemblers can been limited from time to time, we may be unable to satisfy the demand of our customers, or may have to accept price increases or other compensation arrangements that increase our operating expenses and erode our gross margins. Our results may also be materially affected adversely if we fail to execute successfully or if we experience resistance from our customer base in the transition from gold to copper.</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00"/>
          </w:cols>
          <w:pgMar w:left="240" w:top="459" w:right="2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receive a significant amount of our revenues from a limited number of customers. For the six months ended July 30, 2011, one customer accounted for a total of approximately 21%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82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52"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right="40" w:firstLine="456"/>
        <w:spacing w:after="0" w:line="285"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purchases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28" w:lineRule="exact"/>
        <w:rPr>
          <w:sz w:val="20"/>
          <w:szCs w:val="20"/>
          <w:color w:val="auto"/>
        </w:rPr>
      </w:pPr>
    </w:p>
    <w:p>
      <w:pPr>
        <w:ind w:right="380" w:firstLine="456"/>
        <w:spacing w:after="0" w:line="259"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Accordingly, supply chain disruptions affecting components of our customers’ devices and/or systems that we sell into could negatively impact the demand for our products, even if the supply of our products is not directly affected.</w:t>
      </w:r>
    </w:p>
    <w:p>
      <w:pPr>
        <w:spacing w:after="0" w:line="14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If we overestimate customer demand, we may allocate resources to manufacturing products that we may not be able to sell when we expect to, if at all. As a result, we would hold excess or obsolete inventory,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97"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88" w:lineRule="auto"/>
        <w:rPr>
          <w:sz w:val="20"/>
          <w:szCs w:val="20"/>
          <w:color w:val="auto"/>
        </w:rPr>
      </w:pPr>
      <w:r>
        <w:rPr>
          <w:rFonts w:ascii="Arial" w:cs="Arial" w:eastAsia="Arial" w:hAnsi="Arial"/>
          <w:sz w:val="16"/>
          <w:szCs w:val="16"/>
          <w:color w:val="auto"/>
        </w:rPr>
        <w:t>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For example, in order to reduce expenses in the challenging economic environment that began during the second half of fiscal 2009, in late fiscal 2009 and early in fiscal 2010, we implemented certain cost reduction measures to reduce operating expenses.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0"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right="140" w:firstLine="456"/>
        <w:spacing w:after="0" w:line="312" w:lineRule="auto"/>
        <w:rPr>
          <w:sz w:val="20"/>
          <w:szCs w:val="20"/>
          <w:color w:val="auto"/>
        </w:rPr>
      </w:pPr>
      <w:r>
        <w:rPr>
          <w:rFonts w:ascii="Arial" w:cs="Arial" w:eastAsia="Arial" w:hAnsi="Arial"/>
          <w:sz w:val="15"/>
          <w:szCs w:val="15"/>
          <w:color w:val="auto"/>
        </w:rPr>
        <w:t>We have experienced, from time to time, hardware and software defects and bugs associated with the introduction of our highly complex products. We cannot assure you that, despite our testing procedures,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us.</w:t>
      </w:r>
    </w:p>
    <w:p>
      <w:pPr>
        <w:spacing w:after="0" w:line="18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113"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Our future success will depend on our ability to anticipate and adapt to changes in technology and evolving industry standards.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w:t>
      </w:r>
    </w:p>
    <w:p>
      <w:pPr>
        <w:spacing w:after="0" w:line="208"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We may not be able to maintain or improve our gross margins. Our financial results could suffer if we are unable to offset any reductions in our average selling prices by other cost reductions through efficiencies and other means.</w:t>
      </w:r>
    </w:p>
    <w:p>
      <w:pPr>
        <w:spacing w:after="0" w:line="14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Moreover, because of the wide price differences across the markets we serve, the mix and types of performance capabilities of our products sold may affect the average selling prices of our products and have a substantial impact on our revenue and gross margin. Fluctuations in the mix and types of our products may also affect the extent to which we are able to recover the fixed costs and investments associated with a particular product, and as a result can harm our financial results.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380"/>
          </w:cols>
          <w:pgMar w:left="240" w:top="459" w:right="27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have to do so again in the future.</w:t>
      </w:r>
    </w:p>
    <w:p>
      <w:pPr>
        <w:spacing w:after="0" w:line="224"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ind w:right="600"/>
        <w:spacing w:after="0" w:line="332" w:lineRule="auto"/>
        <w:rPr>
          <w:sz w:val="20"/>
          <w:szCs w:val="20"/>
          <w:color w:val="auto"/>
        </w:rPr>
      </w:pPr>
      <w:r>
        <w:rPr>
          <w:rFonts w:ascii="Arial" w:cs="Arial" w:eastAsia="Arial" w:hAnsi="Arial"/>
          <w:sz w:val="16"/>
          <w:szCs w:val="16"/>
          <w:b w:val="1"/>
          <w:bCs w:val="1"/>
          <w:i w:val="1"/>
          <w:iCs w:val="1"/>
          <w:color w:val="auto"/>
        </w:rPr>
        <w:t>As a result of our global operations, we face foreign business, political, economic and exchange rate risks, which may harm our results of operations, because a majority of our products and our customers’ products are manufactured and sold outside of the United States.</w:t>
      </w:r>
    </w:p>
    <w:p>
      <w:pPr>
        <w:spacing w:after="0" w:line="4"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85% of our net revenue in the six months ended July 30, 2011, 81% of our net revenue in fiscal 2011 and 89% of our net revenue in fiscal 2010.</w:t>
      </w:r>
    </w:p>
    <w:p>
      <w:pPr>
        <w:spacing w:after="0" w:line="11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As of July 30, 2011, we had substantial operations outside of the U.S. These operations are directly influenced by the political and economic conditions, as well as possible military hostilities that could affect our operations in Israel.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62" w:lineRule="exact"/>
        <w:rPr>
          <w:sz w:val="20"/>
          <w:szCs w:val="20"/>
          <w:color w:val="auto"/>
        </w:rPr>
      </w:pPr>
    </w:p>
    <w:p>
      <w:pPr>
        <w:ind w:left="900" w:right="38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other hostilities and political unrest, boycotts, curtailment of trade and other business restrictions;</w:t>
      </w:r>
    </w:p>
    <w:p>
      <w:pPr>
        <w:spacing w:after="0" w:line="5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13" w:lineRule="exact"/>
        <w:rPr>
          <w:sz w:val="20"/>
          <w:szCs w:val="20"/>
          <w:color w:val="auto"/>
        </w:rPr>
      </w:pPr>
    </w:p>
    <w:p>
      <w:pPr>
        <w:jc w:val="both"/>
        <w:ind w:right="200" w:firstLine="456"/>
        <w:spacing w:after="0" w:line="335" w:lineRule="auto"/>
        <w:rPr>
          <w:sz w:val="20"/>
          <w:szCs w:val="20"/>
          <w:color w:val="auto"/>
        </w:rPr>
      </w:pPr>
      <w:r>
        <w:rPr>
          <w:rFonts w:ascii="Arial" w:cs="Arial" w:eastAsia="Arial" w:hAnsi="Arial"/>
          <w:sz w:val="15"/>
          <w:szCs w:val="15"/>
          <w:color w:val="auto"/>
        </w:rPr>
        <w:t>In addition, the recent earthquake and tsunami in the Pacific Rim had a significant impact in Japan and disrupted the global supply chain. We have seen a slight near term disruption and added uncertainty in the global supply chain for products manufactured in Japan that are included in our products and in the end user products for our customers. We continue to monitor the effect of the events in Japan on end user demand and inventory levels throughout the supply chain.</w:t>
      </w:r>
    </w:p>
    <w:p>
      <w:pPr>
        <w:spacing w:after="0" w:line="169"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had approximately $2.0 billion of goodwill and $112.7 million of intangible assets on our balance sheet as of July 30, 2011. Under GAAP, we are required to review our intangible assets for impairment whenever events or changes in circumstances indicate that the carrying value of these assets may not be recoverable. We perform an annual assessment of goodwill at the beginning of our fiscal fourth quarter and we also assess the impairment of goodwill on an interim basis whenever events or changes in circumstances indicate that the carrying value of such assets may not be recoverable. If the businesses acquired fail to meet our expectations set out at the time of the acquisition or if our market capitalization adjusted for control premiums and other factors declines to below our carrying value, we could incur significant goodwill or intangible impairment charges, which could negatively impact our financial results.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201"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13"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harm our results of operations and profitability.</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In prior years, we have entered into agreements with the local governments in certain foreign jurisdictions where we have significant operations to provide us with favorable tax rates in those jurisdictions if certain criteria are met.</w:t>
      </w:r>
    </w:p>
    <w:p>
      <w:pPr>
        <w:spacing w:after="0" w:line="132"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We obtained from the Minister of Finance of Bermuda under the Exempt Undertakings Tax Protection Act 1966, as amended, an undertaking that, in the event that Bermuda enacts legislation imposing tax computed on income and capital gains, those taxes should not apply to us until March 28, 2016.</w:t>
      </w:r>
    </w:p>
    <w:p>
      <w:pPr>
        <w:spacing w:after="0" w:line="85"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Economic Development Board of Singapore (the “EDB”) granted Pioneer Status to our wholly-owned subsidiary in Singapore in July 1999. This tax exemption was to expire after ten years, but the EDB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w:t>
      </w:r>
    </w:p>
    <w:p>
      <w:pPr>
        <w:spacing w:after="0" w:line="143"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Under the Israeli Encouragement law of “approved or benefited enterprise,” two branches of Marvell Israel (“MISL”), the GTL branch and the cellular branch (formerly Marvell DSPC), are entitled to a beneficial tax program that includes reduced tax rates and exemption of certain income. The first program was approved for MISL in 1995 and the most recent was approved in 2003. Marvell DSPC has five approved programs, with the first approved in 1990 and the most recent approved in 2010. The benefit period is generally 10 to 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years 2008 through 2020.</w:t>
      </w:r>
    </w:p>
    <w:p>
      <w:pPr>
        <w:spacing w:after="0" w:line="12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During fiscal 2007, our Switzerland subsidiary received a ten-year Federal and Cantonal tax holiday on revenues from research and design and wafer supply trading activities that will expire in 2017. In fiscal 2011, we met the requirements of the initial five year period and we will receive the ongoing tax holiday benefits provided that we continue to meet the ongoing requirements.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any of our tax agreements in any of these foreign jurisdictions were terminated, our results of our operations and profitability would be harmed.</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24"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Such open source software is often made available under licenses, such as the GNU General Public License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In addition, there is little or no legal precedent for interpreting the terms of certain of these open source licenses, including the determination of which works are subject to the terms of such licenses.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we have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4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w:t>
      </w:r>
    </w:p>
    <w:p>
      <w:pPr>
        <w:spacing w:after="0" w:line="188" w:lineRule="exact"/>
        <w:rPr>
          <w:sz w:val="20"/>
          <w:szCs w:val="20"/>
          <w:color w:val="auto"/>
        </w:rPr>
      </w:pPr>
    </w:p>
    <w:p>
      <w:pPr>
        <w:jc w:val="both"/>
        <w:ind w:right="30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right="80" w:firstLine="456"/>
        <w:spacing w:after="0" w:line="288"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Refer to “Note 9 – Commitments and Contingencies” of our notes to the Consolidated Financial Statements set forth in Part I, Item 1 of this Quarterly Report on Form 10-Q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The ultimate outcome of these actions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01"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b w:val="1"/>
          <w:bCs w:val="1"/>
          <w:i w:val="1"/>
          <w:iCs w:val="1"/>
          <w:color w:val="auto"/>
        </w:rPr>
        <w:t>As a result of the settlement with the SEC, we could not invoke the “safe harbor” for the forward-looking statements provision of the Private Securities Litigation Reform Act of 1995 for three years following the entry of judgment.</w:t>
      </w:r>
    </w:p>
    <w:p>
      <w:pPr>
        <w:spacing w:after="0" w:line="51"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On May 8, 2008, we announced that we had reached an agreement with the SEC that concluded the SEC’s formal investigation of us with respect to our historic stock option granting practices. As a result of our SEC settlement, we forfeited for three years following the entry of judgment, or until June 20, 2011, the ability to invoke the “safe harbor” for forward-looking statements provided by the Private Securities Litigation Reform Act of 1995. This safe harbor would have provided us with enhanced protection from liability based on forward-looking statements if the forward-looking statements were either accompanied by meaningful cautionary statements or were made without actual knowledge that they were false or misleading. Because we could not benefit from the statutory safe harbor from June 2008 through June 2011, it may be more difficult for us to defend against any future claims based on any forward-looking statements issued during that timeframe.</w:t>
      </w:r>
    </w:p>
    <w:p>
      <w:pPr>
        <w:spacing w:after="0" w:line="1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competition for qualified technical personnel with significant experience in the design, development, manufacturing, marketing and sales of integrated circuits is intense. It is important that we are able to identify, hire and retain engineers who are familiar with the intricacies of the design and manufacture of products based on analog technology.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224" w:lineRule="exact"/>
        <w:rPr>
          <w:sz w:val="20"/>
          <w:szCs w:val="20"/>
          <w:color w:val="auto"/>
        </w:rPr>
      </w:pPr>
    </w:p>
    <w:p>
      <w:pPr>
        <w:jc w:val="both"/>
        <w:ind w:right="18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4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205"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Dr. Sehat Sutardja, our President and Chief Executive Officer, and Weili Dai, who serves as the Vice President and General Manager of Communications and Consumer Business of MSI, are husband and wife, and Dr. Sehat Sutardja and Dr. Pantas Sutardja, our Vice President, Chief Technology Officer and Chief Research and Development Officer, are brothers. Together, these three individuals held approximately 17% of our outstanding common shares as of July 30, 2011.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w:t>
      </w:r>
    </w:p>
    <w:p>
      <w:pPr>
        <w:spacing w:after="0" w:line="12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Third Amended and Restated Bye-Laws (“Bye-Laws”). Furthermore, consideration would be given by a Bermuda court to acts that are alleged to constitute a fraud against the minority shareholders or, for instance, where an act requiring the approval of a greater percentage of the company’s shareholders than those who actually approved it.</w:t>
      </w:r>
    </w:p>
    <w:p>
      <w:pPr>
        <w:spacing w:after="0" w:line="1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94"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We rely upon certain critical information systems for the operation of our business, and the failure of any critical information system may result in serious harm to our business.</w:t>
      </w:r>
    </w:p>
    <w:p>
      <w:pPr>
        <w:spacing w:after="0" w:line="5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maintain and rely upon certain critical information systems for the effective operation of our business. These information systems include telecommunications, the Internet, our corporate intranet, various computer hardware and software applications, network communications and e-mail. These information systems are subject to attacks, failures and access denials from a number of potential sources including viruses, destructive or inadequate code, power failures, and physical damage to computers, communication lines and networking equipment. To the extent that these information systems are under our control, we have implemented security procedures, such as virus protection software and emergency recovery processes, to address the outlined risks. While we believe that our information systems are appropriately controlled and that we have processes in place to adequately manage these risks, security procedures for information systems cannot be guaranteed to be failsafe and our inability to use or access these information systems at critical points in time could unfavorably impact the timely and efficient operation of our business.</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Our U.S. headquarters located in Santa Clara, California, and our buildings in Singapore, Etoy, Switzerland and Shanghai, China subject us to the risks of owning real property, which include:</w:t>
      </w:r>
    </w:p>
    <w:p>
      <w:pPr>
        <w:spacing w:after="0" w:line="51" w:lineRule="exact"/>
        <w:rPr>
          <w:sz w:val="20"/>
          <w:szCs w:val="20"/>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and economic and availability considerations. However, if our insurance coverage is inadequate to protect us against unforeseen catastrophic losses, any uncovered losses could adversely affect our financial condition and results of operations.</w:t>
      </w:r>
    </w:p>
    <w:p>
      <w:pPr>
        <w:spacing w:after="0" w:line="201" w:lineRule="exact"/>
        <w:rPr>
          <w:sz w:val="20"/>
          <w:szCs w:val="20"/>
          <w:color w:val="auto"/>
        </w:rPr>
      </w:pPr>
    </w:p>
    <w:p>
      <w:pPr>
        <w:ind w:right="14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18"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1"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providing for a classified board of directors; and</w:t>
      </w:r>
    </w:p>
    <w:p>
      <w:pPr>
        <w:spacing w:after="0" w:line="90" w:lineRule="exact"/>
        <w:rPr>
          <w:rFonts w:ascii="Arial" w:cs="Arial" w:eastAsia="Arial" w:hAnsi="Arial"/>
          <w:sz w:val="18"/>
          <w:szCs w:val="18"/>
          <w:color w:val="auto"/>
        </w:rPr>
      </w:pPr>
    </w:p>
    <w:p>
      <w:pPr>
        <w:ind w:left="900" w:right="60" w:hanging="325"/>
        <w:spacing w:after="0" w:line="232"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 xml:space="preserve">requiring a vote of two-thirds of the outstanding shares to approve any change of corporate control in the event the action is not approved by at least 66 </w:t>
      </w:r>
      <w:r>
        <w:rPr>
          <w:rFonts w:ascii="Arial" w:cs="Arial" w:eastAsia="Arial" w:hAnsi="Arial"/>
          <w:sz w:val="11"/>
          <w:szCs w:val="11"/>
          <w:color w:val="auto"/>
        </w:rPr>
        <w:t>2</w:t>
      </w:r>
      <w:r>
        <w:rPr>
          <w:rFonts w:ascii="Arial" w:cs="Arial" w:eastAsia="Arial" w:hAnsi="Arial"/>
          <w:sz w:val="18"/>
          <w:szCs w:val="18"/>
          <w:color w:val="auto"/>
        </w:rPr>
        <w:t>/</w:t>
      </w:r>
      <w:r>
        <w:rPr>
          <w:rFonts w:ascii="Arial" w:cs="Arial" w:eastAsia="Arial" w:hAnsi="Arial"/>
          <w:sz w:val="22"/>
          <w:szCs w:val="22"/>
          <w:color w:val="auto"/>
          <w:vertAlign w:val="subscript"/>
        </w:rPr>
        <w:t>3</w:t>
      </w:r>
      <w:r>
        <w:rPr>
          <w:rFonts w:ascii="Arial" w:cs="Arial" w:eastAsia="Arial" w:hAnsi="Arial"/>
          <w:sz w:val="18"/>
          <w:szCs w:val="18"/>
          <w:color w:val="auto"/>
        </w:rPr>
        <w:t>% of the directors holding office at the date of the Board meeting to approve the action.</w:t>
      </w:r>
    </w:p>
    <w:p>
      <w:pPr>
        <w:spacing w:after="0" w:line="150" w:lineRule="exact"/>
        <w:rPr>
          <w:sz w:val="20"/>
          <w:szCs w:val="20"/>
          <w:color w:val="auto"/>
        </w:rPr>
      </w:pPr>
    </w:p>
    <w:p>
      <w:pPr>
        <w:ind w:right="440" w:firstLine="456"/>
        <w:spacing w:after="0" w:line="259"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 However, beginning in calendar year 2011, our classified board of directors will be phased out and by calendar year 2013 all directors will be subject to annual election.</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360"/>
          </w:cols>
          <w:pgMar w:left="240" w:top="459" w:right="29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July 30, 2011.</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repurchases during the three months ended July 30, 2011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7"/>
              </w:rPr>
              <w:t>Total Number of Shares</w:t>
            </w:r>
          </w:p>
        </w:tc>
        <w:tc>
          <w:tcPr>
            <w:tcW w:w="280" w:type="dxa"/>
            <w:vAlign w:val="bottom"/>
          </w:tcPr>
          <w:p>
            <w:pPr>
              <w:spacing w:after="0"/>
              <w:rPr>
                <w:sz w:val="14"/>
                <w:szCs w:val="14"/>
                <w:color w:val="auto"/>
              </w:rPr>
            </w:pPr>
          </w:p>
        </w:tc>
        <w:tc>
          <w:tcPr>
            <w:tcW w:w="184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w w:val="87"/>
              </w:rPr>
              <w:t>Approximated Dollar Value of</w:t>
            </w:r>
          </w:p>
        </w:tc>
        <w:tc>
          <w:tcPr>
            <w:tcW w:w="0" w:type="dxa"/>
            <w:vAlign w:val="bottom"/>
          </w:tcPr>
          <w:p>
            <w:pPr>
              <w:spacing w:after="0"/>
              <w:rPr>
                <w:sz w:val="1"/>
                <w:szCs w:val="1"/>
                <w:color w:val="auto"/>
              </w:rPr>
            </w:pPr>
          </w:p>
        </w:tc>
      </w:tr>
      <w:tr>
        <w:trPr>
          <w:trHeight w:val="149"/>
        </w:trPr>
        <w:tc>
          <w:tcPr>
            <w:tcW w:w="4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2000" w:type="dxa"/>
            <w:vAlign w:val="bottom"/>
            <w:gridSpan w:val="2"/>
          </w:tcPr>
          <w:p>
            <w:pPr>
              <w:jc w:val="right"/>
              <w:ind w:right="300"/>
              <w:spacing w:after="0" w:line="149" w:lineRule="exact"/>
              <w:rPr>
                <w:sz w:val="20"/>
                <w:szCs w:val="20"/>
                <w:color w:val="auto"/>
              </w:rPr>
            </w:pPr>
            <w:r>
              <w:rPr>
                <w:rFonts w:ascii="Arial" w:cs="Arial" w:eastAsia="Arial" w:hAnsi="Arial"/>
                <w:sz w:val="14"/>
                <w:szCs w:val="14"/>
                <w:b w:val="1"/>
                <w:bCs w:val="1"/>
                <w:color w:val="auto"/>
                <w:w w:val="85"/>
              </w:rPr>
              <w:t>Purchased as Part of Publicly</w:t>
            </w:r>
          </w:p>
        </w:tc>
        <w:tc>
          <w:tcPr>
            <w:tcW w:w="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0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w w:val="90"/>
              </w:rPr>
              <w:t>Shares that May Yet Be</w:t>
            </w:r>
          </w:p>
        </w:tc>
        <w:tc>
          <w:tcPr>
            <w:tcW w:w="0" w:type="dxa"/>
            <w:vAlign w:val="bottom"/>
          </w:tcPr>
          <w:p>
            <w:pPr>
              <w:spacing w:after="0"/>
              <w:rPr>
                <w:sz w:val="1"/>
                <w:szCs w:val="1"/>
                <w:color w:val="auto"/>
              </w:rPr>
            </w:pPr>
          </w:p>
        </w:tc>
      </w:tr>
      <w:tr>
        <w:trPr>
          <w:trHeight w:val="149"/>
        </w:trPr>
        <w:tc>
          <w:tcPr>
            <w:tcW w:w="460" w:type="dxa"/>
            <w:vAlign w:val="bottom"/>
            <w:vMerge w:val="restart"/>
          </w:tcPr>
          <w:p>
            <w:pPr>
              <w:spacing w:after="0"/>
              <w:rPr>
                <w:sz w:val="12"/>
                <w:szCs w:val="12"/>
                <w:color w:val="auto"/>
              </w:rPr>
            </w:pPr>
          </w:p>
        </w:tc>
        <w:tc>
          <w:tcPr>
            <w:tcW w:w="400" w:type="dxa"/>
            <w:vAlign w:val="bottom"/>
            <w:vMerge w:val="restart"/>
          </w:tcPr>
          <w:p>
            <w:pPr>
              <w:spacing w:after="0"/>
              <w:rPr>
                <w:sz w:val="20"/>
                <w:szCs w:val="20"/>
                <w:color w:val="auto"/>
              </w:rPr>
            </w:pPr>
            <w:r>
              <w:rPr>
                <w:rFonts w:ascii="Arial" w:cs="Arial" w:eastAsia="Arial" w:hAnsi="Arial"/>
                <w:sz w:val="14"/>
                <w:szCs w:val="14"/>
                <w:b w:val="1"/>
                <w:bCs w:val="1"/>
                <w:color w:val="auto"/>
                <w:w w:val="87"/>
              </w:rPr>
              <w:t>Period</w:t>
            </w:r>
          </w:p>
        </w:tc>
        <w:tc>
          <w:tcPr>
            <w:tcW w:w="180" w:type="dxa"/>
            <w:vAlign w:val="bottom"/>
            <w:vMerge w:val="restart"/>
          </w:tcPr>
          <w:p>
            <w:pPr>
              <w:spacing w:after="0"/>
              <w:rPr>
                <w:sz w:val="12"/>
                <w:szCs w:val="12"/>
                <w:color w:val="auto"/>
              </w:rPr>
            </w:pPr>
          </w:p>
        </w:tc>
        <w:tc>
          <w:tcPr>
            <w:tcW w:w="12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060" w:type="dxa"/>
            <w:vAlign w:val="bottom"/>
            <w:gridSpan w:val="2"/>
          </w:tcPr>
          <w:p>
            <w:pPr>
              <w:jc w:val="right"/>
              <w:ind w:right="60"/>
              <w:spacing w:after="0" w:line="149" w:lineRule="exact"/>
              <w:rPr>
                <w:sz w:val="20"/>
                <w:szCs w:val="20"/>
                <w:color w:val="auto"/>
              </w:rPr>
            </w:pPr>
            <w:r>
              <w:rPr>
                <w:rFonts w:ascii="Arial" w:cs="Arial" w:eastAsia="Arial" w:hAnsi="Arial"/>
                <w:sz w:val="14"/>
                <w:szCs w:val="14"/>
                <w:b w:val="1"/>
                <w:bCs w:val="1"/>
                <w:color w:val="auto"/>
                <w:w w:val="91"/>
              </w:rPr>
              <w:t>Total Number of</w:t>
            </w:r>
          </w:p>
        </w:tc>
        <w:tc>
          <w:tcPr>
            <w:tcW w:w="560" w:type="dxa"/>
            <w:vAlign w:val="bottom"/>
          </w:tcPr>
          <w:p>
            <w:pPr>
              <w:spacing w:after="0"/>
              <w:rPr>
                <w:sz w:val="12"/>
                <w:szCs w:val="12"/>
                <w:color w:val="auto"/>
              </w:rPr>
            </w:pPr>
          </w:p>
        </w:tc>
        <w:tc>
          <w:tcPr>
            <w:tcW w:w="142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Average Price</w:t>
            </w:r>
          </w:p>
        </w:tc>
        <w:tc>
          <w:tcPr>
            <w:tcW w:w="20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Announced Plans or</w:t>
            </w:r>
          </w:p>
        </w:tc>
        <w:tc>
          <w:tcPr>
            <w:tcW w:w="280" w:type="dxa"/>
            <w:vAlign w:val="bottom"/>
          </w:tcPr>
          <w:p>
            <w:pPr>
              <w:spacing w:after="0"/>
              <w:rPr>
                <w:sz w:val="12"/>
                <w:szCs w:val="12"/>
                <w:color w:val="auto"/>
              </w:rPr>
            </w:pPr>
          </w:p>
        </w:tc>
        <w:tc>
          <w:tcPr>
            <w:tcW w:w="1840" w:type="dxa"/>
            <w:vAlign w:val="bottom"/>
            <w:gridSpan w:val="3"/>
          </w:tcPr>
          <w:p>
            <w:pPr>
              <w:jc w:val="right"/>
              <w:ind w:right="100"/>
              <w:spacing w:after="0" w:line="149" w:lineRule="exact"/>
              <w:rPr>
                <w:sz w:val="20"/>
                <w:szCs w:val="20"/>
                <w:color w:val="auto"/>
              </w:rPr>
            </w:pPr>
            <w:r>
              <w:rPr>
                <w:rFonts w:ascii="Arial" w:cs="Arial" w:eastAsia="Arial" w:hAnsi="Arial"/>
                <w:sz w:val="14"/>
                <w:szCs w:val="14"/>
                <w:b w:val="1"/>
                <w:bCs w:val="1"/>
                <w:color w:val="auto"/>
                <w:w w:val="85"/>
              </w:rPr>
              <w:t>Purchased Under the Plans or</w:t>
            </w:r>
          </w:p>
        </w:tc>
        <w:tc>
          <w:tcPr>
            <w:tcW w:w="0" w:type="dxa"/>
            <w:vAlign w:val="bottom"/>
          </w:tcPr>
          <w:p>
            <w:pPr>
              <w:spacing w:after="0"/>
              <w:rPr>
                <w:sz w:val="1"/>
                <w:szCs w:val="1"/>
                <w:color w:val="auto"/>
              </w:rPr>
            </w:pPr>
          </w:p>
        </w:tc>
      </w:tr>
      <w:tr>
        <w:trPr>
          <w:trHeight w:val="168"/>
        </w:trPr>
        <w:tc>
          <w:tcPr>
            <w:tcW w:w="460" w:type="dxa"/>
            <w:vAlign w:val="bottom"/>
            <w:vMerge w:val="continue"/>
          </w:tcPr>
          <w:p>
            <w:pPr>
              <w:spacing w:after="0"/>
              <w:rPr>
                <w:sz w:val="14"/>
                <w:szCs w:val="14"/>
                <w:color w:val="auto"/>
              </w:rPr>
            </w:pPr>
          </w:p>
        </w:tc>
        <w:tc>
          <w:tcPr>
            <w:tcW w:w="400" w:type="dxa"/>
            <w:vAlign w:val="bottom"/>
            <w:tcBorders>
              <w:bottom w:val="single" w:sz="8" w:color="auto"/>
            </w:tcBorders>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060" w:type="dxa"/>
            <w:vAlign w:val="bottom"/>
            <w:gridSpan w:val="2"/>
          </w:tcPr>
          <w:p>
            <w:pPr>
              <w:jc w:val="right"/>
              <w:ind w:right="20"/>
              <w:spacing w:after="0" w:line="148" w:lineRule="exact"/>
              <w:rPr>
                <w:sz w:val="20"/>
                <w:szCs w:val="20"/>
                <w:color w:val="auto"/>
              </w:rPr>
            </w:pPr>
            <w:r>
              <w:rPr>
                <w:rFonts w:ascii="Arial" w:cs="Arial" w:eastAsia="Arial" w:hAnsi="Arial"/>
                <w:sz w:val="14"/>
                <w:szCs w:val="14"/>
                <w:b w:val="1"/>
                <w:bCs w:val="1"/>
                <w:color w:val="auto"/>
                <w:w w:val="83"/>
              </w:rPr>
              <w:t>Shares Purchased</w:t>
            </w:r>
          </w:p>
        </w:tc>
        <w:tc>
          <w:tcPr>
            <w:tcW w:w="560" w:type="dxa"/>
            <w:vAlign w:val="bottom"/>
          </w:tcPr>
          <w:p>
            <w:pPr>
              <w:spacing w:after="0"/>
              <w:rPr>
                <w:sz w:val="14"/>
                <w:szCs w:val="14"/>
                <w:color w:val="auto"/>
              </w:rPr>
            </w:pPr>
          </w:p>
        </w:tc>
        <w:tc>
          <w:tcPr>
            <w:tcW w:w="1420" w:type="dxa"/>
            <w:vAlign w:val="bottom"/>
            <w:gridSpan w:val="3"/>
          </w:tcPr>
          <w:p>
            <w:pPr>
              <w:jc w:val="right"/>
              <w:ind w:right="560"/>
              <w:spacing w:after="0" w:line="148" w:lineRule="exact"/>
              <w:rPr>
                <w:sz w:val="20"/>
                <w:szCs w:val="20"/>
                <w:color w:val="auto"/>
              </w:rPr>
            </w:pPr>
            <w:r>
              <w:rPr>
                <w:rFonts w:ascii="Arial" w:cs="Arial" w:eastAsia="Arial" w:hAnsi="Arial"/>
                <w:sz w:val="14"/>
                <w:szCs w:val="14"/>
                <w:b w:val="1"/>
                <w:bCs w:val="1"/>
                <w:color w:val="auto"/>
                <w:w w:val="85"/>
              </w:rPr>
              <w:t>Paid per Share</w:t>
            </w:r>
          </w:p>
        </w:tc>
        <w:tc>
          <w:tcPr>
            <w:tcW w:w="2000" w:type="dxa"/>
            <w:vAlign w:val="bottom"/>
            <w:gridSpan w:val="2"/>
          </w:tcPr>
          <w:p>
            <w:pPr>
              <w:jc w:val="center"/>
              <w:ind w:right="300"/>
              <w:spacing w:after="0" w:line="148" w:lineRule="exact"/>
              <w:rPr>
                <w:sz w:val="20"/>
                <w:szCs w:val="20"/>
                <w:color w:val="auto"/>
              </w:rPr>
            </w:pPr>
            <w:r>
              <w:rPr>
                <w:rFonts w:ascii="Arial" w:cs="Arial" w:eastAsia="Arial" w:hAnsi="Arial"/>
                <w:sz w:val="14"/>
                <w:szCs w:val="14"/>
                <w:b w:val="1"/>
                <w:bCs w:val="1"/>
                <w:color w:val="auto"/>
                <w:w w:val="88"/>
              </w:rPr>
              <w:t>Programs</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00" w:type="dxa"/>
            <w:vAlign w:val="bottom"/>
            <w:gridSpan w:val="2"/>
          </w:tcPr>
          <w:p>
            <w:pPr>
              <w:jc w:val="right"/>
              <w:ind w:right="580"/>
              <w:spacing w:after="0" w:line="148" w:lineRule="exact"/>
              <w:rPr>
                <w:sz w:val="20"/>
                <w:szCs w:val="20"/>
                <w:color w:val="auto"/>
              </w:rPr>
            </w:pPr>
            <w:r>
              <w:rPr>
                <w:rFonts w:ascii="Arial" w:cs="Arial" w:eastAsia="Arial" w:hAnsi="Arial"/>
                <w:sz w:val="14"/>
                <w:szCs w:val="14"/>
                <w:b w:val="1"/>
                <w:bCs w:val="1"/>
                <w:color w:val="auto"/>
              </w:rPr>
              <w:t>Programs (1)</w:t>
            </w:r>
          </w:p>
        </w:tc>
        <w:tc>
          <w:tcPr>
            <w:tcW w:w="0" w:type="dxa"/>
            <w:vAlign w:val="bottom"/>
          </w:tcPr>
          <w:p>
            <w:pPr>
              <w:spacing w:after="0"/>
              <w:rPr>
                <w:sz w:val="1"/>
                <w:szCs w:val="1"/>
                <w:color w:val="auto"/>
              </w:rPr>
            </w:pPr>
          </w:p>
        </w:tc>
      </w:tr>
      <w:tr>
        <w:trPr>
          <w:trHeight w:val="203"/>
        </w:trPr>
        <w:tc>
          <w:tcPr>
            <w:tcW w:w="460" w:type="dxa"/>
            <w:vAlign w:val="bottom"/>
          </w:tcPr>
          <w:p>
            <w:pPr>
              <w:spacing w:after="0"/>
              <w:rPr>
                <w:sz w:val="17"/>
                <w:szCs w:val="17"/>
                <w:color w:val="auto"/>
              </w:rPr>
            </w:pPr>
          </w:p>
        </w:tc>
        <w:tc>
          <w:tcPr>
            <w:tcW w:w="3340" w:type="dxa"/>
            <w:vAlign w:val="bottom"/>
            <w:tcBorders>
              <w:top w:val="single" w:sz="8" w:color="CCEEFF"/>
            </w:tcBorders>
            <w:gridSpan w:val="4"/>
            <w:shd w:val="clear" w:color="auto" w:fill="CCEEFF"/>
          </w:tcPr>
          <w:p>
            <w:pPr>
              <w:spacing w:after="0" w:line="202" w:lineRule="exact"/>
              <w:rPr>
                <w:sz w:val="20"/>
                <w:szCs w:val="20"/>
                <w:color w:val="auto"/>
              </w:rPr>
            </w:pPr>
            <w:r>
              <w:rPr>
                <w:rFonts w:ascii="Arial" w:cs="Arial" w:eastAsia="Arial" w:hAnsi="Arial"/>
                <w:sz w:val="18"/>
                <w:szCs w:val="18"/>
                <w:color w:val="auto"/>
              </w:rPr>
              <w:t>May 1 – May 28, 2011</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2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jc w:val="right"/>
              <w:ind w:right="109"/>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ind w:right="12"/>
              <w:spacing w:after="0" w:line="203" w:lineRule="exact"/>
              <w:rPr>
                <w:sz w:val="20"/>
                <w:szCs w:val="20"/>
                <w:color w:val="auto"/>
              </w:rPr>
            </w:pPr>
            <w:r>
              <w:rPr>
                <w:rFonts w:ascii="Arial" w:cs="Arial" w:eastAsia="Arial" w:hAnsi="Arial"/>
                <w:sz w:val="18"/>
                <w:szCs w:val="18"/>
                <w:color w:val="auto"/>
              </w:rPr>
              <w:t>—</w:t>
            </w:r>
          </w:p>
        </w:tc>
        <w:tc>
          <w:tcPr>
            <w:tcW w:w="560" w:type="dxa"/>
            <w:vAlign w:val="bottom"/>
            <w:tcBorders>
              <w:top w:val="single" w:sz="8" w:color="CCEEFF"/>
            </w:tcBorders>
            <w:shd w:val="clear" w:color="auto" w:fill="CCEEFF"/>
          </w:tcPr>
          <w:p>
            <w:pPr>
              <w:spacing w:after="0"/>
              <w:rPr>
                <w:sz w:val="17"/>
                <w:szCs w:val="17"/>
                <w:color w:val="auto"/>
              </w:rPr>
            </w:pPr>
          </w:p>
        </w:tc>
        <w:tc>
          <w:tcPr>
            <w:tcW w:w="1700" w:type="dxa"/>
            <w:vAlign w:val="bottom"/>
            <w:tcBorders>
              <w:top w:val="single" w:sz="8" w:color="auto"/>
            </w:tcBorders>
            <w:shd w:val="clear" w:color="auto" w:fill="CCEEFF"/>
          </w:tcPr>
          <w:p>
            <w:pPr>
              <w:ind w:left="1440"/>
              <w:spacing w:after="0" w:line="203" w:lineRule="exact"/>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1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109,013</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80" w:type="dxa"/>
            <w:vAlign w:val="bottom"/>
            <w:gridSpan w:val="2"/>
          </w:tcPr>
          <w:p>
            <w:pPr>
              <w:spacing w:after="0"/>
              <w:rPr>
                <w:sz w:val="20"/>
                <w:szCs w:val="20"/>
                <w:color w:val="auto"/>
              </w:rPr>
            </w:pPr>
            <w:r>
              <w:rPr>
                <w:rFonts w:ascii="Arial" w:cs="Arial" w:eastAsia="Arial" w:hAnsi="Arial"/>
                <w:sz w:val="18"/>
                <w:szCs w:val="18"/>
                <w:color w:val="auto"/>
                <w:w w:val="94"/>
              </w:rPr>
              <w:t>May 29</w:t>
            </w:r>
          </w:p>
        </w:tc>
        <w:tc>
          <w:tcPr>
            <w:tcW w:w="2760" w:type="dxa"/>
            <w:vAlign w:val="bottom"/>
            <w:gridSpan w:val="2"/>
          </w:tcPr>
          <w:p>
            <w:pPr>
              <w:ind w:left="20"/>
              <w:spacing w:after="0"/>
              <w:rPr>
                <w:sz w:val="20"/>
                <w:szCs w:val="20"/>
                <w:color w:val="auto"/>
              </w:rPr>
            </w:pPr>
            <w:r>
              <w:rPr>
                <w:rFonts w:ascii="Arial" w:cs="Arial" w:eastAsia="Arial" w:hAnsi="Arial"/>
                <w:sz w:val="18"/>
                <w:szCs w:val="18"/>
                <w:color w:val="auto"/>
              </w:rPr>
              <w:t>– June 25, 2011</w:t>
            </w: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7,253</w:t>
            </w:r>
          </w:p>
        </w:tc>
        <w:tc>
          <w:tcPr>
            <w:tcW w:w="5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15.03</w:t>
            </w:r>
          </w:p>
        </w:tc>
        <w:tc>
          <w:tcPr>
            <w:tcW w:w="560" w:type="dxa"/>
            <w:vAlign w:val="bottom"/>
          </w:tcPr>
          <w:p>
            <w:pPr>
              <w:spacing w:after="0"/>
              <w:rPr>
                <w:sz w:val="18"/>
                <w:szCs w:val="18"/>
                <w:color w:val="auto"/>
              </w:rPr>
            </w:pPr>
          </w:p>
        </w:tc>
        <w:tc>
          <w:tcPr>
            <w:tcW w:w="2000" w:type="dxa"/>
            <w:vAlign w:val="bottom"/>
            <w:gridSpan w:val="2"/>
          </w:tcPr>
          <w:p>
            <w:pPr>
              <w:jc w:val="right"/>
              <w:ind w:right="300"/>
              <w:spacing w:after="0"/>
              <w:rPr>
                <w:sz w:val="20"/>
                <w:szCs w:val="20"/>
                <w:color w:val="auto"/>
              </w:rPr>
            </w:pPr>
            <w:r>
              <w:rPr>
                <w:rFonts w:ascii="Arial" w:cs="Arial" w:eastAsia="Arial" w:hAnsi="Arial"/>
                <w:sz w:val="18"/>
                <w:szCs w:val="18"/>
                <w:color w:val="auto"/>
              </w:rPr>
              <w:t>7,253</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8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87"/>
              </w:rPr>
              <w:t>June 26</w:t>
            </w:r>
          </w:p>
        </w:tc>
        <w:tc>
          <w:tcPr>
            <w:tcW w:w="27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 July 30, 2011</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1,821</w:t>
            </w:r>
          </w:p>
        </w:tc>
        <w:tc>
          <w:tcPr>
            <w:tcW w:w="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14.68</w:t>
            </w:r>
          </w:p>
        </w:tc>
        <w:tc>
          <w:tcPr>
            <w:tcW w:w="56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1,821</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473,273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040" w:type="dxa"/>
            <w:vAlign w:val="bottom"/>
            <w:gridSpan w:val="3"/>
            <w:vMerge w:val="restart"/>
          </w:tcPr>
          <w:p>
            <w:pPr>
              <w:ind w:left="460"/>
              <w:spacing w:after="0"/>
              <w:rPr>
                <w:sz w:val="20"/>
                <w:szCs w:val="20"/>
                <w:color w:val="auto"/>
              </w:rPr>
            </w:pPr>
            <w:r>
              <w:rPr>
                <w:rFonts w:ascii="Arial" w:cs="Arial" w:eastAsia="Arial" w:hAnsi="Arial"/>
                <w:sz w:val="18"/>
                <w:szCs w:val="18"/>
                <w:color w:val="auto"/>
              </w:rPr>
              <w:t>Total</w:t>
            </w:r>
          </w:p>
        </w:tc>
        <w:tc>
          <w:tcPr>
            <w:tcW w:w="12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gridSpan w:val="2"/>
            <w:vMerge w:val="restart"/>
          </w:tcPr>
          <w:p>
            <w:pPr>
              <w:jc w:val="right"/>
              <w:ind w:right="109"/>
              <w:spacing w:after="0"/>
              <w:rPr>
                <w:sz w:val="20"/>
                <w:szCs w:val="20"/>
                <w:color w:val="auto"/>
              </w:rPr>
            </w:pPr>
            <w:r>
              <w:rPr>
                <w:rFonts w:ascii="Arial" w:cs="Arial" w:eastAsia="Arial" w:hAnsi="Arial"/>
                <w:sz w:val="18"/>
                <w:szCs w:val="18"/>
                <w:color w:val="auto"/>
              </w:rPr>
              <w:t>$</w:t>
            </w:r>
          </w:p>
        </w:tc>
        <w:tc>
          <w:tcPr>
            <w:tcW w:w="600" w:type="dxa"/>
            <w:vAlign w:val="bottom"/>
            <w:vMerge w:val="restart"/>
          </w:tcPr>
          <w:p>
            <w:pPr>
              <w:jc w:val="right"/>
              <w:spacing w:after="0"/>
              <w:rPr>
                <w:sz w:val="20"/>
                <w:szCs w:val="20"/>
                <w:color w:val="auto"/>
              </w:rPr>
            </w:pPr>
            <w:r>
              <w:rPr>
                <w:rFonts w:ascii="Arial" w:cs="Arial" w:eastAsia="Arial" w:hAnsi="Arial"/>
                <w:sz w:val="18"/>
                <w:szCs w:val="18"/>
                <w:color w:val="auto"/>
              </w:rPr>
              <w:t>14.96</w:t>
            </w:r>
          </w:p>
        </w:tc>
        <w:tc>
          <w:tcPr>
            <w:tcW w:w="560" w:type="dxa"/>
            <w:vAlign w:val="bottom"/>
          </w:tcPr>
          <w:p>
            <w:pPr>
              <w:spacing w:after="0" w:line="20" w:lineRule="exact"/>
              <w:rPr>
                <w:sz w:val="1"/>
                <w:szCs w:val="1"/>
                <w:color w:val="auto"/>
              </w:rPr>
            </w:pPr>
          </w:p>
        </w:tc>
        <w:tc>
          <w:tcPr>
            <w:tcW w:w="17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2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1600" w:type="dxa"/>
            <w:vAlign w:val="bottom"/>
            <w:vMerge w:val="restart"/>
          </w:tcPr>
          <w:p>
            <w:pPr>
              <w:jc w:val="right"/>
              <w:spacing w:after="0"/>
              <w:rPr>
                <w:sz w:val="20"/>
                <w:szCs w:val="20"/>
                <w:color w:val="auto"/>
              </w:rPr>
            </w:pPr>
            <w:r>
              <w:rPr>
                <w:rFonts w:ascii="Arial" w:cs="Arial" w:eastAsia="Arial" w:hAnsi="Arial"/>
                <w:sz w:val="18"/>
                <w:szCs w:val="18"/>
                <w:color w:val="auto"/>
              </w:rPr>
              <w:t>473,273</w:t>
            </w: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1040" w:type="dxa"/>
            <w:vAlign w:val="bottom"/>
            <w:gridSpan w:val="3"/>
            <w:vMerge w:val="continue"/>
          </w:tcPr>
          <w:p>
            <w:pPr>
              <w:spacing w:after="0"/>
              <w:rPr>
                <w:sz w:val="19"/>
                <w:szCs w:val="19"/>
                <w:color w:val="auto"/>
              </w:rPr>
            </w:pPr>
          </w:p>
        </w:tc>
        <w:tc>
          <w:tcPr>
            <w:tcW w:w="120" w:type="dxa"/>
            <w:vAlign w:val="bottom"/>
          </w:tcPr>
          <w:p>
            <w:pPr>
              <w:spacing w:after="0"/>
              <w:rPr>
                <w:sz w:val="19"/>
                <w:szCs w:val="19"/>
                <w:color w:val="auto"/>
              </w:rPr>
            </w:pPr>
          </w:p>
        </w:tc>
        <w:tc>
          <w:tcPr>
            <w:tcW w:w="264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9,074</w:t>
            </w:r>
          </w:p>
        </w:tc>
        <w:tc>
          <w:tcPr>
            <w:tcW w:w="20" w:type="dxa"/>
            <w:vAlign w:val="bottom"/>
          </w:tcPr>
          <w:p>
            <w:pPr>
              <w:spacing w:after="0"/>
              <w:rPr>
                <w:sz w:val="19"/>
                <w:szCs w:val="19"/>
                <w:color w:val="auto"/>
              </w:rPr>
            </w:pPr>
          </w:p>
        </w:tc>
        <w:tc>
          <w:tcPr>
            <w:tcW w:w="820" w:type="dxa"/>
            <w:vAlign w:val="bottom"/>
            <w:gridSpan w:val="2"/>
            <w:vMerge w:val="continue"/>
          </w:tcPr>
          <w:p>
            <w:pPr>
              <w:spacing w:after="0"/>
              <w:rPr>
                <w:sz w:val="19"/>
                <w:szCs w:val="19"/>
                <w:color w:val="auto"/>
              </w:rPr>
            </w:pPr>
          </w:p>
        </w:tc>
        <w:tc>
          <w:tcPr>
            <w:tcW w:w="600" w:type="dxa"/>
            <w:vAlign w:val="bottom"/>
            <w:vMerge w:val="continue"/>
          </w:tcPr>
          <w:p>
            <w:pPr>
              <w:spacing w:after="0"/>
              <w:rPr>
                <w:sz w:val="19"/>
                <w:szCs w:val="19"/>
                <w:color w:val="auto"/>
              </w:rPr>
            </w:pPr>
          </w:p>
        </w:tc>
        <w:tc>
          <w:tcPr>
            <w:tcW w:w="560" w:type="dxa"/>
            <w:vAlign w:val="bottom"/>
          </w:tcPr>
          <w:p>
            <w:pPr>
              <w:spacing w:after="0"/>
              <w:rPr>
                <w:sz w:val="19"/>
                <w:szCs w:val="19"/>
                <w:color w:val="auto"/>
              </w:rPr>
            </w:pPr>
          </w:p>
        </w:tc>
        <w:tc>
          <w:tcPr>
            <w:tcW w:w="2000" w:type="dxa"/>
            <w:vAlign w:val="bottom"/>
            <w:gridSpan w:val="2"/>
          </w:tcPr>
          <w:p>
            <w:pPr>
              <w:jc w:val="right"/>
              <w:ind w:right="300"/>
              <w:spacing w:after="0"/>
              <w:rPr>
                <w:sz w:val="20"/>
                <w:szCs w:val="20"/>
                <w:color w:val="auto"/>
              </w:rPr>
            </w:pPr>
            <w:r>
              <w:rPr>
                <w:rFonts w:ascii="Arial" w:cs="Arial" w:eastAsia="Arial" w:hAnsi="Arial"/>
                <w:sz w:val="18"/>
                <w:szCs w:val="18"/>
                <w:color w:val="auto"/>
              </w:rPr>
              <w:t>9,074</w:t>
            </w:r>
          </w:p>
        </w:tc>
        <w:tc>
          <w:tcPr>
            <w:tcW w:w="420" w:type="dxa"/>
            <w:vAlign w:val="bottom"/>
            <w:gridSpan w:val="2"/>
            <w:vMerge w:val="continue"/>
          </w:tcPr>
          <w:p>
            <w:pPr>
              <w:spacing w:after="0"/>
              <w:rPr>
                <w:sz w:val="19"/>
                <w:szCs w:val="19"/>
                <w:color w:val="auto"/>
              </w:rPr>
            </w:pPr>
          </w:p>
        </w:tc>
        <w:tc>
          <w:tcPr>
            <w:tcW w:w="160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60" w:type="dxa"/>
            <w:vAlign w:val="bottom"/>
            <w:tcBorders>
              <w:bottom w:val="single" w:sz="8" w:color="auto"/>
            </w:tcBorders>
          </w:tcPr>
          <w:p>
            <w:pPr>
              <w:spacing w:after="0"/>
              <w:rPr>
                <w:sz w:val="8"/>
                <w:szCs w:val="8"/>
                <w:color w:val="auto"/>
              </w:rPr>
            </w:pPr>
          </w:p>
        </w:tc>
        <w:tc>
          <w:tcPr>
            <w:tcW w:w="400" w:type="dxa"/>
            <w:vAlign w:val="bottom"/>
            <w:tcBorders>
              <w:bottom w:val="single" w:sz="8" w:color="auto"/>
            </w:tcBorders>
          </w:tcPr>
          <w:p>
            <w:pPr>
              <w:spacing w:after="0"/>
              <w:rPr>
                <w:sz w:val="8"/>
                <w:szCs w:val="8"/>
                <w:color w:val="auto"/>
              </w:rPr>
            </w:pPr>
          </w:p>
        </w:tc>
        <w:tc>
          <w:tcPr>
            <w:tcW w:w="180" w:type="dxa"/>
            <w:vAlign w:val="bottom"/>
            <w:tcBorders>
              <w:bottom w:val="single" w:sz="8" w:color="auto"/>
            </w:tcBorders>
          </w:tcPr>
          <w:p>
            <w:pPr>
              <w:spacing w:after="0"/>
              <w:rPr>
                <w:sz w:val="8"/>
                <w:szCs w:val="8"/>
                <w:color w:val="auto"/>
              </w:rPr>
            </w:pPr>
          </w:p>
        </w:tc>
        <w:tc>
          <w:tcPr>
            <w:tcW w:w="120" w:type="dxa"/>
            <w:vAlign w:val="bottom"/>
            <w:tcBorders>
              <w:bottom w:val="single" w:sz="8" w:color="auto"/>
            </w:tcBorders>
          </w:tcPr>
          <w:p>
            <w:pPr>
              <w:spacing w:after="0"/>
              <w:rPr>
                <w:sz w:val="8"/>
                <w:szCs w:val="8"/>
                <w:color w:val="auto"/>
              </w:rPr>
            </w:pPr>
          </w:p>
        </w:tc>
        <w:tc>
          <w:tcPr>
            <w:tcW w:w="2640" w:type="dxa"/>
            <w:vAlign w:val="bottom"/>
          </w:tcPr>
          <w:p>
            <w:pPr>
              <w:spacing w:after="0"/>
              <w:rPr>
                <w:sz w:val="8"/>
                <w:szCs w:val="8"/>
                <w:color w:val="auto"/>
              </w:rPr>
            </w:pPr>
          </w:p>
        </w:tc>
        <w:tc>
          <w:tcPr>
            <w:tcW w:w="1040" w:type="dxa"/>
            <w:vAlign w:val="bottom"/>
          </w:tcPr>
          <w:p>
            <w:pPr>
              <w:spacing w:after="0"/>
              <w:rPr>
                <w:sz w:val="8"/>
                <w:szCs w:val="8"/>
                <w:color w:val="auto"/>
              </w:rPr>
            </w:pPr>
          </w:p>
        </w:tc>
        <w:tc>
          <w:tcPr>
            <w:tcW w:w="20" w:type="dxa"/>
            <w:vAlign w:val="bottom"/>
          </w:tcPr>
          <w:p>
            <w:pPr>
              <w:spacing w:after="0"/>
              <w:rPr>
                <w:sz w:val="8"/>
                <w:szCs w:val="8"/>
                <w:color w:val="auto"/>
              </w:rPr>
            </w:pPr>
          </w:p>
        </w:tc>
        <w:tc>
          <w:tcPr>
            <w:tcW w:w="560" w:type="dxa"/>
            <w:vAlign w:val="bottom"/>
          </w:tcPr>
          <w:p>
            <w:pPr>
              <w:spacing w:after="0"/>
              <w:rPr>
                <w:sz w:val="8"/>
                <w:szCs w:val="8"/>
                <w:color w:val="auto"/>
              </w:rPr>
            </w:pPr>
          </w:p>
        </w:tc>
        <w:tc>
          <w:tcPr>
            <w:tcW w:w="260" w:type="dxa"/>
            <w:vAlign w:val="bottom"/>
          </w:tcPr>
          <w:p>
            <w:pPr>
              <w:spacing w:after="0"/>
              <w:rPr>
                <w:sz w:val="8"/>
                <w:szCs w:val="8"/>
                <w:color w:val="auto"/>
              </w:rPr>
            </w:pPr>
          </w:p>
        </w:tc>
        <w:tc>
          <w:tcPr>
            <w:tcW w:w="600" w:type="dxa"/>
            <w:vAlign w:val="bottom"/>
          </w:tcPr>
          <w:p>
            <w:pPr>
              <w:spacing w:after="0"/>
              <w:rPr>
                <w:sz w:val="8"/>
                <w:szCs w:val="8"/>
                <w:color w:val="auto"/>
              </w:rPr>
            </w:pPr>
          </w:p>
        </w:tc>
        <w:tc>
          <w:tcPr>
            <w:tcW w:w="560" w:type="dxa"/>
            <w:vAlign w:val="bottom"/>
          </w:tcPr>
          <w:p>
            <w:pPr>
              <w:spacing w:after="0"/>
              <w:rPr>
                <w:sz w:val="8"/>
                <w:szCs w:val="8"/>
                <w:color w:val="auto"/>
              </w:rPr>
            </w:pPr>
          </w:p>
        </w:tc>
        <w:tc>
          <w:tcPr>
            <w:tcW w:w="17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hanging="452"/>
        <w:spacing w:after="0" w:line="294" w:lineRule="auto"/>
        <w:tabs>
          <w:tab w:leader="none" w:pos="460" w:val="left"/>
        </w:tabs>
        <w:numPr>
          <w:ilvl w:val="0"/>
          <w:numId w:val="11"/>
        </w:numPr>
        <w:rPr>
          <w:rFonts w:ascii="Arial" w:cs="Arial" w:eastAsia="Arial" w:hAnsi="Arial"/>
          <w:sz w:val="16"/>
          <w:szCs w:val="16"/>
          <w:color w:val="auto"/>
        </w:rPr>
      </w:pPr>
      <w:r>
        <w:rPr>
          <w:rFonts w:ascii="Arial" w:cs="Arial" w:eastAsia="Arial" w:hAnsi="Arial"/>
          <w:sz w:val="16"/>
          <w:szCs w:val="16"/>
          <w:color w:val="auto"/>
        </w:rPr>
        <w:t>On July 1, 2011, we announced that our board of directors authorized us to repurchase up to an additional $500 million of our outstanding common shares under our share repurchase program, which increased the total number of shares authorized for repurchase to $1.5 billion. We intend to affect the repurchase program in accordance with the conditions of Rule 10b-18 under the Exchange Act. The repurchase program will be subject to market conditions and other factors and does not obligate us to repurchase any dollar amount or number of our common shares. The program may be extended, modified, suspended or discontinued at any time. We may utilize privately negotiated transactions in order to effect our repurchases.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920" w:type="dxa"/>
            <w:vAlign w:val="bottom"/>
          </w:tcPr>
          <w:p>
            <w:pPr>
              <w:ind w:left="100"/>
              <w:spacing w:after="0"/>
              <w:rPr>
                <w:sz w:val="20"/>
                <w:szCs w:val="20"/>
                <w:color w:val="auto"/>
              </w:rPr>
            </w:pPr>
            <w:r>
              <w:rPr>
                <w:rFonts w:ascii="Arial" w:cs="Arial" w:eastAsia="Arial" w:hAnsi="Arial"/>
                <w:sz w:val="18"/>
                <w:szCs w:val="18"/>
                <w:color w:val="auto"/>
              </w:rPr>
              <w:t>10.1#</w:t>
            </w:r>
          </w:p>
        </w:tc>
        <w:tc>
          <w:tcPr>
            <w:tcW w:w="10360" w:type="dxa"/>
            <w:vAlign w:val="bottom"/>
          </w:tcPr>
          <w:p>
            <w:pPr>
              <w:ind w:left="240"/>
              <w:spacing w:after="0"/>
              <w:rPr>
                <w:sz w:val="20"/>
                <w:szCs w:val="20"/>
                <w:color w:val="auto"/>
              </w:rPr>
            </w:pPr>
            <w:r>
              <w:rPr>
                <w:rFonts w:ascii="Arial" w:cs="Arial" w:eastAsia="Arial" w:hAnsi="Arial"/>
                <w:sz w:val="18"/>
                <w:szCs w:val="18"/>
                <w:color w:val="auto"/>
                <w:w w:val="89"/>
              </w:rPr>
              <w:t>Marvell Technology Group Ltd. 2007 Director Stock Incentive Plan, incorporated by reference to Exhibit 10.1 of the registrant’s Current Report</w:t>
            </w:r>
          </w:p>
        </w:tc>
      </w:tr>
      <w:tr>
        <w:trPr>
          <w:trHeight w:val="222"/>
        </w:trPr>
        <w:tc>
          <w:tcPr>
            <w:tcW w:w="920" w:type="dxa"/>
            <w:vAlign w:val="bottom"/>
          </w:tcPr>
          <w:p>
            <w:pPr>
              <w:spacing w:after="0"/>
              <w:rPr>
                <w:sz w:val="19"/>
                <w:szCs w:val="19"/>
                <w:color w:val="auto"/>
              </w:rPr>
            </w:pPr>
          </w:p>
        </w:tc>
        <w:tc>
          <w:tcPr>
            <w:tcW w:w="10360" w:type="dxa"/>
            <w:vAlign w:val="bottom"/>
          </w:tcPr>
          <w:p>
            <w:pPr>
              <w:ind w:left="240"/>
              <w:spacing w:after="0"/>
              <w:rPr>
                <w:sz w:val="20"/>
                <w:szCs w:val="20"/>
                <w:color w:val="auto"/>
              </w:rPr>
            </w:pPr>
            <w:r>
              <w:rPr>
                <w:rFonts w:ascii="Arial" w:cs="Arial" w:eastAsia="Arial" w:hAnsi="Arial"/>
                <w:sz w:val="18"/>
                <w:szCs w:val="18"/>
                <w:color w:val="auto"/>
              </w:rPr>
              <w:t>on Form 8-K as filed on July 1, 2011.</w:t>
            </w:r>
          </w:p>
        </w:tc>
      </w:tr>
      <w:tr>
        <w:trPr>
          <w:trHeight w:val="318"/>
        </w:trPr>
        <w:tc>
          <w:tcPr>
            <w:tcW w:w="920" w:type="dxa"/>
            <w:vAlign w:val="bottom"/>
          </w:tcPr>
          <w:p>
            <w:pPr>
              <w:ind w:left="100"/>
              <w:spacing w:after="0"/>
              <w:rPr>
                <w:sz w:val="20"/>
                <w:szCs w:val="20"/>
                <w:color w:val="auto"/>
              </w:rPr>
            </w:pPr>
            <w:r>
              <w:rPr>
                <w:rFonts w:ascii="Arial" w:cs="Arial" w:eastAsia="Arial" w:hAnsi="Arial"/>
                <w:sz w:val="18"/>
                <w:szCs w:val="18"/>
                <w:color w:val="auto"/>
              </w:rPr>
              <w:t>10.2#</w:t>
            </w:r>
          </w:p>
        </w:tc>
        <w:tc>
          <w:tcPr>
            <w:tcW w:w="10360" w:type="dxa"/>
            <w:vAlign w:val="bottom"/>
          </w:tcPr>
          <w:p>
            <w:pPr>
              <w:ind w:left="240"/>
              <w:spacing w:after="0"/>
              <w:rPr>
                <w:sz w:val="20"/>
                <w:szCs w:val="20"/>
                <w:color w:val="auto"/>
              </w:rPr>
            </w:pPr>
            <w:r>
              <w:rPr>
                <w:rFonts w:ascii="Arial" w:cs="Arial" w:eastAsia="Arial" w:hAnsi="Arial"/>
                <w:sz w:val="18"/>
                <w:szCs w:val="18"/>
                <w:color w:val="auto"/>
                <w:w w:val="93"/>
              </w:rPr>
              <w:t>Form of Stock Unit Agreement and Notice of Grant of Award and Award Agreement for use with the 2007 Director Stock Incentive Plan,</w:t>
            </w:r>
          </w:p>
        </w:tc>
      </w:tr>
      <w:tr>
        <w:trPr>
          <w:trHeight w:val="222"/>
        </w:trPr>
        <w:tc>
          <w:tcPr>
            <w:tcW w:w="920" w:type="dxa"/>
            <w:vAlign w:val="bottom"/>
          </w:tcPr>
          <w:p>
            <w:pPr>
              <w:spacing w:after="0"/>
              <w:rPr>
                <w:sz w:val="19"/>
                <w:szCs w:val="19"/>
                <w:color w:val="auto"/>
              </w:rPr>
            </w:pPr>
          </w:p>
        </w:tc>
        <w:tc>
          <w:tcPr>
            <w:tcW w:w="10360" w:type="dxa"/>
            <w:vAlign w:val="bottom"/>
          </w:tcPr>
          <w:p>
            <w:pPr>
              <w:ind w:left="240"/>
              <w:spacing w:after="0"/>
              <w:rPr>
                <w:sz w:val="20"/>
                <w:szCs w:val="20"/>
                <w:color w:val="auto"/>
              </w:rPr>
            </w:pPr>
            <w:r>
              <w:rPr>
                <w:rFonts w:ascii="Arial" w:cs="Arial" w:eastAsia="Arial" w:hAnsi="Arial"/>
                <w:sz w:val="18"/>
                <w:szCs w:val="18"/>
                <w:color w:val="auto"/>
              </w:rPr>
              <w:t>incorporated by reference to Exhibit 10.2 of the registrant’s Current Report on Form 8-K as filed on July 1, 2011.</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1036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1036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1036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1036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103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103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103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103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103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103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color w:val="auto"/>
        </w:rPr>
        <w:t>#  Management contracts or compensation plans or arrangements in which directors or executive officers are eligible to participate.</w:t>
      </w:r>
    </w:p>
    <w:p>
      <w:pPr>
        <w:spacing w:after="0" w:line="15" w:lineRule="exact"/>
        <w:rPr>
          <w:sz w:val="20"/>
          <w:szCs w:val="20"/>
          <w:color w:val="auto"/>
        </w:rPr>
      </w:pPr>
    </w:p>
    <w:p>
      <w:pPr>
        <w:jc w:val="both"/>
        <w:ind w:left="220" w:right="520" w:hanging="212"/>
        <w:spacing w:after="0" w:line="302" w:lineRule="auto"/>
        <w:tabs>
          <w:tab w:leader="none" w:pos="220" w:val="left"/>
        </w:tabs>
        <w:numPr>
          <w:ilvl w:val="0"/>
          <w:numId w:val="12"/>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280"/>
          </w:cols>
          <w:pgMar w:left="240" w:top="459" w:right="37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420" w:type="dxa"/>
            <w:vAlign w:val="bottom"/>
          </w:tcPr>
          <w:p>
            <w:pPr>
              <w:spacing w:after="0"/>
              <w:rPr>
                <w:sz w:val="19"/>
                <w:szCs w:val="19"/>
                <w:color w:val="auto"/>
              </w:rPr>
            </w:pPr>
          </w:p>
        </w:tc>
        <w:tc>
          <w:tcPr>
            <w:tcW w:w="8000" w:type="dxa"/>
            <w:vAlign w:val="bottom"/>
            <w:gridSpan w:val="2"/>
          </w:tcPr>
          <w:p>
            <w:pPr>
              <w:ind w:left="2080"/>
              <w:spacing w:after="0"/>
              <w:rPr>
                <w:sz w:val="20"/>
                <w:szCs w:val="20"/>
                <w:color w:val="auto"/>
              </w:rPr>
            </w:pPr>
            <w:r>
              <w:rPr>
                <w:rFonts w:ascii="Arial" w:cs="Arial" w:eastAsia="Arial" w:hAnsi="Arial"/>
                <w:sz w:val="18"/>
                <w:szCs w:val="18"/>
                <w:color w:val="auto"/>
              </w:rPr>
              <w:t>MARVELL TECHNOLOGY GROUP LTD.</w:t>
            </w:r>
          </w:p>
        </w:tc>
      </w:tr>
      <w:tr>
        <w:trPr>
          <w:trHeight w:val="432"/>
        </w:trPr>
        <w:tc>
          <w:tcPr>
            <w:tcW w:w="3420" w:type="dxa"/>
            <w:vAlign w:val="bottom"/>
          </w:tcPr>
          <w:p>
            <w:pPr>
              <w:spacing w:after="0"/>
              <w:rPr>
                <w:sz w:val="20"/>
                <w:szCs w:val="20"/>
                <w:color w:val="auto"/>
              </w:rPr>
            </w:pPr>
            <w:r>
              <w:rPr>
                <w:rFonts w:ascii="Arial" w:cs="Arial" w:eastAsia="Arial" w:hAnsi="Arial"/>
                <w:sz w:val="18"/>
                <w:szCs w:val="18"/>
                <w:color w:val="auto"/>
              </w:rPr>
              <w:t>September 6, 2011</w:t>
            </w:r>
          </w:p>
        </w:tc>
        <w:tc>
          <w:tcPr>
            <w:tcW w:w="2540" w:type="dxa"/>
            <w:vAlign w:val="bottom"/>
          </w:tcPr>
          <w:p>
            <w:pPr>
              <w:ind w:left="2080"/>
              <w:spacing w:after="0"/>
              <w:rPr>
                <w:sz w:val="20"/>
                <w:szCs w:val="20"/>
                <w:color w:val="auto"/>
              </w:rPr>
            </w:pPr>
            <w:r>
              <w:rPr>
                <w:rFonts w:ascii="Arial" w:cs="Arial" w:eastAsia="Arial" w:hAnsi="Arial"/>
                <w:sz w:val="18"/>
                <w:szCs w:val="18"/>
                <w:color w:val="auto"/>
              </w:rPr>
              <w:t>By:</w:t>
            </w:r>
          </w:p>
        </w:tc>
        <w:tc>
          <w:tcPr>
            <w:tcW w:w="5460" w:type="dxa"/>
            <w:vAlign w:val="bottom"/>
            <w:tcBorders>
              <w:bottom w:val="single" w:sz="8" w:color="auto"/>
            </w:tcBorders>
          </w:tcPr>
          <w:p>
            <w:pPr>
              <w:ind w:left="180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tc>
      </w:tr>
      <w:tr>
        <w:trPr>
          <w:trHeight w:val="199"/>
        </w:trPr>
        <w:tc>
          <w:tcPr>
            <w:tcW w:w="3420" w:type="dxa"/>
            <w:vAlign w:val="bottom"/>
          </w:tcPr>
          <w:p>
            <w:pPr>
              <w:spacing w:after="0" w:line="200" w:lineRule="exact"/>
              <w:rPr>
                <w:sz w:val="20"/>
                <w:szCs w:val="20"/>
                <w:color w:val="auto"/>
              </w:rPr>
            </w:pPr>
            <w:r>
              <w:rPr>
                <w:rFonts w:ascii="Arial" w:cs="Arial" w:eastAsia="Arial" w:hAnsi="Arial"/>
                <w:sz w:val="18"/>
                <w:szCs w:val="18"/>
                <w:color w:val="auto"/>
              </w:rPr>
              <w:t>Date</w:t>
            </w:r>
          </w:p>
        </w:tc>
        <w:tc>
          <w:tcPr>
            <w:tcW w:w="2540" w:type="dxa"/>
            <w:vAlign w:val="bottom"/>
          </w:tcPr>
          <w:p>
            <w:pPr>
              <w:spacing w:after="0"/>
              <w:rPr>
                <w:sz w:val="17"/>
                <w:szCs w:val="17"/>
                <w:color w:val="auto"/>
              </w:rPr>
            </w:pPr>
          </w:p>
        </w:tc>
        <w:tc>
          <w:tcPr>
            <w:tcW w:w="5460" w:type="dxa"/>
            <w:vAlign w:val="bottom"/>
          </w:tcPr>
          <w:p>
            <w:pPr>
              <w:ind w:left="2320"/>
              <w:spacing w:after="0"/>
              <w:rPr>
                <w:sz w:val="20"/>
                <w:szCs w:val="20"/>
                <w:color w:val="auto"/>
              </w:rPr>
            </w:pPr>
            <w:r>
              <w:rPr>
                <w:rFonts w:ascii="Arial" w:cs="Arial" w:eastAsia="Arial" w:hAnsi="Arial"/>
                <w:sz w:val="14"/>
                <w:szCs w:val="14"/>
                <w:b w:val="1"/>
                <w:bCs w:val="1"/>
                <w:color w:val="auto"/>
              </w:rPr>
              <w:t>Clyde R. Hosein</w:t>
            </w:r>
          </w:p>
        </w:tc>
      </w:tr>
    </w:tbl>
    <w:p>
      <w:pPr>
        <w:ind w:left="7680"/>
        <w:spacing w:after="0"/>
        <w:rPr>
          <w:sz w:val="20"/>
          <w:szCs w:val="20"/>
          <w:color w:val="auto"/>
        </w:rPr>
      </w:pPr>
      <w:r>
        <w:rPr>
          <w:rFonts w:ascii="Arial" w:cs="Arial" w:eastAsia="Arial" w:hAnsi="Arial"/>
          <w:sz w:val="14"/>
          <w:szCs w:val="14"/>
          <w:b w:val="1"/>
          <w:bCs w:val="1"/>
          <w:i w:val="1"/>
          <w:iCs w:val="1"/>
          <w:color w:val="auto"/>
        </w:rPr>
        <w:t>Chief Financial Officer and Secretary</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10360" w:type="dxa"/>
            <w:vAlign w:val="bottom"/>
          </w:tcPr>
          <w:p>
            <w:pPr>
              <w:ind w:left="4120"/>
              <w:spacing w:after="0"/>
              <w:rPr>
                <w:sz w:val="20"/>
                <w:szCs w:val="20"/>
                <w:color w:val="auto"/>
              </w:rPr>
            </w:pPr>
            <w:r>
              <w:rPr>
                <w:rFonts w:ascii="Arial" w:cs="Arial" w:eastAsia="Arial" w:hAnsi="Arial"/>
                <w:sz w:val="18"/>
                <w:szCs w:val="18"/>
                <w:b w:val="1"/>
                <w:bCs w:val="1"/>
                <w:color w:val="auto"/>
              </w:rPr>
              <w:t>EXHIBIT INDEX</w:t>
            </w:r>
          </w:p>
        </w:tc>
      </w:tr>
      <w:tr>
        <w:trPr>
          <w:trHeight w:val="520"/>
        </w:trPr>
        <w:tc>
          <w:tcPr>
            <w:tcW w:w="920" w:type="dxa"/>
            <w:vAlign w:val="bottom"/>
          </w:tcPr>
          <w:p>
            <w:pPr>
              <w:ind w:left="100"/>
              <w:spacing w:after="0"/>
              <w:rPr>
                <w:sz w:val="20"/>
                <w:szCs w:val="20"/>
                <w:color w:val="auto"/>
              </w:rPr>
            </w:pPr>
            <w:r>
              <w:rPr>
                <w:rFonts w:ascii="Arial" w:cs="Arial" w:eastAsia="Arial" w:hAnsi="Arial"/>
                <w:sz w:val="18"/>
                <w:szCs w:val="18"/>
                <w:color w:val="auto"/>
              </w:rPr>
              <w:t>10.1#</w:t>
            </w:r>
          </w:p>
        </w:tc>
        <w:tc>
          <w:tcPr>
            <w:tcW w:w="10360" w:type="dxa"/>
            <w:vAlign w:val="bottom"/>
          </w:tcPr>
          <w:p>
            <w:pPr>
              <w:ind w:left="240"/>
              <w:spacing w:after="0"/>
              <w:rPr>
                <w:sz w:val="20"/>
                <w:szCs w:val="20"/>
                <w:color w:val="auto"/>
              </w:rPr>
            </w:pPr>
            <w:r>
              <w:rPr>
                <w:rFonts w:ascii="Arial" w:cs="Arial" w:eastAsia="Arial" w:hAnsi="Arial"/>
                <w:sz w:val="18"/>
                <w:szCs w:val="18"/>
                <w:color w:val="auto"/>
                <w:w w:val="89"/>
              </w:rPr>
              <w:t>Marvell Technology Group Ltd. 2007 Director Stock Incentive Plan, incorporated by reference to Exhibit 10.1 of the registrant’s Current Report</w:t>
            </w:r>
          </w:p>
        </w:tc>
      </w:tr>
      <w:tr>
        <w:trPr>
          <w:trHeight w:val="222"/>
        </w:trPr>
        <w:tc>
          <w:tcPr>
            <w:tcW w:w="920" w:type="dxa"/>
            <w:vAlign w:val="bottom"/>
          </w:tcPr>
          <w:p>
            <w:pPr>
              <w:spacing w:after="0"/>
              <w:rPr>
                <w:sz w:val="19"/>
                <w:szCs w:val="19"/>
                <w:color w:val="auto"/>
              </w:rPr>
            </w:pPr>
          </w:p>
        </w:tc>
        <w:tc>
          <w:tcPr>
            <w:tcW w:w="10360" w:type="dxa"/>
            <w:vAlign w:val="bottom"/>
          </w:tcPr>
          <w:p>
            <w:pPr>
              <w:ind w:left="240"/>
              <w:spacing w:after="0"/>
              <w:rPr>
                <w:sz w:val="20"/>
                <w:szCs w:val="20"/>
                <w:color w:val="auto"/>
              </w:rPr>
            </w:pPr>
            <w:r>
              <w:rPr>
                <w:rFonts w:ascii="Arial" w:cs="Arial" w:eastAsia="Arial" w:hAnsi="Arial"/>
                <w:sz w:val="18"/>
                <w:szCs w:val="18"/>
                <w:color w:val="auto"/>
              </w:rPr>
              <w:t>on Form 8-K as filed on July 1, 2011.</w:t>
            </w:r>
          </w:p>
        </w:tc>
      </w:tr>
      <w:tr>
        <w:trPr>
          <w:trHeight w:val="318"/>
        </w:trPr>
        <w:tc>
          <w:tcPr>
            <w:tcW w:w="920" w:type="dxa"/>
            <w:vAlign w:val="bottom"/>
          </w:tcPr>
          <w:p>
            <w:pPr>
              <w:ind w:left="100"/>
              <w:spacing w:after="0"/>
              <w:rPr>
                <w:sz w:val="20"/>
                <w:szCs w:val="20"/>
                <w:color w:val="auto"/>
              </w:rPr>
            </w:pPr>
            <w:r>
              <w:rPr>
                <w:rFonts w:ascii="Arial" w:cs="Arial" w:eastAsia="Arial" w:hAnsi="Arial"/>
                <w:sz w:val="18"/>
                <w:szCs w:val="18"/>
                <w:color w:val="auto"/>
              </w:rPr>
              <w:t>10.2#</w:t>
            </w:r>
          </w:p>
        </w:tc>
        <w:tc>
          <w:tcPr>
            <w:tcW w:w="10360" w:type="dxa"/>
            <w:vAlign w:val="bottom"/>
          </w:tcPr>
          <w:p>
            <w:pPr>
              <w:ind w:left="240"/>
              <w:spacing w:after="0"/>
              <w:rPr>
                <w:sz w:val="20"/>
                <w:szCs w:val="20"/>
                <w:color w:val="auto"/>
              </w:rPr>
            </w:pPr>
            <w:r>
              <w:rPr>
                <w:rFonts w:ascii="Arial" w:cs="Arial" w:eastAsia="Arial" w:hAnsi="Arial"/>
                <w:sz w:val="18"/>
                <w:szCs w:val="18"/>
                <w:color w:val="auto"/>
                <w:w w:val="93"/>
              </w:rPr>
              <w:t>Form of Stock Unit Agreement and Notice of Grant of Award and Award Agreement for use with the 2007 Director Stock Incentive Plan,</w:t>
            </w:r>
          </w:p>
        </w:tc>
      </w:tr>
      <w:tr>
        <w:trPr>
          <w:trHeight w:val="222"/>
        </w:trPr>
        <w:tc>
          <w:tcPr>
            <w:tcW w:w="920" w:type="dxa"/>
            <w:vAlign w:val="bottom"/>
          </w:tcPr>
          <w:p>
            <w:pPr>
              <w:spacing w:after="0"/>
              <w:rPr>
                <w:sz w:val="19"/>
                <w:szCs w:val="19"/>
                <w:color w:val="auto"/>
              </w:rPr>
            </w:pPr>
          </w:p>
        </w:tc>
        <w:tc>
          <w:tcPr>
            <w:tcW w:w="10360" w:type="dxa"/>
            <w:vAlign w:val="bottom"/>
          </w:tcPr>
          <w:p>
            <w:pPr>
              <w:ind w:left="240"/>
              <w:spacing w:after="0"/>
              <w:rPr>
                <w:sz w:val="20"/>
                <w:szCs w:val="20"/>
                <w:color w:val="auto"/>
              </w:rPr>
            </w:pPr>
            <w:r>
              <w:rPr>
                <w:rFonts w:ascii="Arial" w:cs="Arial" w:eastAsia="Arial" w:hAnsi="Arial"/>
                <w:sz w:val="18"/>
                <w:szCs w:val="18"/>
                <w:color w:val="auto"/>
              </w:rPr>
              <w:t>incorporated by reference to Exhibit 10.2 of the registrant’s Current Report on Form 8-K as filed on July 1, 2011.</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1036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1036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1036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1036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103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103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103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103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103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103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color w:val="auto"/>
        </w:rPr>
        <w:t>#  Management contracts or compensation plans or arrangements in which directors or executive officers are eligible to participate.</w:t>
      </w:r>
    </w:p>
    <w:p>
      <w:pPr>
        <w:spacing w:after="0" w:line="15" w:lineRule="exact"/>
        <w:rPr>
          <w:sz w:val="20"/>
          <w:szCs w:val="20"/>
          <w:color w:val="auto"/>
        </w:rPr>
      </w:pPr>
    </w:p>
    <w:p>
      <w:pPr>
        <w:jc w:val="both"/>
        <w:ind w:left="220" w:right="520" w:hanging="212"/>
        <w:spacing w:after="0" w:line="302" w:lineRule="auto"/>
        <w:tabs>
          <w:tab w:leader="none" w:pos="220" w:val="left"/>
        </w:tabs>
        <w:numPr>
          <w:ilvl w:val="0"/>
          <w:numId w:val="13"/>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280"/>
          </w:cols>
          <w:pgMar w:left="240" w:top="459" w:right="379" w:bottom="1440" w:gutter="0" w:footer="0" w:header="0"/>
        </w:sectPr>
      </w:pPr>
    </w:p>
    <w:bookmarkStart w:id="46" w:name="page47"/>
    <w:bookmarkEnd w:id="46"/>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4"/>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4"/>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4"/>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4"/>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4"/>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4"/>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389" w:lineRule="exact"/>
        <w:rPr>
          <w:sz w:val="20"/>
          <w:szCs w:val="20"/>
          <w:color w:val="auto"/>
        </w:rPr>
      </w:pPr>
    </w:p>
    <w:tbl>
      <w:tblPr>
        <w:tblLayout w:type="fixed"/>
        <w:tblInd w:w="120" w:type="dxa"/>
        <w:tblCellMar>
          <w:top w:w="0" w:type="dxa"/>
          <w:left w:w="0" w:type="dxa"/>
          <w:bottom w:w="0" w:type="dxa"/>
          <w:right w:w="0" w:type="dxa"/>
        </w:tblCellMar>
      </w:tblPr>
      <w:tr>
        <w:trPr>
          <w:trHeight w:val="223"/>
        </w:trPr>
        <w:tc>
          <w:tcPr>
            <w:tcW w:w="3780" w:type="dxa"/>
            <w:vAlign w:val="bottom"/>
          </w:tcPr>
          <w:p>
            <w:pPr>
              <w:spacing w:after="0"/>
              <w:rPr>
                <w:sz w:val="20"/>
                <w:szCs w:val="20"/>
                <w:color w:val="auto"/>
              </w:rPr>
            </w:pPr>
            <w:r>
              <w:rPr>
                <w:rFonts w:ascii="Arial" w:cs="Arial" w:eastAsia="Arial" w:hAnsi="Arial"/>
                <w:sz w:val="18"/>
                <w:szCs w:val="18"/>
                <w:color w:val="auto"/>
              </w:rPr>
              <w:t>Date: September 6, 2011</w:t>
            </w:r>
          </w:p>
        </w:tc>
        <w:tc>
          <w:tcPr>
            <w:tcW w:w="7520" w:type="dxa"/>
            <w:vAlign w:val="bottom"/>
            <w:gridSpan w:val="2"/>
          </w:tcPr>
          <w:p>
            <w:pPr>
              <w:ind w:left="2020"/>
              <w:spacing w:after="0"/>
              <w:rPr>
                <w:sz w:val="20"/>
                <w:szCs w:val="20"/>
                <w:color w:val="auto"/>
              </w:rPr>
            </w:pPr>
            <w:r>
              <w:rPr>
                <w:rFonts w:ascii="Arial" w:cs="Arial" w:eastAsia="Arial" w:hAnsi="Arial"/>
                <w:sz w:val="18"/>
                <w:szCs w:val="18"/>
                <w:color w:val="auto"/>
              </w:rPr>
              <w:t>By:  /s/ S</w:t>
            </w:r>
            <w:r>
              <w:rPr>
                <w:rFonts w:ascii="Arial" w:cs="Arial" w:eastAsia="Arial" w:hAnsi="Arial"/>
                <w:sz w:val="14"/>
                <w:szCs w:val="14"/>
                <w:color w:val="auto"/>
              </w:rPr>
              <w:t>EHAT</w:t>
            </w:r>
            <w:r>
              <w:rPr>
                <w:rFonts w:ascii="Arial" w:cs="Arial" w:eastAsia="Arial" w:hAnsi="Arial"/>
                <w:sz w:val="18"/>
                <w:szCs w:val="18"/>
                <w:color w:val="auto"/>
              </w:rPr>
              <w:t xml:space="preserve"> S</w:t>
            </w:r>
            <w:r>
              <w:rPr>
                <w:rFonts w:ascii="Arial" w:cs="Arial" w:eastAsia="Arial" w:hAnsi="Arial"/>
                <w:sz w:val="14"/>
                <w:szCs w:val="14"/>
                <w:color w:val="auto"/>
              </w:rPr>
              <w:t>UTARDJA</w:t>
            </w:r>
          </w:p>
        </w:tc>
      </w:tr>
      <w:tr>
        <w:trPr>
          <w:trHeight w:val="202"/>
        </w:trPr>
        <w:tc>
          <w:tcPr>
            <w:tcW w:w="3780" w:type="dxa"/>
            <w:vAlign w:val="bottom"/>
          </w:tcPr>
          <w:p>
            <w:pPr>
              <w:spacing w:after="0"/>
              <w:rPr>
                <w:sz w:val="17"/>
                <w:szCs w:val="17"/>
                <w:color w:val="auto"/>
              </w:rPr>
            </w:pPr>
          </w:p>
        </w:tc>
        <w:tc>
          <w:tcPr>
            <w:tcW w:w="2280" w:type="dxa"/>
            <w:vAlign w:val="bottom"/>
          </w:tcPr>
          <w:p>
            <w:pPr>
              <w:spacing w:after="0"/>
              <w:rPr>
                <w:sz w:val="17"/>
                <w:szCs w:val="17"/>
                <w:color w:val="auto"/>
              </w:rPr>
            </w:pPr>
          </w:p>
        </w:tc>
        <w:tc>
          <w:tcPr>
            <w:tcW w:w="5240" w:type="dxa"/>
            <w:vAlign w:val="bottom"/>
            <w:tcBorders>
              <w:top w:val="single" w:sz="8" w:color="auto"/>
            </w:tcBorders>
          </w:tcPr>
          <w:p>
            <w:pPr>
              <w:ind w:left="100"/>
              <w:spacing w:after="0" w:line="202" w:lineRule="exact"/>
              <w:rPr>
                <w:sz w:val="20"/>
                <w:szCs w:val="20"/>
                <w:color w:val="auto"/>
              </w:rPr>
            </w:pPr>
            <w:r>
              <w:rPr>
                <w:rFonts w:ascii="Arial" w:cs="Arial" w:eastAsia="Arial" w:hAnsi="Arial"/>
                <w:sz w:val="18"/>
                <w:szCs w:val="18"/>
                <w:color w:val="auto"/>
              </w:rPr>
              <w:t>Sehat Sutardja, Ph.D.</w:t>
            </w:r>
          </w:p>
        </w:tc>
      </w:tr>
      <w:tr>
        <w:trPr>
          <w:trHeight w:val="222"/>
        </w:trPr>
        <w:tc>
          <w:tcPr>
            <w:tcW w:w="3780" w:type="dxa"/>
            <w:vAlign w:val="bottom"/>
          </w:tcPr>
          <w:p>
            <w:pPr>
              <w:spacing w:after="0"/>
              <w:rPr>
                <w:sz w:val="19"/>
                <w:szCs w:val="19"/>
                <w:color w:val="auto"/>
              </w:rPr>
            </w:pPr>
          </w:p>
        </w:tc>
        <w:tc>
          <w:tcPr>
            <w:tcW w:w="2280" w:type="dxa"/>
            <w:vAlign w:val="bottom"/>
          </w:tcPr>
          <w:p>
            <w:pPr>
              <w:spacing w:after="0"/>
              <w:rPr>
                <w:sz w:val="19"/>
                <w:szCs w:val="19"/>
                <w:color w:val="auto"/>
              </w:rPr>
            </w:pPr>
          </w:p>
        </w:tc>
        <w:tc>
          <w:tcPr>
            <w:tcW w:w="5240" w:type="dxa"/>
            <w:vAlign w:val="bottom"/>
          </w:tcPr>
          <w:p>
            <w:pPr>
              <w:ind w:left="100"/>
              <w:spacing w:after="0"/>
              <w:rPr>
                <w:sz w:val="20"/>
                <w:szCs w:val="20"/>
                <w:color w:val="auto"/>
              </w:rPr>
            </w:pPr>
            <w:r>
              <w:rPr>
                <w:rFonts w:ascii="Arial" w:cs="Arial" w:eastAsia="Arial" w:hAnsi="Arial"/>
                <w:sz w:val="18"/>
                <w:szCs w:val="18"/>
                <w:color w:val="auto"/>
              </w:rPr>
              <w:t>President and Chief Executive Officer</w:t>
            </w:r>
          </w:p>
        </w:tc>
      </w:tr>
    </w:tbl>
    <w:p>
      <w:pPr>
        <w:sectPr>
          <w:pgSz w:w="11900" w:h="16838" w:orient="portrait"/>
          <w:cols w:equalWidth="0" w:num="1">
            <w:col w:w="11420"/>
          </w:cols>
          <w:pgMar w:left="240" w:top="125" w:right="239" w:bottom="1440" w:gutter="0" w:footer="0" w:header="0"/>
        </w:sectPr>
      </w:pPr>
    </w:p>
    <w:bookmarkStart w:id="47" w:name="page48"/>
    <w:bookmarkEnd w:id="47"/>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5"/>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5"/>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389" w:lineRule="exact"/>
        <w:rPr>
          <w:sz w:val="20"/>
          <w:szCs w:val="20"/>
          <w:color w:val="auto"/>
        </w:rPr>
      </w:pPr>
    </w:p>
    <w:tbl>
      <w:tblPr>
        <w:tblLayout w:type="fixed"/>
        <w:tblInd w:w="120" w:type="dxa"/>
        <w:tblCellMar>
          <w:top w:w="0" w:type="dxa"/>
          <w:left w:w="0" w:type="dxa"/>
          <w:bottom w:w="0" w:type="dxa"/>
          <w:right w:w="0" w:type="dxa"/>
        </w:tblCellMar>
      </w:tblPr>
      <w:tr>
        <w:trPr>
          <w:trHeight w:val="223"/>
        </w:trPr>
        <w:tc>
          <w:tcPr>
            <w:tcW w:w="3780" w:type="dxa"/>
            <w:vAlign w:val="bottom"/>
          </w:tcPr>
          <w:p>
            <w:pPr>
              <w:spacing w:after="0"/>
              <w:rPr>
                <w:sz w:val="20"/>
                <w:szCs w:val="20"/>
                <w:color w:val="auto"/>
              </w:rPr>
            </w:pPr>
            <w:r>
              <w:rPr>
                <w:rFonts w:ascii="Arial" w:cs="Arial" w:eastAsia="Arial" w:hAnsi="Arial"/>
                <w:sz w:val="18"/>
                <w:szCs w:val="18"/>
                <w:color w:val="auto"/>
              </w:rPr>
              <w:t>Date: September 6, 2011</w:t>
            </w:r>
          </w:p>
        </w:tc>
        <w:tc>
          <w:tcPr>
            <w:tcW w:w="7520" w:type="dxa"/>
            <w:vAlign w:val="bottom"/>
            <w:gridSpan w:val="2"/>
          </w:tcPr>
          <w:p>
            <w:pPr>
              <w:ind w:left="2020"/>
              <w:spacing w:after="0"/>
              <w:rPr>
                <w:sz w:val="20"/>
                <w:szCs w:val="20"/>
                <w:color w:val="auto"/>
              </w:rPr>
            </w:pPr>
            <w:r>
              <w:rPr>
                <w:rFonts w:ascii="Arial" w:cs="Arial" w:eastAsia="Arial" w:hAnsi="Arial"/>
                <w:sz w:val="18"/>
                <w:szCs w:val="18"/>
                <w:color w:val="auto"/>
              </w:rPr>
              <w:t>By:  /s/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tc>
      </w:tr>
      <w:tr>
        <w:trPr>
          <w:trHeight w:val="202"/>
        </w:trPr>
        <w:tc>
          <w:tcPr>
            <w:tcW w:w="3780" w:type="dxa"/>
            <w:vAlign w:val="bottom"/>
          </w:tcPr>
          <w:p>
            <w:pPr>
              <w:spacing w:after="0"/>
              <w:rPr>
                <w:sz w:val="17"/>
                <w:szCs w:val="17"/>
                <w:color w:val="auto"/>
              </w:rPr>
            </w:pPr>
          </w:p>
        </w:tc>
        <w:tc>
          <w:tcPr>
            <w:tcW w:w="2280" w:type="dxa"/>
            <w:vAlign w:val="bottom"/>
          </w:tcPr>
          <w:p>
            <w:pPr>
              <w:spacing w:after="0"/>
              <w:rPr>
                <w:sz w:val="17"/>
                <w:szCs w:val="17"/>
                <w:color w:val="auto"/>
              </w:rPr>
            </w:pPr>
          </w:p>
        </w:tc>
        <w:tc>
          <w:tcPr>
            <w:tcW w:w="5240" w:type="dxa"/>
            <w:vAlign w:val="bottom"/>
            <w:tcBorders>
              <w:top w:val="single" w:sz="8" w:color="auto"/>
            </w:tcBorders>
          </w:tcPr>
          <w:p>
            <w:pPr>
              <w:ind w:left="100"/>
              <w:spacing w:after="0" w:line="202" w:lineRule="exact"/>
              <w:rPr>
                <w:sz w:val="20"/>
                <w:szCs w:val="20"/>
                <w:color w:val="auto"/>
              </w:rPr>
            </w:pPr>
            <w:r>
              <w:rPr>
                <w:rFonts w:ascii="Arial" w:cs="Arial" w:eastAsia="Arial" w:hAnsi="Arial"/>
                <w:sz w:val="18"/>
                <w:szCs w:val="18"/>
                <w:color w:val="auto"/>
              </w:rPr>
              <w:t>Clyde R. Hosein</w:t>
            </w:r>
          </w:p>
        </w:tc>
      </w:tr>
      <w:tr>
        <w:trPr>
          <w:trHeight w:val="222"/>
        </w:trPr>
        <w:tc>
          <w:tcPr>
            <w:tcW w:w="3780" w:type="dxa"/>
            <w:vAlign w:val="bottom"/>
          </w:tcPr>
          <w:p>
            <w:pPr>
              <w:spacing w:after="0"/>
              <w:rPr>
                <w:sz w:val="19"/>
                <w:szCs w:val="19"/>
                <w:color w:val="auto"/>
              </w:rPr>
            </w:pPr>
          </w:p>
        </w:tc>
        <w:tc>
          <w:tcPr>
            <w:tcW w:w="2280" w:type="dxa"/>
            <w:vAlign w:val="bottom"/>
          </w:tcPr>
          <w:p>
            <w:pPr>
              <w:spacing w:after="0"/>
              <w:rPr>
                <w:sz w:val="19"/>
                <w:szCs w:val="19"/>
                <w:color w:val="auto"/>
              </w:rPr>
            </w:pPr>
          </w:p>
        </w:tc>
        <w:tc>
          <w:tcPr>
            <w:tcW w:w="5240" w:type="dxa"/>
            <w:vAlign w:val="bottom"/>
          </w:tcPr>
          <w:p>
            <w:pPr>
              <w:ind w:left="100"/>
              <w:spacing w:after="0"/>
              <w:rPr>
                <w:sz w:val="20"/>
                <w:szCs w:val="20"/>
                <w:color w:val="auto"/>
              </w:rPr>
            </w:pPr>
            <w:r>
              <w:rPr>
                <w:rFonts w:ascii="Arial" w:cs="Arial" w:eastAsia="Arial" w:hAnsi="Arial"/>
                <w:sz w:val="18"/>
                <w:szCs w:val="18"/>
                <w:color w:val="auto"/>
              </w:rPr>
              <w:t>Chief Financial Officer and Secretary</w:t>
            </w:r>
          </w:p>
        </w:tc>
      </w:tr>
    </w:tbl>
    <w:p>
      <w:pPr>
        <w:sectPr>
          <w:pgSz w:w="11900" w:h="16838" w:orient="portrait"/>
          <w:cols w:equalWidth="0" w:num="1">
            <w:col w:w="11420"/>
          </w:cols>
          <w:pgMar w:left="240" w:top="125" w:right="239" w:bottom="1440" w:gutter="0" w:footer="0" w:header="0"/>
        </w:sectPr>
      </w:pPr>
    </w:p>
    <w:bookmarkStart w:id="48" w:name="page49"/>
    <w:bookmarkEnd w:id="48"/>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500"/>
        <w:spacing w:after="0" w:line="332" w:lineRule="auto"/>
        <w:rPr>
          <w:sz w:val="20"/>
          <w:szCs w:val="20"/>
          <w:color w:val="auto"/>
        </w:rPr>
      </w:pPr>
      <w:r>
        <w:rPr>
          <w:rFonts w:ascii="Arial" w:cs="Arial" w:eastAsia="Arial" w:hAnsi="Arial"/>
          <w:sz w:val="16"/>
          <w:szCs w:val="16"/>
          <w:color w:val="auto"/>
        </w:rPr>
        <w:t>I, Sehat Sutardja Ph.D., the president and chief executive officer of Marvell Technology Group Ltd. (the “Company”), certify for the purposes of 18 U.S.C. Section 1350, as adopted pursuant to Section 906 of the Sarbanes-Oxley Act of 2002, that, to the best of my knowledge,</w:t>
      </w:r>
    </w:p>
    <w:p>
      <w:pPr>
        <w:spacing w:after="0" w:line="4" w:lineRule="exact"/>
        <w:rPr>
          <w:sz w:val="20"/>
          <w:szCs w:val="20"/>
          <w:color w:val="auto"/>
        </w:rPr>
      </w:pPr>
    </w:p>
    <w:p>
      <w:pPr>
        <w:ind w:left="900" w:hanging="446"/>
        <w:spacing w:after="0" w:line="268" w:lineRule="auto"/>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July 30, 2011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51"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S</w:t>
      </w:r>
      <w:r>
        <w:rPr>
          <w:rFonts w:ascii="Arial" w:cs="Arial" w:eastAsia="Arial" w:hAnsi="Arial"/>
          <w:sz w:val="14"/>
          <w:szCs w:val="14"/>
          <w:color w:val="auto"/>
        </w:rPr>
        <w:t>EHAT</w:t>
      </w:r>
      <w:r>
        <w:rPr>
          <w:rFonts w:ascii="Arial" w:cs="Arial" w:eastAsia="Arial" w:hAnsi="Arial"/>
          <w:sz w:val="18"/>
          <w:szCs w:val="18"/>
          <w:color w:val="auto"/>
        </w:rPr>
        <w:t xml:space="preserve"> S</w:t>
      </w:r>
      <w:r>
        <w:rPr>
          <w:rFonts w:ascii="Arial" w:cs="Arial" w:eastAsia="Arial" w:hAnsi="Arial"/>
          <w:sz w:val="14"/>
          <w:szCs w:val="14"/>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September 6, 2011</w:t>
      </w:r>
    </w:p>
    <w:p>
      <w:pPr>
        <w:sectPr>
          <w:pgSz w:w="11900" w:h="16838" w:orient="portrait"/>
          <w:cols w:equalWidth="0" w:num="1">
            <w:col w:w="11420"/>
          </w:cols>
          <w:pgMar w:left="240" w:top="125" w:right="239" w:bottom="1440" w:gutter="0" w:footer="0" w:header="0"/>
        </w:sectPr>
      </w:pPr>
    </w:p>
    <w:bookmarkStart w:id="49" w:name="page50"/>
    <w:bookmarkEnd w:id="49"/>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I, Clyde Hosein, the chief financial officer and secretary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hanging="446"/>
        <w:spacing w:after="0" w:line="268" w:lineRule="auto"/>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July 30, 2011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00" w:lineRule="exact"/>
        <w:rPr>
          <w:sz w:val="20"/>
          <w:szCs w:val="20"/>
          <w:color w:val="auto"/>
        </w:rPr>
      </w:pPr>
    </w:p>
    <w:p>
      <w:pPr>
        <w:spacing w:after="0" w:line="251"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 and Secretary</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September 6, 2011</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BD062C2"/>
    <w:multiLevelType w:val="hybridMultilevel"/>
    <w:lvl w:ilvl="0">
      <w:lvlJc w:val="left"/>
      <w:lvlText w:val="☒"/>
      <w:numFmt w:val="bullet"/>
      <w:start w:val="1"/>
    </w:lvl>
  </w:abstractNum>
  <w:abstractNum w:abstractNumId="1">
    <w:nsid w:val="12200854"/>
    <w:multiLevelType w:val="hybridMultilevel"/>
    <w:lvl w:ilvl="0">
      <w:lvlJc w:val="left"/>
      <w:lvlText w:val="☐"/>
      <w:numFmt w:val="bullet"/>
      <w:start w:val="1"/>
    </w:lvl>
  </w:abstractNum>
  <w:abstractNum w:abstractNumId="2">
    <w:nsid w:val="4DB127F8"/>
    <w:multiLevelType w:val="hybridMultilevel"/>
    <w:lvl w:ilvl="0">
      <w:lvlJc w:val="left"/>
      <w:lvlText w:val="*"/>
      <w:numFmt w:val="bullet"/>
      <w:start w:val="1"/>
    </w:lvl>
  </w:abstractNum>
  <w:abstractNum w:abstractNumId="3">
    <w:nsid w:val="216231B"/>
    <w:multiLevelType w:val="hybridMultilevel"/>
    <w:lvl w:ilvl="0">
      <w:lvlJc w:val="left"/>
      <w:lvlText w:val="•"/>
      <w:numFmt w:val="bullet"/>
      <w:start w:val="1"/>
    </w:lvl>
  </w:abstractNum>
  <w:abstractNum w:abstractNumId="4">
    <w:nsid w:val="1F16E9E8"/>
    <w:multiLevelType w:val="hybridMultilevel"/>
    <w:lvl w:ilvl="0">
      <w:lvlJc w:val="left"/>
      <w:lvlText w:val="•"/>
      <w:numFmt w:val="bullet"/>
      <w:start w:val="1"/>
    </w:lvl>
  </w:abstractNum>
  <w:abstractNum w:abstractNumId="5">
    <w:nsid w:val="1190CDE7"/>
    <w:multiLevelType w:val="hybridMultilevel"/>
    <w:lvl w:ilvl="0">
      <w:lvlJc w:val="left"/>
      <w:lvlText w:val="•"/>
      <w:numFmt w:val="bullet"/>
      <w:start w:val="1"/>
    </w:lvl>
  </w:abstractNum>
  <w:abstractNum w:abstractNumId="6">
    <w:nsid w:val="66EF438D"/>
    <w:multiLevelType w:val="hybridMultilevel"/>
    <w:lvl w:ilvl="0">
      <w:lvlJc w:val="left"/>
      <w:lvlText w:val="•"/>
      <w:numFmt w:val="bullet"/>
      <w:start w:val="1"/>
    </w:lvl>
  </w:abstractNum>
  <w:abstractNum w:abstractNumId="7">
    <w:nsid w:val="140E0F76"/>
    <w:multiLevelType w:val="hybridMultilevel"/>
    <w:lvl w:ilvl="0">
      <w:lvlJc w:val="left"/>
      <w:lvlText w:val="•"/>
      <w:numFmt w:val="bullet"/>
      <w:start w:val="1"/>
    </w:lvl>
  </w:abstractNum>
  <w:abstractNum w:abstractNumId="8">
    <w:nsid w:val="3352255A"/>
    <w:multiLevelType w:val="hybridMultilevel"/>
    <w:lvl w:ilvl="0">
      <w:lvlJc w:val="left"/>
      <w:lvlText w:val="•"/>
      <w:numFmt w:val="bullet"/>
      <w:start w:val="1"/>
    </w:lvl>
  </w:abstractNum>
  <w:abstractNum w:abstractNumId="9">
    <w:nsid w:val="109CF92E"/>
    <w:multiLevelType w:val="hybridMultilevel"/>
    <w:lvl w:ilvl="0">
      <w:lvlJc w:val="left"/>
      <w:lvlText w:val="•"/>
      <w:numFmt w:val="bullet"/>
      <w:start w:val="1"/>
    </w:lvl>
  </w:abstractNum>
  <w:abstractNum w:abstractNumId="10">
    <w:nsid w:val="DED7263"/>
    <w:multiLevelType w:val="hybridMultilevel"/>
    <w:lvl w:ilvl="0">
      <w:lvlJc w:val="left"/>
      <w:lvlText w:val="(%1)"/>
      <w:numFmt w:val="decimal"/>
      <w:start w:val="1"/>
    </w:lvl>
  </w:abstractNum>
  <w:abstractNum w:abstractNumId="11">
    <w:nsid w:val="7FDCC233"/>
    <w:multiLevelType w:val="hybridMultilevel"/>
    <w:lvl w:ilvl="0">
      <w:lvlJc w:val="left"/>
      <w:lvlText w:val="*"/>
      <w:numFmt w:val="bullet"/>
      <w:start w:val="1"/>
    </w:lvl>
  </w:abstractNum>
  <w:abstractNum w:abstractNumId="12">
    <w:nsid w:val="1BEFD79F"/>
    <w:multiLevelType w:val="hybridMultilevel"/>
    <w:lvl w:ilvl="0">
      <w:lvlJc w:val="left"/>
      <w:lvlText w:val="*"/>
      <w:numFmt w:val="bullet"/>
      <w:start w:val="1"/>
    </w:lvl>
  </w:abstractNum>
  <w:abstractNum w:abstractNumId="13">
    <w:nsid w:val="41A7C4C9"/>
    <w:multiLevelType w:val="hybridMultilevel"/>
    <w:lvl w:ilvl="0">
      <w:lvlJc w:val="left"/>
      <w:lvlText w:val="%1."/>
      <w:numFmt w:val="decimal"/>
      <w:start w:val="1"/>
    </w:lvl>
    <w:lvl w:ilvl="1">
      <w:lvlJc w:val="left"/>
      <w:lvlText w:val="%2)"/>
      <w:numFmt w:val="lowerLetter"/>
      <w:start w:val="1"/>
    </w:lvl>
  </w:abstractNum>
  <w:abstractNum w:abstractNumId="14">
    <w:nsid w:val="6B68079A"/>
    <w:multiLevelType w:val="hybridMultilevel"/>
    <w:lvl w:ilvl="0">
      <w:lvlJc w:val="left"/>
      <w:lvlText w:val="%1."/>
      <w:numFmt w:val="decimal"/>
      <w:start w:val="1"/>
    </w:lvl>
    <w:lvl w:ilvl="1">
      <w:lvlJc w:val="left"/>
      <w:lvlText w:val="%2)"/>
      <w:numFmt w:val="lowerLetter"/>
      <w:start w:val="1"/>
    </w:lvl>
  </w:abstractNum>
  <w:abstractNum w:abstractNumId="15">
    <w:nsid w:val="4E6AFB66"/>
    <w:multiLevelType w:val="hybridMultilevel"/>
    <w:lvl w:ilvl="0">
      <w:lvlJc w:val="left"/>
      <w:lvlText w:val="(%1)"/>
      <w:numFmt w:val="lowerRoman"/>
      <w:start w:val="1"/>
    </w:lvl>
  </w:abstractNum>
  <w:abstractNum w:abstractNumId="16">
    <w:nsid w:val="25E45D32"/>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2019-12-10T17:49:34Z</dcterms:created>
  <dcterms:modified xsi:type="dcterms:W3CDTF">2019-12-10T17:49:34Z</dcterms:modified>
</cp:coreProperties>
</file>