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59"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October 29, 2011</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40"/>
        <w:spacing w:after="0"/>
        <w:tabs>
          <w:tab w:leader="none" w:pos="676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60"/>
          </w:cols>
          <w:pgMar w:left="240" w:top="230" w:right="23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57" w:lineRule="exact"/>
        <w:rPr>
          <w:sz w:val="24"/>
          <w:szCs w:val="24"/>
          <w:color w:val="auto"/>
        </w:rPr>
      </w:pPr>
    </w:p>
    <w:p>
      <w:pPr>
        <w:sectPr>
          <w:pgSz w:w="11900" w:h="16838" w:orient="portrait"/>
          <w:cols w:equalWidth="0" w:num="2">
            <w:col w:w="7440" w:space="720"/>
            <w:col w:w="326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0"/>
              </w:rPr>
              <w:t>The number of common shares of the registrant outstanding as of November 25, 2011 was 583.5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20" w:type="dxa"/>
            <w:vAlign w:val="bottom"/>
            <w:gridSpan w:val="12"/>
            <w:vMerge w:val="restart"/>
          </w:tcPr>
          <w:p>
            <w:pPr>
              <w:jc w:val="center"/>
              <w:ind w:right="232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7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20" w:type="dxa"/>
            <w:vAlign w:val="bottom"/>
            <w:gridSpan w:val="12"/>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300" w:type="dxa"/>
            <w:vAlign w:val="bottom"/>
            <w:gridSpan w:val="7"/>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80" w:type="dxa"/>
            <w:vAlign w:val="bottom"/>
            <w:gridSpan w:val="5"/>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70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18"/>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October 29, 2011 and January 29, 2011</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700" w:type="dxa"/>
            <w:vAlign w:val="bottom"/>
            <w:gridSpan w:val="2"/>
            <w:shd w:val="clear" w:color="auto" w:fill="0000EE"/>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6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18"/>
          </w:tcPr>
          <w:p>
            <w:pPr>
              <w:spacing w:after="0"/>
              <w:rPr>
                <w:rFonts w:ascii="Arial" w:cs="Arial" w:eastAsia="Arial" w:hAnsi="Arial"/>
                <w:sz w:val="18"/>
                <w:szCs w:val="18"/>
                <w:color w:val="0000EE"/>
                <w:w w:val="90"/>
              </w:rPr>
            </w:pPr>
            <w:hyperlink w:anchor="page4">
              <w:r>
                <w:rPr>
                  <w:rFonts w:ascii="Arial" w:cs="Arial" w:eastAsia="Arial" w:hAnsi="Arial"/>
                  <w:sz w:val="18"/>
                  <w:szCs w:val="18"/>
                  <w:color w:val="0000EE"/>
                  <w:w w:val="90"/>
                </w:rPr>
                <w:t>Unaudited Condensed Consolidated Statements of Operations for the three and nine months ended October 29, 2011 and October 30, 2010</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740" w:type="dxa"/>
            <w:vAlign w:val="bottom"/>
            <w:tcBorders>
              <w:top w:val="single" w:sz="8" w:color="0000EE"/>
            </w:tcBorders>
            <w:gridSpan w:val="17"/>
          </w:tcPr>
          <w:p>
            <w:pPr>
              <w:spacing w:after="0"/>
              <w:rPr>
                <w:rFonts w:ascii="Arial" w:cs="Arial" w:eastAsia="Arial" w:hAnsi="Arial"/>
                <w:sz w:val="18"/>
                <w:szCs w:val="18"/>
                <w:color w:val="0000EE"/>
                <w:w w:val="93"/>
              </w:rPr>
            </w:pPr>
            <w:hyperlink w:anchor="page5">
              <w:r>
                <w:rPr>
                  <w:rFonts w:ascii="Arial" w:cs="Arial" w:eastAsia="Arial" w:hAnsi="Arial"/>
                  <w:sz w:val="18"/>
                  <w:szCs w:val="18"/>
                  <w:color w:val="0000EE"/>
                  <w:w w:val="93"/>
                </w:rPr>
                <w:t>Unaudited Condensed Consolidated Statements of Cash Flows for the nine months ended October 29, 2011 and October 30, 2010</w:t>
              </w:r>
            </w:hyperlink>
          </w:p>
        </w:tc>
        <w:tc>
          <w:tcPr>
            <w:tcW w:w="42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80" w:type="dxa"/>
            <w:vAlign w:val="bottom"/>
            <w:tcBorders>
              <w:top w:val="single" w:sz="8" w:color="0000EE"/>
              <w:bottom w:val="single" w:sz="8" w:color="0000EE"/>
            </w:tcBorders>
            <w:gridSpan w:val="11"/>
          </w:tcPr>
          <w:p>
            <w:pPr>
              <w:spacing w:after="0"/>
              <w:rPr>
                <w:rFonts w:ascii="Arial" w:cs="Arial" w:eastAsia="Arial" w:hAnsi="Arial"/>
                <w:sz w:val="18"/>
                <w:szCs w:val="18"/>
                <w:color w:val="0000EE"/>
                <w:w w:val="87"/>
              </w:rPr>
            </w:pPr>
            <w:hyperlink w:anchor="page6">
              <w:r>
                <w:rPr>
                  <w:rFonts w:ascii="Arial" w:cs="Arial" w:eastAsia="Arial" w:hAnsi="Arial"/>
                  <w:sz w:val="18"/>
                  <w:szCs w:val="18"/>
                  <w:color w:val="0000EE"/>
                  <w:w w:val="87"/>
                </w:rPr>
                <w:t>Notes to Unaudited Condensed Consolidated Financial Statements</w:t>
              </w:r>
            </w:hyperlink>
          </w:p>
        </w:tc>
        <w:tc>
          <w:tcPr>
            <w:tcW w:w="4420" w:type="dxa"/>
            <w:vAlign w:val="bottom"/>
            <w:tcBorders>
              <w:top w:val="single" w:sz="8" w:color="0000EE"/>
            </w:tcBorders>
            <w:gridSpan w:val="5"/>
          </w:tcPr>
          <w:p>
            <w:pPr>
              <w:spacing w:after="0"/>
              <w:rPr>
                <w:sz w:val="24"/>
                <w:szCs w:val="24"/>
                <w:color w:val="auto"/>
              </w:rPr>
            </w:pPr>
          </w:p>
        </w:tc>
        <w:tc>
          <w:tcPr>
            <w:tcW w:w="1060" w:type="dxa"/>
            <w:vAlign w:val="bottom"/>
            <w:gridSpan w:val="2"/>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18"/>
          </w:tcPr>
          <w:p>
            <w:pPr>
              <w:spacing w:after="0"/>
              <w:rPr>
                <w:rFonts w:ascii="Arial" w:cs="Arial" w:eastAsia="Arial" w:hAnsi="Arial"/>
                <w:sz w:val="18"/>
                <w:szCs w:val="18"/>
                <w:color w:val="0000EE"/>
              </w:rPr>
            </w:pPr>
            <w:hyperlink w:anchor="page23">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0"/>
          </w:tcPr>
          <w:p>
            <w:pPr>
              <w:spacing w:after="0"/>
              <w:rPr>
                <w:rFonts w:ascii="Arial" w:cs="Arial" w:eastAsia="Arial" w:hAnsi="Arial"/>
                <w:sz w:val="18"/>
                <w:szCs w:val="18"/>
                <w:color w:val="0000EE"/>
                <w:w w:val="89"/>
              </w:rPr>
            </w:pPr>
            <w:hyperlink w:anchor="page29">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24"/>
                <w:szCs w:val="24"/>
                <w:color w:val="auto"/>
              </w:rPr>
            </w:pPr>
          </w:p>
        </w:tc>
        <w:tc>
          <w:tcPr>
            <w:tcW w:w="3860" w:type="dxa"/>
            <w:vAlign w:val="bottom"/>
            <w:gridSpan w:val="4"/>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160" w:type="dxa"/>
            <w:vAlign w:val="bottom"/>
            <w:gridSpan w:val="18"/>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1560" w:type="dxa"/>
            <w:vAlign w:val="bottom"/>
          </w:tcPr>
          <w:p>
            <w:pPr>
              <w:spacing w:after="0"/>
              <w:rPr>
                <w:sz w:val="24"/>
                <w:szCs w:val="24"/>
                <w:color w:val="auto"/>
              </w:rPr>
            </w:pPr>
          </w:p>
        </w:tc>
        <w:tc>
          <w:tcPr>
            <w:tcW w:w="6860" w:type="dxa"/>
            <w:vAlign w:val="bottom"/>
            <w:gridSpan w:val="11"/>
          </w:tcPr>
          <w:p>
            <w:pPr>
              <w:jc w:val="center"/>
              <w:ind w:right="3880"/>
              <w:spacing w:after="0"/>
              <w:rPr>
                <w:rFonts w:ascii="Arial" w:cs="Arial" w:eastAsia="Arial" w:hAnsi="Arial"/>
                <w:sz w:val="18"/>
                <w:szCs w:val="18"/>
                <w:b w:val="1"/>
                <w:bCs w:val="1"/>
                <w:color w:val="0000EE"/>
              </w:rPr>
            </w:pPr>
            <w:hyperlink w:anchor="page32">
              <w:r>
                <w:rPr>
                  <w:rFonts w:ascii="Arial" w:cs="Arial" w:eastAsia="Arial" w:hAnsi="Arial"/>
                  <w:sz w:val="18"/>
                  <w:szCs w:val="18"/>
                  <w:b w:val="1"/>
                  <w:bCs w:val="1"/>
                  <w:color w:val="0000EE"/>
                </w:rPr>
                <w:t>PART II. OTHER INFORMATION</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440" w:type="dxa"/>
            <w:vAlign w:val="bottom"/>
            <w:gridSpan w:val="8"/>
          </w:tcPr>
          <w:p>
            <w:pPr>
              <w:spacing w:after="0"/>
              <w:rPr>
                <w:rFonts w:ascii="Arial" w:cs="Arial" w:eastAsia="Arial" w:hAnsi="Arial"/>
                <w:sz w:val="18"/>
                <w:szCs w:val="18"/>
                <w:color w:val="0000EE"/>
              </w:rPr>
            </w:pPr>
            <w:hyperlink w:anchor="page32">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24"/>
                <w:szCs w:val="24"/>
                <w:color w:val="auto"/>
              </w:rPr>
            </w:pPr>
          </w:p>
        </w:tc>
        <w:tc>
          <w:tcPr>
            <w:tcW w:w="4020" w:type="dxa"/>
            <w:vAlign w:val="bottom"/>
            <w:gridSpan w:val="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4"/>
          </w:tcPr>
          <w:p>
            <w:pPr>
              <w:spacing w:after="0"/>
              <w:rPr>
                <w:rFonts w:ascii="Arial" w:cs="Arial" w:eastAsia="Arial" w:hAnsi="Arial"/>
                <w:sz w:val="18"/>
                <w:szCs w:val="18"/>
                <w:color w:val="0000EE"/>
              </w:rPr>
            </w:pPr>
            <w:hyperlink w:anchor="page32">
              <w:r>
                <w:rPr>
                  <w:rFonts w:ascii="Arial" w:cs="Arial" w:eastAsia="Arial" w:hAnsi="Arial"/>
                  <w:sz w:val="18"/>
                  <w:szCs w:val="18"/>
                  <w:color w:val="0000EE"/>
                </w:rPr>
                <w:t>Risk Factors</w:t>
              </w:r>
            </w:hyperlink>
          </w:p>
        </w:tc>
        <w:tc>
          <w:tcPr>
            <w:tcW w:w="8860" w:type="dxa"/>
            <w:vAlign w:val="bottom"/>
            <w:gridSpan w:val="14"/>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6"/>
          </w:tcPr>
          <w:p>
            <w:pPr>
              <w:spacing w:after="0" w:line="20" w:lineRule="exact"/>
              <w:rPr>
                <w:sz w:val="1"/>
                <w:szCs w:val="1"/>
                <w:color w:val="auto"/>
              </w:rPr>
            </w:pPr>
          </w:p>
        </w:tc>
        <w:tc>
          <w:tcPr>
            <w:tcW w:w="5920" w:type="dxa"/>
            <w:vAlign w:val="bottom"/>
            <w:gridSpan w:val="9"/>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18"/>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9"/>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Exhibits</w:t>
              </w:r>
            </w:hyperlink>
          </w:p>
        </w:tc>
        <w:tc>
          <w:tcPr>
            <w:tcW w:w="5920" w:type="dxa"/>
            <w:vAlign w:val="bottom"/>
            <w:gridSpan w:val="9"/>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rFonts w:ascii="Arial" w:cs="Arial" w:eastAsia="Arial" w:hAnsi="Arial"/>
                <w:sz w:val="18"/>
                <w:szCs w:val="18"/>
                <w:color w:val="0000EE"/>
                <w:w w:val="99"/>
              </w:rPr>
            </w:pPr>
            <w:hyperlink w:anchor="page46">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080" w:type="dxa"/>
            <w:vAlign w:val="bottom"/>
            <w:gridSpan w:val="17"/>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040" w:type="dxa"/>
            <w:vAlign w:val="bottom"/>
            <w:gridSpan w:val="20"/>
          </w:tcPr>
          <w:p>
            <w:pPr>
              <w:spacing w:after="0"/>
              <w:rPr>
                <w:rFonts w:ascii="Arial" w:cs="Arial" w:eastAsia="Arial" w:hAnsi="Arial"/>
                <w:sz w:val="18"/>
                <w:szCs w:val="18"/>
                <w:color w:val="0000EE"/>
              </w:rPr>
            </w:pPr>
            <w:hyperlink w:anchor="page47">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060" w:type="dxa"/>
            <w:vAlign w:val="bottom"/>
            <w:gridSpan w:val="11"/>
          </w:tcPr>
          <w:p>
            <w:pPr>
              <w:jc w:val="right"/>
              <w:ind w:right="1260"/>
              <w:spacing w:after="0"/>
              <w:rPr>
                <w:sz w:val="20"/>
                <w:szCs w:val="20"/>
                <w:color w:val="auto"/>
              </w:rPr>
            </w:pPr>
            <w:r>
              <w:rPr>
                <w:rFonts w:ascii="Arial" w:cs="Arial" w:eastAsia="Arial" w:hAnsi="Arial"/>
                <w:sz w:val="18"/>
                <w:szCs w:val="18"/>
                <w:color w:val="auto"/>
              </w:rPr>
              <w:t>1</w:t>
            </w: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9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00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93"/>
              </w:rPr>
              <w:t>October 29,</w:t>
            </w:r>
          </w:p>
        </w:tc>
        <w:tc>
          <w:tcPr>
            <w:tcW w:w="12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7960" w:type="dxa"/>
            <w:vAlign w:val="bottom"/>
            <w:tcBorders>
              <w:bottom w:val="single" w:sz="8" w:color="CCEEFF"/>
            </w:tcBorders>
          </w:tcPr>
          <w:p>
            <w:pPr>
              <w:spacing w:after="0"/>
              <w:rPr>
                <w:sz w:val="14"/>
                <w:szCs w:val="14"/>
                <w:color w:val="auto"/>
              </w:rPr>
            </w:pPr>
          </w:p>
        </w:tc>
        <w:tc>
          <w:tcPr>
            <w:tcW w:w="14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960" w:type="dxa"/>
            <w:vAlign w:val="bottom"/>
            <w:shd w:val="clear" w:color="auto" w:fill="CCEEFF"/>
          </w:tcPr>
          <w:p>
            <w:pPr>
              <w:ind w:left="4280"/>
              <w:spacing w:after="0" w:line="196" w:lineRule="exact"/>
              <w:rPr>
                <w:sz w:val="20"/>
                <w:szCs w:val="20"/>
                <w:color w:val="auto"/>
              </w:rPr>
            </w:pPr>
            <w:r>
              <w:rPr>
                <w:rFonts w:ascii="Arial" w:cs="Arial" w:eastAsia="Arial" w:hAnsi="Arial"/>
                <w:sz w:val="18"/>
                <w:szCs w:val="18"/>
                <w:b w:val="1"/>
                <w:bCs w:val="1"/>
                <w:color w:val="auto"/>
              </w:rPr>
              <w:t>ASSETS</w:t>
            </w:r>
          </w:p>
        </w:tc>
        <w:tc>
          <w:tcPr>
            <w:tcW w:w="1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960" w:type="dxa"/>
            <w:vAlign w:val="bottom"/>
          </w:tcPr>
          <w:p>
            <w:pPr>
              <w:spacing w:after="0"/>
              <w:rPr>
                <w:sz w:val="20"/>
                <w:szCs w:val="20"/>
                <w:color w:val="auto"/>
              </w:rPr>
            </w:pPr>
            <w:r>
              <w:rPr>
                <w:rFonts w:ascii="Arial" w:cs="Arial" w:eastAsia="Arial" w:hAnsi="Arial"/>
                <w:sz w:val="18"/>
                <w:szCs w:val="18"/>
                <w:color w:val="auto"/>
              </w:rPr>
              <w:t>Current assets:</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850,944</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1,847,074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1,573,754</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1,082,956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451,108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459,406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309,968</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245,448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52,124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66,945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96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9,617</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3,247,515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3,712,647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373,628</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358,440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spacing w:after="0"/>
              <w:rPr>
                <w:sz w:val="20"/>
                <w:szCs w:val="20"/>
                <w:color w:val="auto"/>
              </w:rPr>
            </w:pPr>
            <w:r>
              <w:rPr>
                <w:rFonts w:ascii="Arial" w:cs="Arial" w:eastAsia="Arial" w:hAnsi="Arial"/>
                <w:sz w:val="18"/>
                <w:szCs w:val="18"/>
                <w:color w:val="auto"/>
              </w:rPr>
              <w:t>Goodwill</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2,009,662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2,004,833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102,432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124,631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96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4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110,920</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111,380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4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5,867,375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960" w:type="dxa"/>
            <w:vAlign w:val="bottom"/>
            <w:vMerge w:val="restart"/>
          </w:tcPr>
          <w:p>
            <w:pPr>
              <w:ind w:left="2700"/>
              <w:spacing w:after="0"/>
              <w:rPr>
                <w:sz w:val="20"/>
                <w:szCs w:val="20"/>
                <w:color w:val="auto"/>
              </w:rPr>
            </w:pPr>
            <w:r>
              <w:rPr>
                <w:rFonts w:ascii="Arial" w:cs="Arial" w:eastAsia="Arial" w:hAnsi="Arial"/>
                <w:sz w:val="18"/>
                <w:szCs w:val="18"/>
                <w:b w:val="1"/>
                <w:bCs w:val="1"/>
                <w:color w:val="auto"/>
              </w:rPr>
              <w:t>LIABILITIES AND SHAREHOLDERS’ EQUITY</w:t>
            </w:r>
          </w:p>
        </w:tc>
        <w:tc>
          <w:tcPr>
            <w:tcW w:w="14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6"/>
        </w:trPr>
        <w:tc>
          <w:tcPr>
            <w:tcW w:w="7960" w:type="dxa"/>
            <w:vAlign w:val="bottom"/>
            <w:vMerge w:val="continue"/>
          </w:tcPr>
          <w:p>
            <w:pPr>
              <w:spacing w:after="0"/>
              <w:rPr>
                <w:sz w:val="24"/>
                <w:szCs w:val="24"/>
                <w:color w:val="auto"/>
              </w:rPr>
            </w:pPr>
          </w:p>
        </w:tc>
        <w:tc>
          <w:tcPr>
            <w:tcW w:w="1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355,404</w:t>
            </w:r>
          </w:p>
        </w:tc>
        <w:tc>
          <w:tcPr>
            <w:tcW w:w="20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332,007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82,671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154,448</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146,524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69,244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96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4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661,767</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640,686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132,096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136,262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96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34,213</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828,076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816,288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Arial" w:cs="Arial" w:eastAsia="Arial" w:hAnsi="Arial"/>
                <w:sz w:val="18"/>
                <w:szCs w:val="18"/>
                <w:color w:val="auto"/>
              </w:rPr>
              <w:t>Common stock</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1,179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3,790,169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4,805,588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(295)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1,248,246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96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4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5,039,299</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5,521,869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5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5,867,375</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96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6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w w:val="95"/>
              </w:rPr>
              <w:t>Three Months Ended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40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380"/>
              <w:spacing w:after="0" w:line="129" w:lineRule="exact"/>
              <w:rPr>
                <w:sz w:val="20"/>
                <w:szCs w:val="20"/>
                <w:color w:val="auto"/>
              </w:rPr>
            </w:pPr>
            <w:r>
              <w:rPr>
                <w:rFonts w:ascii="Arial" w:cs="Arial" w:eastAsia="Arial" w:hAnsi="Arial"/>
                <w:sz w:val="14"/>
                <w:szCs w:val="14"/>
                <w:b w:val="1"/>
                <w:bCs w:val="1"/>
                <w:color w:val="auto"/>
                <w:w w:val="93"/>
              </w:rPr>
              <w:t>October 29,</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October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400" w:type="dxa"/>
            <w:vAlign w:val="bottom"/>
            <w:tcBorders>
              <w:bottom w:val="single" w:sz="8" w:color="CCEEFF"/>
            </w:tcBorders>
          </w:tcPr>
          <w:p>
            <w:pPr>
              <w:spacing w:after="0"/>
              <w:rPr>
                <w:sz w:val="14"/>
                <w:szCs w:val="14"/>
                <w:color w:val="auto"/>
              </w:rPr>
            </w:pPr>
          </w:p>
        </w:tc>
        <w:tc>
          <w:tcPr>
            <w:tcW w:w="20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950,417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959,327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2,650,339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2,711,380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412,100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390,808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1,124,692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1,101,475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266,255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218,420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758,396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665,742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40,500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39,751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119,042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115,037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29,021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29,576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77,436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78,124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11,155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21,770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36,634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65,533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20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400" w:type="dxa"/>
            <w:vAlign w:val="bottom"/>
            <w:vMerge w:val="continue"/>
          </w:tcPr>
          <w:p>
            <w:pPr>
              <w:spacing w:after="0"/>
              <w:rPr>
                <w:sz w:val="19"/>
                <w:szCs w:val="19"/>
                <w:color w:val="auto"/>
              </w:rPr>
            </w:pPr>
          </w:p>
        </w:tc>
        <w:tc>
          <w:tcPr>
            <w:tcW w:w="2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759,031</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700,325</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w w:val="84"/>
              </w:rPr>
              <w:t>2,116,200</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2,025,911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400" w:type="dxa"/>
            <w:vAlign w:val="bottom"/>
          </w:tcPr>
          <w:p>
            <w:pPr>
              <w:spacing w:after="0"/>
              <w:rPr>
                <w:sz w:val="2"/>
                <w:szCs w:val="2"/>
                <w:color w:val="auto"/>
              </w:rPr>
            </w:pPr>
          </w:p>
        </w:tc>
        <w:tc>
          <w:tcPr>
            <w:tcW w:w="20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191,386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259,002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534,139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685,469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7,729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(1,665)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9,575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(1,205)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00" w:type="dxa"/>
            <w:vAlign w:val="bottom"/>
          </w:tcPr>
          <w:p>
            <w:pPr>
              <w:spacing w:after="0"/>
              <w:rPr>
                <w:sz w:val="2"/>
                <w:szCs w:val="2"/>
                <w:color w:val="auto"/>
              </w:rPr>
            </w:pPr>
          </w:p>
        </w:tc>
        <w:tc>
          <w:tcPr>
            <w:tcW w:w="20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199,115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257,337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543,714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684,264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3,994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1,605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9,340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2,988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00" w:type="dxa"/>
            <w:vAlign w:val="bottom"/>
          </w:tcPr>
          <w:p>
            <w:pPr>
              <w:spacing w:after="0"/>
              <w:rPr>
                <w:sz w:val="2"/>
                <w:szCs w:val="2"/>
                <w:color w:val="auto"/>
              </w:rPr>
            </w:pPr>
          </w:p>
        </w:tc>
        <w:tc>
          <w:tcPr>
            <w:tcW w:w="20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195,121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255,732</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534,374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681,276</w:t>
            </w:r>
          </w:p>
        </w:tc>
        <w:tc>
          <w:tcPr>
            <w:tcW w:w="0" w:type="dxa"/>
            <w:vAlign w:val="bottom"/>
          </w:tcPr>
          <w:p>
            <w:pPr>
              <w:spacing w:after="0"/>
              <w:rPr>
                <w:sz w:val="1"/>
                <w:szCs w:val="1"/>
                <w:color w:val="auto"/>
              </w:rPr>
            </w:pPr>
          </w:p>
        </w:tc>
      </w:tr>
      <w:tr>
        <w:trPr>
          <w:trHeight w:val="20"/>
        </w:trPr>
        <w:tc>
          <w:tcPr>
            <w:tcW w:w="542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420" w:type="dxa"/>
            <w:vAlign w:val="bottom"/>
            <w:gridSpan w:val="2"/>
            <w:vMerge w:val="continue"/>
          </w:tcPr>
          <w:p>
            <w:pPr>
              <w:spacing w:after="0"/>
              <w:rPr>
                <w:sz w:val="18"/>
                <w:szCs w:val="18"/>
                <w:color w:val="auto"/>
              </w:rPr>
            </w:pP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0.39</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5400" w:type="dxa"/>
            <w:vAlign w:val="bottom"/>
            <w:vMerge w:val="continue"/>
          </w:tcPr>
          <w:p>
            <w:pPr>
              <w:spacing w:after="0"/>
              <w:rPr>
                <w:sz w:val="18"/>
                <w:szCs w:val="18"/>
                <w:color w:val="auto"/>
              </w:rPr>
            </w:pPr>
          </w:p>
        </w:tc>
        <w:tc>
          <w:tcPr>
            <w:tcW w:w="2100" w:type="dxa"/>
            <w:vAlign w:val="bottom"/>
            <w:gridSpan w:val="2"/>
          </w:tcPr>
          <w:p>
            <w:pPr>
              <w:ind w:left="20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0.32</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0.38</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0.85</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ind w:left="420"/>
              <w:spacing w:after="0"/>
              <w:rPr>
                <w:sz w:val="20"/>
                <w:szCs w:val="20"/>
                <w:color w:val="auto"/>
              </w:rPr>
            </w:pPr>
            <w:r>
              <w:rPr>
                <w:rFonts w:ascii="Arial" w:cs="Arial" w:eastAsia="Arial" w:hAnsi="Arial"/>
                <w:sz w:val="18"/>
                <w:szCs w:val="18"/>
                <w:color w:val="auto"/>
              </w:rPr>
              <w:t>Basic</w:t>
            </w:r>
          </w:p>
        </w:tc>
        <w:tc>
          <w:tcPr>
            <w:tcW w:w="2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600,504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649,782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615,987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646,246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613,499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674,789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631,257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676,023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6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80" w:type="dxa"/>
            <w:vAlign w:val="bottom"/>
            <w:gridSpan w:val="5"/>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2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w w:val="85"/>
              </w:rPr>
              <w:t>October 29,</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5"/>
              </w:rPr>
              <w:t>October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620" w:type="dxa"/>
            <w:vAlign w:val="bottom"/>
            <w:tcBorders>
              <w:bottom w:val="single" w:sz="8" w:color="CCEEFF"/>
            </w:tcBorders>
          </w:tcPr>
          <w:p>
            <w:pPr>
              <w:spacing w:after="0"/>
              <w:rPr>
                <w:sz w:val="14"/>
                <w:szCs w:val="14"/>
                <w:color w:val="auto"/>
              </w:rPr>
            </w:pPr>
          </w:p>
        </w:tc>
        <w:tc>
          <w:tcPr>
            <w:tcW w:w="15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2011</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6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5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420"/>
              <w:spacing w:after="0"/>
              <w:rPr>
                <w:sz w:val="20"/>
                <w:szCs w:val="20"/>
                <w:color w:val="auto"/>
              </w:rPr>
            </w:pPr>
            <w:r>
              <w:rPr>
                <w:rFonts w:ascii="Arial" w:cs="Arial" w:eastAsia="Arial" w:hAnsi="Arial"/>
                <w:sz w:val="18"/>
                <w:szCs w:val="18"/>
                <w:color w:val="auto"/>
              </w:rPr>
              <w:t>Net income</w:t>
            </w:r>
          </w:p>
        </w:tc>
        <w:tc>
          <w:tcPr>
            <w:tcW w:w="1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534,374</w:t>
            </w:r>
          </w:p>
        </w:tc>
        <w:tc>
          <w:tcPr>
            <w:tcW w:w="4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681,276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66,653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68,991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Stock-based compensation</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88,446</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87,126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860"/>
              <w:spacing w:after="0"/>
              <w:rPr>
                <w:sz w:val="20"/>
                <w:szCs w:val="20"/>
                <w:color w:val="auto"/>
              </w:rPr>
            </w:pPr>
            <w:r>
              <w:rPr>
                <w:rFonts w:ascii="Arial" w:cs="Arial" w:eastAsia="Arial" w:hAnsi="Arial"/>
                <w:sz w:val="18"/>
                <w:szCs w:val="18"/>
                <w:color w:val="auto"/>
              </w:rPr>
              <w:t>Amortization of acquired intangible assets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36,634</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65,533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Facilities impairment</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860"/>
              <w:spacing w:after="0"/>
              <w:rPr>
                <w:sz w:val="20"/>
                <w:szCs w:val="20"/>
                <w:color w:val="auto"/>
              </w:rPr>
            </w:pPr>
            <w:r>
              <w:rPr>
                <w:rFonts w:ascii="Arial" w:cs="Arial" w:eastAsia="Arial" w:hAnsi="Arial"/>
                <w:sz w:val="18"/>
                <w:szCs w:val="18"/>
                <w:color w:val="auto"/>
              </w:rPr>
              <w:t>Other (income) expense, net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11,411</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9,568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Fair market value adjustment to aquired inventory sold</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rPr>
              <w:t>(99)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 taxes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(6,486)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860"/>
              <w:spacing w:after="0"/>
              <w:rPr>
                <w:sz w:val="20"/>
                <w:szCs w:val="20"/>
                <w:color w:val="auto"/>
              </w:rPr>
            </w:pPr>
            <w:r>
              <w:rPr>
                <w:rFonts w:ascii="Arial" w:cs="Arial" w:eastAsia="Arial" w:hAnsi="Arial"/>
                <w:sz w:val="18"/>
                <w:szCs w:val="18"/>
                <w:color w:val="auto"/>
              </w:rPr>
              <w:t>Changes in assets and liabilities: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receivable</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8,298</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(111,179)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1280"/>
              <w:spacing w:after="0"/>
              <w:rPr>
                <w:sz w:val="20"/>
                <w:szCs w:val="20"/>
                <w:color w:val="auto"/>
              </w:rPr>
            </w:pPr>
            <w:r>
              <w:rPr>
                <w:rFonts w:ascii="Arial" w:cs="Arial" w:eastAsia="Arial" w:hAnsi="Arial"/>
                <w:sz w:val="18"/>
                <w:szCs w:val="18"/>
                <w:color w:val="auto"/>
              </w:rPr>
              <w:t>Inventories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rPr>
              <w:t>(63,967)</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15,856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Prepaid expenses and other assets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31,060</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(3,718)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1280"/>
              <w:spacing w:after="0"/>
              <w:rPr>
                <w:sz w:val="20"/>
                <w:szCs w:val="20"/>
                <w:color w:val="auto"/>
              </w:rPr>
            </w:pPr>
            <w:r>
              <w:rPr>
                <w:rFonts w:ascii="Arial" w:cs="Arial" w:eastAsia="Arial" w:hAnsi="Arial"/>
                <w:sz w:val="18"/>
                <w:szCs w:val="18"/>
                <w:color w:val="auto"/>
              </w:rPr>
              <w:t>Accounts payable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4,193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63,935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liabilities and other</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(18,030)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17,948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1280"/>
              <w:spacing w:after="0"/>
              <w:rPr>
                <w:sz w:val="20"/>
                <w:szCs w:val="20"/>
                <w:color w:val="auto"/>
              </w:rPr>
            </w:pPr>
            <w:r>
              <w:rPr>
                <w:rFonts w:ascii="Arial" w:cs="Arial" w:eastAsia="Arial" w:hAnsi="Arial"/>
                <w:sz w:val="18"/>
                <w:szCs w:val="18"/>
                <w:color w:val="auto"/>
              </w:rPr>
              <w:t>Accrued employee compensation</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6,924</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26,965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Deferred income</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(6,917)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28,820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620" w:type="dxa"/>
            <w:vAlign w:val="bottom"/>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15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702,149</w:t>
            </w:r>
          </w:p>
        </w:tc>
        <w:tc>
          <w:tcPr>
            <w:tcW w:w="4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942,715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420"/>
              <w:spacing w:after="0"/>
              <w:rPr>
                <w:sz w:val="20"/>
                <w:szCs w:val="20"/>
                <w:color w:val="auto"/>
              </w:rPr>
            </w:pPr>
            <w:r>
              <w:rPr>
                <w:rFonts w:ascii="Arial" w:cs="Arial" w:eastAsia="Arial" w:hAnsi="Arial"/>
                <w:sz w:val="18"/>
                <w:szCs w:val="18"/>
                <w:color w:val="auto"/>
              </w:rPr>
              <w:t>Purchases of marketable securities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w w:val="89"/>
              </w:rPr>
              <w:t>(1,582,892)</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w w:val="89"/>
              </w:rPr>
              <w:t>(1,021,950)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strategic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(3,503)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420"/>
              <w:spacing w:after="0"/>
              <w:rPr>
                <w:sz w:val="20"/>
                <w:szCs w:val="20"/>
                <w:color w:val="auto"/>
              </w:rPr>
            </w:pPr>
            <w:r>
              <w:rPr>
                <w:rFonts w:ascii="Arial" w:cs="Arial" w:eastAsia="Arial" w:hAnsi="Arial"/>
                <w:sz w:val="18"/>
                <w:szCs w:val="18"/>
                <w:color w:val="auto"/>
              </w:rPr>
              <w:t>Sales and maturities of investments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1,083,214</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678,738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acquisition, net</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(18,760)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(20,679)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rPr>
              <w:t>(9,593)</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(12,649)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(62,330)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(63,267)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20" w:type="dxa"/>
            <w:vAlign w:val="bottom"/>
            <w:vMerge w:val="restart"/>
          </w:tcPr>
          <w:p>
            <w:pPr>
              <w:ind w:left="1720"/>
              <w:spacing w:after="0"/>
              <w:rPr>
                <w:sz w:val="20"/>
                <w:szCs w:val="20"/>
                <w:color w:val="auto"/>
              </w:rPr>
            </w:pPr>
            <w:r>
              <w:rPr>
                <w:rFonts w:ascii="Arial" w:cs="Arial" w:eastAsia="Arial" w:hAnsi="Arial"/>
                <w:sz w:val="18"/>
                <w:szCs w:val="18"/>
                <w:color w:val="auto"/>
              </w:rPr>
              <w:t>Net cash used in investing activities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7620" w:type="dxa"/>
            <w:vAlign w:val="bottom"/>
            <w:vMerge w:val="continue"/>
          </w:tcPr>
          <w:p>
            <w:pPr>
              <w:spacing w:after="0"/>
              <w:rPr>
                <w:sz w:val="20"/>
                <w:szCs w:val="20"/>
                <w:color w:val="auto"/>
              </w:rPr>
            </w:pPr>
          </w:p>
        </w:tc>
        <w:tc>
          <w:tcPr>
            <w:tcW w:w="15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rPr>
              <w:t>(593,864)</w:t>
            </w:r>
          </w:p>
        </w:tc>
        <w:tc>
          <w:tcPr>
            <w:tcW w:w="100" w:type="dxa"/>
            <w:vAlign w:val="bottom"/>
          </w:tcPr>
          <w:p>
            <w:pPr>
              <w:spacing w:after="0"/>
              <w:rPr>
                <w:sz w:val="20"/>
                <w:szCs w:val="20"/>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(441,557)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5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420"/>
              <w:spacing w:after="0"/>
              <w:rPr>
                <w:sz w:val="20"/>
                <w:szCs w:val="20"/>
                <w:color w:val="auto"/>
              </w:rPr>
            </w:pPr>
            <w:r>
              <w:rPr>
                <w:rFonts w:ascii="Arial" w:cs="Arial" w:eastAsia="Arial" w:hAnsi="Arial"/>
                <w:sz w:val="18"/>
                <w:szCs w:val="18"/>
                <w:color w:val="auto"/>
              </w:rPr>
              <w:t>Repurchase of common stock</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w w:val="89"/>
              </w:rPr>
              <w:t>(1,154,396)</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(60,594)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employee stock plans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50,393</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97,673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rPr>
              <w:t>(511)</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(1,440)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5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w:t>
            </w: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20" w:type="dxa"/>
            <w:vAlign w:val="bottom"/>
          </w:tcPr>
          <w:p>
            <w:pPr>
              <w:ind w:left="1720"/>
              <w:spacing w:after="0"/>
              <w:rPr>
                <w:sz w:val="20"/>
                <w:szCs w:val="20"/>
                <w:color w:val="auto"/>
              </w:rPr>
            </w:pPr>
            <w:r>
              <w:rPr>
                <w:rFonts w:ascii="Arial" w:cs="Arial" w:eastAsia="Arial" w:hAnsi="Arial"/>
                <w:sz w:val="18"/>
                <w:szCs w:val="18"/>
                <w:color w:val="auto"/>
              </w:rPr>
              <w:t>Net cash provided by (used in) financing activities</w:t>
            </w: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w w:val="89"/>
              </w:rPr>
              <w:t>(1,104,415)</w:t>
            </w:r>
          </w:p>
        </w:tc>
        <w:tc>
          <w:tcPr>
            <w:tcW w:w="10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36,308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6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(996,130)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537,466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62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15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1,847,074</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1,105,428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850,944</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1,642,894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2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96"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develops platforms that it defines as integrated hardware and software that incorporate digital computing technologies designed and configured to provide an optimal computing solution compared to individual components. The Company’s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96"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2012 and fiscal 2011 are comprised of 52-week periods.</w:t>
      </w:r>
    </w:p>
    <w:p>
      <w:pPr>
        <w:spacing w:after="0" w:line="14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October 29, 2011, the results of its operations for the three and nine months ended October 29, 2011 and October 30, 2010, and its cash flows for the nine months ended October 29, 2011 and October 30, 2010. The January 29, 2011 condensed consolidated balance sheet data was derived from audited consolidated financial statements included in the Company’s Annual Report on Form 10-K for the fiscal year ended January 29, 2011 but does not include all disclosures required for annual periods. Certain reclassifications have been made to conform to the current period’s presentation.</w:t>
      </w:r>
    </w:p>
    <w:p>
      <w:pPr>
        <w:spacing w:after="0" w:line="118"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29, 2011 as filed on March 28, 2011 with the Securities and Exchange Commission. The results of operations for the three and nine months ended October 29, 2011 are not necessarily indicative of the results that may be expected for any other interim period or for the full fiscal year.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96"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including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96"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 and Accounting Changes</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In May 2011, the Financial Accounting Standards Board (“FASB”) issued additional guidance on fair value measurements and related disclosures. The new guidance clarifies the application of existing guidance on fair value measurement for non-financial assets and requires the</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disclosure of quantitative information about the unobservable inputs used in a fair value measurement. This guidance is effective on a prospective basis for interim and annual periods beginning after December 15, 2011. The adoption of this guidance during the first quarter of fiscal 2013 will not have any impact on the Company’s financial statements.</w:t>
      </w:r>
    </w:p>
    <w:p>
      <w:pPr>
        <w:spacing w:after="0" w:line="140"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In June 2011, the FASB issued an amendment to the guidance regarding the presentation of comprehensive income. The amended guidance gives an entity the option to present the total of comprehensive income, the components of net income, and the components of other comprehensive income either in a single continuous statement of comprehensive income or in two separate but consecutive statements. The amended guidance eliminates the option to present the components of other comprehensive income as part of the statement of changes in stockholders’ equity. The amended guidance also requires presentation of adjustments for items that are reclassified from other comprehensive income to net income in the statement where the components of net income and the components of other comprehensive income are presented. This guidance is effective on a retrospective basis for fiscal years, and interim periods within those fiscal years, beginning after December 15, 2011.</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September 2011, the FASB issued an amendment to the guidance regarding the testing of goodwill for impairment. The amended guidance will allow an entity to first assess qualitative factors to determine whether it is necessary to perform the two-step quantitative goodwill impairment test. An entity no longer will be required to calculate the fair value of a reporting unit unless the entity determines, based on a qualitative assessment, that it is more likely than not that its fair value is less than its carrying amount. The amended guidance is effective for annual and interim goodwill impairment tests performed for fiscal years beginning after December 15, 2011, with early adoption permitted. The Company does not expect to early adopt the amended guidance.</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30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500"/>
              <w:spacing w:after="0"/>
              <w:rPr>
                <w:sz w:val="20"/>
                <w:szCs w:val="20"/>
                <w:color w:val="auto"/>
              </w:rPr>
            </w:pPr>
            <w:r>
              <w:rPr>
                <w:rFonts w:ascii="Arial" w:cs="Arial" w:eastAsia="Arial" w:hAnsi="Arial"/>
                <w:sz w:val="14"/>
                <w:szCs w:val="14"/>
                <w:b w:val="1"/>
                <w:bCs w:val="1"/>
                <w:color w:val="auto"/>
                <w:w w:val="91"/>
              </w:rPr>
              <w:t>As of October 29, 2011</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9"/>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9"/>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8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Available-for-sale:</w:t>
            </w:r>
          </w:p>
        </w:tc>
        <w:tc>
          <w:tcPr>
            <w:tcW w:w="1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812,965</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2,607</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(1,676)</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813,896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tcPr>
          <w:p>
            <w:pPr>
              <w:ind w:left="420"/>
              <w:spacing w:after="0"/>
              <w:rPr>
                <w:sz w:val="20"/>
                <w:szCs w:val="20"/>
                <w:color w:val="auto"/>
              </w:rPr>
            </w:pPr>
            <w:r>
              <w:rPr>
                <w:rFonts w:ascii="Arial" w:cs="Arial" w:eastAsia="Arial" w:hAnsi="Arial"/>
                <w:sz w:val="18"/>
                <w:szCs w:val="18"/>
                <w:color w:val="auto"/>
              </w:rPr>
              <w:t>U.S. government and agency securities</w:t>
            </w:r>
          </w:p>
        </w:tc>
        <w:tc>
          <w:tcPr>
            <w:tcW w:w="1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758,804</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1,334</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(280)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759,858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80" w:type="dxa"/>
            <w:vAlign w:val="bottom"/>
          </w:tcPr>
          <w:p>
            <w:pPr>
              <w:spacing w:after="0"/>
              <w:rPr>
                <w:sz w:val="2"/>
                <w:szCs w:val="2"/>
                <w:color w:val="auto"/>
              </w:rPr>
            </w:pPr>
          </w:p>
        </w:tc>
        <w:tc>
          <w:tcPr>
            <w:tcW w:w="18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1,571,769</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(1,956)</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1,573,754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430"/>
        </w:trPr>
        <w:tc>
          <w:tcPr>
            <w:tcW w:w="420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1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9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24,550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(1,332)</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23,218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80" w:type="dxa"/>
            <w:vAlign w:val="bottom"/>
          </w:tcPr>
          <w:p>
            <w:pPr>
              <w:spacing w:after="0"/>
              <w:rPr>
                <w:sz w:val="2"/>
                <w:szCs w:val="2"/>
                <w:color w:val="auto"/>
              </w:rPr>
            </w:pPr>
          </w:p>
        </w:tc>
        <w:tc>
          <w:tcPr>
            <w:tcW w:w="18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1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24,550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(1,332)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0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18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200" w:type="dxa"/>
            <w:vAlign w:val="bottom"/>
            <w:gridSpan w:val="2"/>
            <w:vMerge w:val="continue"/>
          </w:tcPr>
          <w:p>
            <w:pPr>
              <w:spacing w:after="0"/>
              <w:rPr>
                <w:sz w:val="18"/>
                <w:szCs w:val="18"/>
                <w:color w:val="auto"/>
              </w:rPr>
            </w:pPr>
          </w:p>
        </w:tc>
        <w:tc>
          <w:tcPr>
            <w:tcW w:w="19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1,596,319</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3,941</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(3,288)</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1,596,972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418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900" w:type="dxa"/>
            <w:vAlign w:val="bottom"/>
            <w:tcBorders>
              <w:bottom w:val="single" w:sz="8" w:color="auto"/>
            </w:tcBorders>
            <w:gridSpan w:val="5"/>
          </w:tcPr>
          <w:p>
            <w:pPr>
              <w:jc w:val="right"/>
              <w:ind w:right="480"/>
              <w:spacing w:after="0"/>
              <w:rPr>
                <w:sz w:val="20"/>
                <w:szCs w:val="20"/>
                <w:color w:val="auto"/>
              </w:rPr>
            </w:pPr>
            <w:r>
              <w:rPr>
                <w:rFonts w:ascii="Arial" w:cs="Arial" w:eastAsia="Arial" w:hAnsi="Arial"/>
                <w:sz w:val="14"/>
                <w:szCs w:val="14"/>
                <w:b w:val="1"/>
                <w:bCs w:val="1"/>
                <w:color w:val="auto"/>
                <w:w w:val="92"/>
              </w:rPr>
              <w:t>As of January 29, 2011</w:t>
            </w:r>
          </w:p>
        </w:tc>
        <w:tc>
          <w:tcPr>
            <w:tcW w:w="2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9"/>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9"/>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8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Available-for-sale:</w:t>
            </w:r>
          </w:p>
        </w:tc>
        <w:tc>
          <w:tcPr>
            <w:tcW w:w="1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648,278</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3,208</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651,273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tcPr>
          <w:p>
            <w:pPr>
              <w:ind w:left="420"/>
              <w:spacing w:after="0"/>
              <w:rPr>
                <w:sz w:val="20"/>
                <w:szCs w:val="20"/>
                <w:color w:val="auto"/>
              </w:rPr>
            </w:pPr>
            <w:r>
              <w:rPr>
                <w:rFonts w:ascii="Arial" w:cs="Arial" w:eastAsia="Arial" w:hAnsi="Arial"/>
                <w:sz w:val="18"/>
                <w:szCs w:val="18"/>
                <w:color w:val="auto"/>
              </w:rPr>
              <w:t>U.S. government and agency securities</w:t>
            </w:r>
          </w:p>
        </w:tc>
        <w:tc>
          <w:tcPr>
            <w:tcW w:w="1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431,174</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561</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431,683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80" w:type="dxa"/>
            <w:vAlign w:val="bottom"/>
          </w:tcPr>
          <w:p>
            <w:pPr>
              <w:spacing w:after="0"/>
              <w:rPr>
                <w:sz w:val="2"/>
                <w:szCs w:val="2"/>
                <w:color w:val="auto"/>
              </w:rPr>
            </w:pPr>
          </w:p>
        </w:tc>
        <w:tc>
          <w:tcPr>
            <w:tcW w:w="18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1,079,452</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3,769</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(265)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1,082,956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430"/>
        </w:trPr>
        <w:tc>
          <w:tcPr>
            <w:tcW w:w="420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18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9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27,850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(1,624)</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80" w:type="dxa"/>
            <w:vAlign w:val="bottom"/>
          </w:tcPr>
          <w:p>
            <w:pPr>
              <w:spacing w:after="0"/>
              <w:rPr>
                <w:sz w:val="2"/>
                <w:szCs w:val="2"/>
                <w:color w:val="auto"/>
              </w:rPr>
            </w:pPr>
          </w:p>
        </w:tc>
        <w:tc>
          <w:tcPr>
            <w:tcW w:w="18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1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27,850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(1,624)</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0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18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200" w:type="dxa"/>
            <w:vAlign w:val="bottom"/>
            <w:gridSpan w:val="2"/>
            <w:vMerge w:val="continue"/>
          </w:tcPr>
          <w:p>
            <w:pPr>
              <w:spacing w:after="0"/>
              <w:rPr>
                <w:sz w:val="18"/>
                <w:szCs w:val="18"/>
                <w:color w:val="auto"/>
              </w:rPr>
            </w:pPr>
          </w:p>
        </w:tc>
        <w:tc>
          <w:tcPr>
            <w:tcW w:w="19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1,107,302</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3,769</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(1,889)</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1,109,182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1880" w:type="dxa"/>
            <w:vAlign w:val="bottom"/>
            <w:vMerge w:val="restart"/>
          </w:tcPr>
          <w:p>
            <w:pPr>
              <w:jc w:val="right"/>
              <w:ind w:right="692"/>
              <w:spacing w:after="0"/>
              <w:rPr>
                <w:sz w:val="20"/>
                <w:szCs w:val="20"/>
                <w:color w:val="auto"/>
              </w:rPr>
            </w:pPr>
            <w:r>
              <w:rPr>
                <w:rFonts w:ascii="Arial" w:cs="Arial" w:eastAsia="Arial" w:hAnsi="Arial"/>
                <w:sz w:val="18"/>
                <w:szCs w:val="18"/>
                <w:color w:val="auto"/>
              </w:rPr>
              <w:t>6</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180" w:type="dxa"/>
            <w:vAlign w:val="bottom"/>
          </w:tcPr>
          <w:p>
            <w:pPr>
              <w:spacing w:after="0"/>
              <w:rPr>
                <w:sz w:val="24"/>
                <w:szCs w:val="24"/>
                <w:color w:val="auto"/>
              </w:rPr>
            </w:pPr>
          </w:p>
        </w:tc>
        <w:tc>
          <w:tcPr>
            <w:tcW w:w="18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As of October 29, 2011, the Company’s investment portfolio included $24.6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the Company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October 29, 2011, the fair value of the auction rate securities was $1.3 million less than the par value and was recorded in long-term investments.</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Based on the Company’s assessment of its cash flow projections, a balance of approximately $2.4 billion in cash, cash equivalents and short-term investments and the fact that the Company continues to generate positive cash flow from operations on a quarterly basis, the Company does not anticipate having to sell these securities below par value in order to operate its business. The Company does not have the intent to sell these auction rate securities until recovery. Thus, the Company considers the impairment to be temporary and recorded the unrealized loss to accumulated other comprehensive income (loss), a component of shareholders’ equity.</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contractual maturities of available-for-sale securities at October 29, 2011 and January 29, 2011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6"/>
          </w:tcPr>
          <w:p>
            <w:pPr>
              <w:jc w:val="right"/>
              <w:ind w:right="720"/>
              <w:spacing w:after="0"/>
              <w:rPr>
                <w:sz w:val="20"/>
                <w:szCs w:val="20"/>
                <w:color w:val="auto"/>
              </w:rPr>
            </w:pPr>
            <w:r>
              <w:rPr>
                <w:rFonts w:ascii="Arial" w:cs="Arial" w:eastAsia="Arial" w:hAnsi="Arial"/>
                <w:sz w:val="14"/>
                <w:szCs w:val="14"/>
                <w:b w:val="1"/>
                <w:bCs w:val="1"/>
                <w:color w:val="auto"/>
              </w:rPr>
              <w:t>October 29, 2011</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Arial" w:cs="Arial" w:eastAsia="Arial" w:hAnsi="Arial"/>
                <w:sz w:val="14"/>
                <w:szCs w:val="14"/>
                <w:b w:val="1"/>
                <w:bCs w:val="1"/>
                <w:color w:val="auto"/>
              </w:rPr>
              <w:t>January 29, 2011</w:t>
            </w:r>
          </w:p>
        </w:tc>
      </w:tr>
      <w:tr>
        <w:trPr>
          <w:trHeight w:val="129"/>
        </w:trPr>
        <w:tc>
          <w:tcPr>
            <w:tcW w:w="60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3"/>
          </w:tcPr>
          <w:p>
            <w:pPr>
              <w:jc w:val="center"/>
              <w:ind w:right="500"/>
              <w:spacing w:after="0" w:line="129" w:lineRule="exact"/>
              <w:rPr>
                <w:sz w:val="20"/>
                <w:szCs w:val="20"/>
                <w:color w:val="auto"/>
              </w:rPr>
            </w:pPr>
            <w:r>
              <w:rPr>
                <w:rFonts w:ascii="Arial" w:cs="Arial" w:eastAsia="Arial" w:hAnsi="Arial"/>
                <w:sz w:val="14"/>
                <w:szCs w:val="14"/>
                <w:b w:val="1"/>
                <w:bCs w:val="1"/>
                <w:color w:val="auto"/>
                <w:w w:val="87"/>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83"/>
              </w:rPr>
              <w:t>Cost</w:t>
            </w:r>
          </w:p>
        </w:tc>
        <w:tc>
          <w:tcPr>
            <w:tcW w:w="10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Fair Value</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601,692</w:t>
            </w:r>
          </w:p>
        </w:tc>
        <w:tc>
          <w:tcPr>
            <w:tcW w:w="2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602,491</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560,190</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560,999</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00" w:type="dxa"/>
            <w:vAlign w:val="bottom"/>
          </w:tcPr>
          <w:p>
            <w:pPr>
              <w:spacing w:after="0"/>
              <w:rPr>
                <w:sz w:val="18"/>
                <w:szCs w:val="18"/>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970,077</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971,263</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519,262</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521,957</w:t>
            </w:r>
          </w:p>
        </w:tc>
        <w:tc>
          <w:tcPr>
            <w:tcW w:w="100" w:type="dxa"/>
            <w:vAlign w:val="bottom"/>
          </w:tcPr>
          <w:p>
            <w:pPr>
              <w:spacing w:after="0"/>
              <w:rPr>
                <w:sz w:val="18"/>
                <w:szCs w:val="18"/>
                <w:color w:val="auto"/>
              </w:rPr>
            </w:pPr>
          </w:p>
        </w:tc>
      </w:tr>
      <w:tr>
        <w:trPr>
          <w:trHeight w:val="216"/>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24,550</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23,218</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27,850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60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1,596,319</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1,596,972</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1,107,302</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1,109,182</w:t>
            </w:r>
          </w:p>
        </w:tc>
        <w:tc>
          <w:tcPr>
            <w:tcW w:w="100" w:type="dxa"/>
            <w:vAlign w:val="bottom"/>
          </w:tcPr>
          <w:p>
            <w:pPr>
              <w:spacing w:after="0"/>
              <w:rPr>
                <w:sz w:val="19"/>
                <w:szCs w:val="19"/>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0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6"/>
          </w:tcPr>
          <w:p>
            <w:pPr>
              <w:jc w:val="center"/>
              <w:ind w:right="260"/>
              <w:spacing w:after="0"/>
              <w:rPr>
                <w:sz w:val="20"/>
                <w:szCs w:val="20"/>
                <w:color w:val="auto"/>
              </w:rPr>
            </w:pPr>
            <w:r>
              <w:rPr>
                <w:rFonts w:ascii="Arial" w:cs="Arial" w:eastAsia="Arial" w:hAnsi="Arial"/>
                <w:sz w:val="14"/>
                <w:szCs w:val="14"/>
                <w:b w:val="1"/>
                <w:bCs w:val="1"/>
                <w:color w:val="auto"/>
                <w:w w:val="87"/>
              </w:rPr>
              <w:t>October 29, 2011</w:t>
            </w: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2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860" w:type="dxa"/>
            <w:vAlign w:val="bottom"/>
            <w:gridSpan w:val="7"/>
          </w:tcPr>
          <w:p>
            <w:pPr>
              <w:ind w:left="200"/>
              <w:spacing w:after="0" w:line="142" w:lineRule="exact"/>
              <w:rPr>
                <w:sz w:val="20"/>
                <w:szCs w:val="20"/>
                <w:color w:val="auto"/>
              </w:rPr>
            </w:pPr>
            <w:r>
              <w:rPr>
                <w:rFonts w:ascii="Arial" w:cs="Arial" w:eastAsia="Arial" w:hAnsi="Arial"/>
                <w:sz w:val="14"/>
                <w:szCs w:val="14"/>
                <w:b w:val="1"/>
                <w:bCs w:val="1"/>
                <w:color w:val="auto"/>
              </w:rPr>
              <w:t>Less than 12 months</w:t>
            </w: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600" w:type="dxa"/>
            <w:vAlign w:val="bottom"/>
            <w:gridSpan w:val="6"/>
          </w:tcPr>
          <w:p>
            <w:pPr>
              <w:jc w:val="center"/>
              <w:ind w:right="260"/>
              <w:spacing w:after="0" w:line="142" w:lineRule="exact"/>
              <w:rPr>
                <w:sz w:val="20"/>
                <w:szCs w:val="20"/>
                <w:color w:val="auto"/>
              </w:rPr>
            </w:pPr>
            <w:r>
              <w:rPr>
                <w:rFonts w:ascii="Arial" w:cs="Arial" w:eastAsia="Arial" w:hAnsi="Arial"/>
                <w:sz w:val="14"/>
                <w:szCs w:val="14"/>
                <w:b w:val="1"/>
                <w:bCs w:val="1"/>
                <w:color w:val="auto"/>
                <w:w w:val="87"/>
              </w:rPr>
              <w:t>12 months or more</w:t>
            </w: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60" w:type="dxa"/>
            <w:vAlign w:val="bottom"/>
            <w:gridSpan w:val="2"/>
          </w:tcPr>
          <w:p>
            <w:pPr>
              <w:ind w:left="64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200" w:type="dxa"/>
            <w:vAlign w:val="bottom"/>
          </w:tcPr>
          <w:p>
            <w:pPr>
              <w:spacing w:after="0"/>
              <w:rPr>
                <w:sz w:val="11"/>
                <w:szCs w:val="11"/>
                <w:color w:val="auto"/>
              </w:rPr>
            </w:pPr>
          </w:p>
        </w:tc>
        <w:tc>
          <w:tcPr>
            <w:tcW w:w="17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tcBorders>
              <w:top w:val="single" w:sz="8" w:color="auto"/>
            </w:tcBorders>
            <w:gridSpan w:val="2"/>
          </w:tcPr>
          <w:p>
            <w:pPr>
              <w:ind w:left="200"/>
              <w:spacing w:after="0" w:line="129" w:lineRule="exact"/>
              <w:rPr>
                <w:sz w:val="20"/>
                <w:szCs w:val="20"/>
                <w:color w:val="auto"/>
              </w:rPr>
            </w:pPr>
            <w:r>
              <w:rPr>
                <w:rFonts w:ascii="Arial" w:cs="Arial" w:eastAsia="Arial" w:hAnsi="Arial"/>
                <w:sz w:val="14"/>
                <w:szCs w:val="14"/>
                <w:b w:val="1"/>
                <w:bCs w:val="1"/>
                <w:color w:val="auto"/>
              </w:rPr>
              <w:t>Fair</w:t>
            </w:r>
          </w:p>
        </w:tc>
        <w:tc>
          <w:tcPr>
            <w:tcW w:w="120" w:type="dxa"/>
            <w:vAlign w:val="bottom"/>
            <w:tcBorders>
              <w:top w:val="single" w:sz="8" w:color="auto"/>
            </w:tcBorders>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76"/>
              </w:rPr>
              <w:t>Unrealized</w:t>
            </w:r>
          </w:p>
        </w:tc>
        <w:tc>
          <w:tcPr>
            <w:tcW w:w="3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jc w:val="right"/>
              <w:ind w:right="65"/>
              <w:spacing w:after="0" w:line="129" w:lineRule="exact"/>
              <w:rPr>
                <w:sz w:val="20"/>
                <w:szCs w:val="20"/>
                <w:color w:val="auto"/>
              </w:rPr>
            </w:pPr>
            <w:r>
              <w:rPr>
                <w:rFonts w:ascii="Arial" w:cs="Arial" w:eastAsia="Arial" w:hAnsi="Arial"/>
                <w:sz w:val="14"/>
                <w:szCs w:val="14"/>
                <w:b w:val="1"/>
                <w:bCs w:val="1"/>
                <w:color w:val="auto"/>
              </w:rPr>
              <w:t>Fair</w:t>
            </w:r>
          </w:p>
        </w:tc>
        <w:tc>
          <w:tcPr>
            <w:tcW w:w="30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79"/>
              </w:rPr>
              <w:t>Unrealized</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6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20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ind w:left="160"/>
              <w:spacing w:after="0"/>
              <w:rPr>
                <w:sz w:val="20"/>
                <w:szCs w:val="20"/>
                <w:color w:val="auto"/>
              </w:rPr>
            </w:pPr>
            <w:r>
              <w:rPr>
                <w:rFonts w:ascii="Arial" w:cs="Arial" w:eastAsia="Arial" w:hAnsi="Arial"/>
                <w:sz w:val="14"/>
                <w:szCs w:val="14"/>
                <w:b w:val="1"/>
                <w:bCs w:val="1"/>
                <w:color w:val="auto"/>
              </w:rPr>
              <w:t>Value</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97"/>
              </w:rPr>
              <w:t>Loss</w:t>
            </w: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60" w:type="dxa"/>
            <w:vAlign w:val="bottom"/>
          </w:tcPr>
          <w:p>
            <w:pPr>
              <w:jc w:val="right"/>
              <w:ind w:right="25"/>
              <w:spacing w:after="0"/>
              <w:rPr>
                <w:sz w:val="20"/>
                <w:szCs w:val="20"/>
                <w:color w:val="auto"/>
              </w:rPr>
            </w:pPr>
            <w:r>
              <w:rPr>
                <w:rFonts w:ascii="Arial" w:cs="Arial" w:eastAsia="Arial" w:hAnsi="Arial"/>
                <w:sz w:val="14"/>
                <w:szCs w:val="14"/>
                <w:b w:val="1"/>
                <w:bCs w:val="1"/>
                <w:color w:val="auto"/>
                <w:w w:val="90"/>
              </w:rPr>
              <w:t>Value</w:t>
            </w: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42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7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$250,560</w:t>
            </w:r>
          </w:p>
        </w:tc>
        <w:tc>
          <w:tcPr>
            <w:tcW w:w="180" w:type="dxa"/>
            <w:vAlign w:val="bottom"/>
            <w:tcBorders>
              <w:top w:val="single" w:sz="8" w:color="CCEEFF"/>
              <w:left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(1,676)</w:t>
            </w:r>
          </w:p>
        </w:tc>
        <w:tc>
          <w:tcPr>
            <w:tcW w:w="320" w:type="dxa"/>
            <w:vAlign w:val="bottom"/>
            <w:tcBorders>
              <w:top w:val="single" w:sz="8" w:color="CCEEFF"/>
              <w:left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left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left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$250,560</w:t>
            </w:r>
          </w:p>
        </w:tc>
        <w:tc>
          <w:tcPr>
            <w:tcW w:w="320" w:type="dxa"/>
            <w:vAlign w:val="bottom"/>
            <w:tcBorders>
              <w:top w:val="single" w:sz="8" w:color="CCEEFF"/>
              <w:left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(1,676)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U.S. government and agency securities</w:t>
            </w:r>
          </w:p>
        </w:tc>
        <w:tc>
          <w:tcPr>
            <w:tcW w:w="2580" w:type="dxa"/>
            <w:vAlign w:val="bottom"/>
            <w:gridSpan w:val="4"/>
          </w:tcPr>
          <w:p>
            <w:pPr>
              <w:jc w:val="right"/>
              <w:ind w:right="120"/>
              <w:spacing w:after="0"/>
              <w:rPr>
                <w:sz w:val="20"/>
                <w:szCs w:val="20"/>
                <w:color w:val="auto"/>
              </w:rPr>
            </w:pPr>
            <w:r>
              <w:rPr>
                <w:rFonts w:ascii="Arial" w:cs="Arial" w:eastAsia="Arial" w:hAnsi="Arial"/>
                <w:sz w:val="18"/>
                <w:szCs w:val="18"/>
                <w:color w:val="auto"/>
              </w:rPr>
              <w:t>286,030</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(280)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286,030</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(280)</w:t>
            </w: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ind w:left="400"/>
              <w:spacing w:after="0"/>
              <w:rPr>
                <w:sz w:val="20"/>
                <w:szCs w:val="20"/>
                <w:color w:val="auto"/>
              </w:rPr>
            </w:pPr>
            <w:r>
              <w:rPr>
                <w:rFonts w:ascii="Arial" w:cs="Arial" w:eastAsia="Arial" w:hAnsi="Arial"/>
                <w:sz w:val="18"/>
                <w:szCs w:val="18"/>
                <w:color w:val="auto"/>
                <w:w w:val="88"/>
              </w:rPr>
              <w:t>—</w:t>
            </w:r>
          </w:p>
        </w:tc>
        <w:tc>
          <w:tcPr>
            <w:tcW w:w="18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tcBorders>
              <w:left w:val="single" w:sz="8" w:color="CCEEFF"/>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23,218</w:t>
            </w:r>
          </w:p>
        </w:tc>
        <w:tc>
          <w:tcPr>
            <w:tcW w:w="300" w:type="dxa"/>
            <w:vAlign w:val="bottom"/>
            <w:tcBorders>
              <w:left w:val="single" w:sz="8" w:color="CCEEFF"/>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center"/>
              <w:ind w:right="60"/>
              <w:spacing w:after="0"/>
              <w:rPr>
                <w:sz w:val="20"/>
                <w:szCs w:val="20"/>
                <w:color w:val="auto"/>
              </w:rPr>
            </w:pPr>
            <w:r>
              <w:rPr>
                <w:rFonts w:ascii="Arial" w:cs="Arial" w:eastAsia="Arial" w:hAnsi="Arial"/>
                <w:sz w:val="18"/>
                <w:szCs w:val="18"/>
                <w:color w:val="auto"/>
                <w:w w:val="87"/>
              </w:rPr>
              <w:t>(1,332)</w:t>
            </w: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23,218</w:t>
            </w:r>
          </w:p>
        </w:tc>
        <w:tc>
          <w:tcPr>
            <w:tcW w:w="320" w:type="dxa"/>
            <w:vAlign w:val="bottom"/>
            <w:tcBorders>
              <w:lef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(1,332)</w:t>
            </w:r>
          </w:p>
        </w:tc>
        <w:tc>
          <w:tcPr>
            <w:tcW w:w="0" w:type="dxa"/>
            <w:vAlign w:val="bottom"/>
          </w:tcPr>
          <w:p>
            <w:pPr>
              <w:spacing w:after="0"/>
              <w:rPr>
                <w:sz w:val="1"/>
                <w:szCs w:val="1"/>
                <w:color w:val="auto"/>
              </w:rPr>
            </w:pPr>
          </w:p>
        </w:tc>
      </w:tr>
      <w:tr>
        <w:trPr>
          <w:trHeight w:val="20"/>
        </w:trPr>
        <w:tc>
          <w:tcPr>
            <w:tcW w:w="420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7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20" w:type="dxa"/>
            <w:vAlign w:val="bottom"/>
            <w:tcBorders>
              <w:left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gridSpan w:val="2"/>
            <w:shd w:val="clear" w:color="auto" w:fill="000000"/>
          </w:tcPr>
          <w:p>
            <w:pPr>
              <w:spacing w:after="0" w:line="20" w:lineRule="exact"/>
              <w:rPr>
                <w:sz w:val="1"/>
                <w:szCs w:val="1"/>
                <w:color w:val="auto"/>
              </w:rPr>
            </w:pPr>
          </w:p>
        </w:tc>
        <w:tc>
          <w:tcPr>
            <w:tcW w:w="300" w:type="dxa"/>
            <w:vAlign w:val="bottom"/>
            <w:tcBorders>
              <w:left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20" w:type="dxa"/>
            <w:vAlign w:val="bottom"/>
            <w:tcBorders>
              <w:left w:val="single" w:sz="8" w:color="auto"/>
            </w:tcBorders>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200" w:type="dxa"/>
            <w:vAlign w:val="bottom"/>
            <w:vMerge w:val="continue"/>
          </w:tcPr>
          <w:p>
            <w:pPr>
              <w:spacing w:after="0"/>
              <w:rPr>
                <w:sz w:val="19"/>
                <w:szCs w:val="19"/>
                <w:color w:val="auto"/>
              </w:rPr>
            </w:pPr>
          </w:p>
        </w:tc>
        <w:tc>
          <w:tcPr>
            <w:tcW w:w="2580" w:type="dxa"/>
            <w:vAlign w:val="bottom"/>
            <w:gridSpan w:val="4"/>
          </w:tcPr>
          <w:p>
            <w:pPr>
              <w:jc w:val="right"/>
              <w:ind w:right="1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536,590</w:t>
            </w:r>
          </w:p>
        </w:tc>
        <w:tc>
          <w:tcPr>
            <w:tcW w:w="300" w:type="dxa"/>
            <w:vAlign w:val="bottom"/>
            <w:gridSpan w:val="3"/>
          </w:tcPr>
          <w:p>
            <w:pPr>
              <w:ind w:left="18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98"/>
              </w:rPr>
              <w:t>(1,956)</w:t>
            </w:r>
          </w:p>
        </w:tc>
        <w:tc>
          <w:tcPr>
            <w:tcW w:w="58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23,218</w:t>
            </w:r>
          </w:p>
        </w:tc>
        <w:tc>
          <w:tcPr>
            <w:tcW w:w="4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center"/>
              <w:ind w:right="60"/>
              <w:spacing w:after="0"/>
              <w:rPr>
                <w:sz w:val="20"/>
                <w:szCs w:val="20"/>
                <w:color w:val="auto"/>
              </w:rPr>
            </w:pPr>
            <w:r>
              <w:rPr>
                <w:rFonts w:ascii="Arial" w:cs="Arial" w:eastAsia="Arial" w:hAnsi="Arial"/>
                <w:sz w:val="18"/>
                <w:szCs w:val="18"/>
                <w:color w:val="auto"/>
                <w:w w:val="87"/>
              </w:rPr>
              <w:t>(1,332)</w:t>
            </w:r>
          </w:p>
        </w:tc>
        <w:tc>
          <w:tcPr>
            <w:tcW w:w="78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559,808</w:t>
            </w:r>
          </w:p>
        </w:tc>
        <w:tc>
          <w:tcPr>
            <w:tcW w:w="3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(3,288)</w:t>
            </w:r>
          </w:p>
        </w:tc>
        <w:tc>
          <w:tcPr>
            <w:tcW w:w="0" w:type="dxa"/>
            <w:vAlign w:val="bottom"/>
          </w:tcPr>
          <w:p>
            <w:pPr>
              <w:spacing w:after="0"/>
              <w:rPr>
                <w:sz w:val="1"/>
                <w:szCs w:val="1"/>
                <w:color w:val="auto"/>
              </w:rPr>
            </w:pPr>
          </w:p>
        </w:tc>
      </w:tr>
      <w:tr>
        <w:trPr>
          <w:trHeight w:val="20"/>
        </w:trPr>
        <w:tc>
          <w:tcPr>
            <w:tcW w:w="420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420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600" w:type="dxa"/>
            <w:vAlign w:val="bottom"/>
            <w:tcBorders>
              <w:bottom w:val="single" w:sz="8" w:color="auto"/>
            </w:tcBorders>
            <w:gridSpan w:val="6"/>
          </w:tcPr>
          <w:p>
            <w:pPr>
              <w:jc w:val="center"/>
              <w:ind w:right="340"/>
              <w:spacing w:after="0"/>
              <w:rPr>
                <w:sz w:val="20"/>
                <w:szCs w:val="20"/>
                <w:color w:val="auto"/>
              </w:rPr>
            </w:pPr>
            <w:r>
              <w:rPr>
                <w:rFonts w:ascii="Arial" w:cs="Arial" w:eastAsia="Arial" w:hAnsi="Arial"/>
                <w:sz w:val="14"/>
                <w:szCs w:val="14"/>
                <w:b w:val="1"/>
                <w:bCs w:val="1"/>
                <w:color w:val="auto"/>
                <w:w w:val="87"/>
              </w:rPr>
              <w:t>January 29, 2011</w:t>
            </w:r>
          </w:p>
        </w:tc>
        <w:tc>
          <w:tcPr>
            <w:tcW w:w="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420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860" w:type="dxa"/>
            <w:vAlign w:val="bottom"/>
            <w:gridSpan w:val="7"/>
          </w:tcPr>
          <w:p>
            <w:pPr>
              <w:ind w:left="140"/>
              <w:spacing w:after="0" w:line="142" w:lineRule="exact"/>
              <w:rPr>
                <w:sz w:val="20"/>
                <w:szCs w:val="20"/>
                <w:color w:val="auto"/>
              </w:rPr>
            </w:pPr>
            <w:r>
              <w:rPr>
                <w:rFonts w:ascii="Arial" w:cs="Arial" w:eastAsia="Arial" w:hAnsi="Arial"/>
                <w:sz w:val="14"/>
                <w:szCs w:val="14"/>
                <w:b w:val="1"/>
                <w:bCs w:val="1"/>
                <w:color w:val="auto"/>
              </w:rPr>
              <w:t>Less than 12 months</w:t>
            </w: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600" w:type="dxa"/>
            <w:vAlign w:val="bottom"/>
            <w:gridSpan w:val="6"/>
          </w:tcPr>
          <w:p>
            <w:pPr>
              <w:jc w:val="center"/>
              <w:ind w:right="32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60" w:type="dxa"/>
            <w:vAlign w:val="bottom"/>
            <w:gridSpan w:val="2"/>
          </w:tcPr>
          <w:p>
            <w:pPr>
              <w:ind w:left="64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200" w:type="dxa"/>
            <w:vAlign w:val="bottom"/>
          </w:tcPr>
          <w:p>
            <w:pPr>
              <w:spacing w:after="0"/>
              <w:rPr>
                <w:sz w:val="11"/>
                <w:szCs w:val="11"/>
                <w:color w:val="auto"/>
              </w:rPr>
            </w:pPr>
          </w:p>
        </w:tc>
        <w:tc>
          <w:tcPr>
            <w:tcW w:w="17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gridSpan w:val="2"/>
          </w:tcPr>
          <w:p>
            <w:pPr>
              <w:ind w:left="140"/>
              <w:spacing w:after="0" w:line="129" w:lineRule="exact"/>
              <w:rPr>
                <w:sz w:val="20"/>
                <w:szCs w:val="20"/>
                <w:color w:val="auto"/>
              </w:rPr>
            </w:pPr>
            <w:r>
              <w:rPr>
                <w:rFonts w:ascii="Arial" w:cs="Arial" w:eastAsia="Arial" w:hAnsi="Arial"/>
                <w:sz w:val="14"/>
                <w:szCs w:val="14"/>
                <w:b w:val="1"/>
                <w:bCs w:val="1"/>
                <w:color w:val="auto"/>
              </w:rPr>
              <w:t>Fair</w:t>
            </w:r>
          </w:p>
        </w:tc>
        <w:tc>
          <w:tcPr>
            <w:tcW w:w="1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w w:val="81"/>
              </w:rPr>
              <w:t>Unrealized</w:t>
            </w:r>
          </w:p>
        </w:tc>
        <w:tc>
          <w:tcPr>
            <w:tcW w:w="320" w:type="dxa"/>
            <w:vAlign w:val="bottom"/>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jc w:val="right"/>
              <w:ind w:right="105"/>
              <w:spacing w:after="0" w:line="129" w:lineRule="exact"/>
              <w:rPr>
                <w:sz w:val="20"/>
                <w:szCs w:val="20"/>
                <w:color w:val="auto"/>
              </w:rPr>
            </w:pPr>
            <w:r>
              <w:rPr>
                <w:rFonts w:ascii="Arial" w:cs="Arial" w:eastAsia="Arial" w:hAnsi="Arial"/>
                <w:sz w:val="14"/>
                <w:szCs w:val="14"/>
                <w:b w:val="1"/>
                <w:bCs w:val="1"/>
                <w:color w:val="auto"/>
              </w:rPr>
              <w:t>Fair</w:t>
            </w:r>
          </w:p>
        </w:tc>
        <w:tc>
          <w:tcPr>
            <w:tcW w:w="3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20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ind w:left="100"/>
              <w:spacing w:after="0"/>
              <w:rPr>
                <w:sz w:val="20"/>
                <w:szCs w:val="20"/>
                <w:color w:val="auto"/>
              </w:rPr>
            </w:pPr>
            <w:r>
              <w:rPr>
                <w:rFonts w:ascii="Arial" w:cs="Arial" w:eastAsia="Arial" w:hAnsi="Arial"/>
                <w:sz w:val="14"/>
                <w:szCs w:val="14"/>
                <w:b w:val="1"/>
                <w:bCs w:val="1"/>
                <w:color w:val="auto"/>
              </w:rPr>
              <w:t>Value</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79"/>
              </w:rPr>
              <w:t>Loss</w:t>
            </w: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60" w:type="dxa"/>
            <w:vAlign w:val="bottom"/>
          </w:tcPr>
          <w:p>
            <w:pPr>
              <w:jc w:val="right"/>
              <w:ind w:right="65"/>
              <w:spacing w:after="0"/>
              <w:rPr>
                <w:sz w:val="20"/>
                <w:szCs w:val="20"/>
                <w:color w:val="auto"/>
              </w:rPr>
            </w:pPr>
            <w:r>
              <w:rPr>
                <w:rFonts w:ascii="Arial" w:cs="Arial" w:eastAsia="Arial" w:hAnsi="Arial"/>
                <w:sz w:val="14"/>
                <w:szCs w:val="14"/>
                <w:b w:val="1"/>
                <w:bCs w:val="1"/>
                <w:color w:val="auto"/>
                <w:w w:val="80"/>
              </w:rPr>
              <w:t>Value</w:t>
            </w: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gridSpan w:val="2"/>
          </w:tcPr>
          <w:p>
            <w:pPr>
              <w:ind w:left="40"/>
              <w:spacing w:after="0"/>
              <w:rPr>
                <w:sz w:val="20"/>
                <w:szCs w:val="20"/>
                <w:color w:val="auto"/>
              </w:rPr>
            </w:pPr>
            <w:r>
              <w:rPr>
                <w:rFonts w:ascii="Arial" w:cs="Arial" w:eastAsia="Arial" w:hAnsi="Arial"/>
                <w:sz w:val="14"/>
                <w:szCs w:val="14"/>
                <w:b w:val="1"/>
                <w:bCs w:val="1"/>
                <w:color w:val="auto"/>
              </w:rPr>
              <w:t>Loss</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42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7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2"/>
              </w:rPr>
              <w:t>$ 113,081</w:t>
            </w:r>
          </w:p>
        </w:tc>
        <w:tc>
          <w:tcPr>
            <w:tcW w:w="180" w:type="dxa"/>
            <w:vAlign w:val="bottom"/>
            <w:tcBorders>
              <w:top w:val="single" w:sz="8" w:color="CCEEFF"/>
              <w:left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(213)</w:t>
            </w:r>
          </w:p>
        </w:tc>
        <w:tc>
          <w:tcPr>
            <w:tcW w:w="320" w:type="dxa"/>
            <w:vAlign w:val="bottom"/>
            <w:tcBorders>
              <w:top w:val="single" w:sz="8" w:color="CCEEFF"/>
              <w:left w:val="single" w:sz="8" w:color="CCEEFF"/>
            </w:tcBorders>
            <w:shd w:val="clear" w:color="auto" w:fill="CCEEFF"/>
          </w:tcPr>
          <w:p>
            <w:pPr>
              <w:spacing w:after="0"/>
              <w:rPr>
                <w:sz w:val="18"/>
                <w:szCs w:val="18"/>
                <w:color w:val="auto"/>
              </w:rPr>
            </w:pPr>
          </w:p>
        </w:tc>
        <w:tc>
          <w:tcPr>
            <w:tcW w:w="1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left w:val="single" w:sz="8" w:color="CCEEFF"/>
            </w:tcBorders>
            <w:shd w:val="clear" w:color="auto" w:fill="CCEEFF"/>
          </w:tcPr>
          <w:p>
            <w:pPr>
              <w:spacing w:after="0"/>
              <w:rPr>
                <w:sz w:val="18"/>
                <w:szCs w:val="18"/>
                <w:color w:val="auto"/>
              </w:rPr>
            </w:pPr>
          </w:p>
        </w:tc>
        <w:tc>
          <w:tcPr>
            <w:tcW w:w="160" w:type="dxa"/>
            <w:vAlign w:val="bottom"/>
            <w:tcBorders>
              <w:top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jc w:val="center"/>
              <w:ind w:left="56"/>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CCEEFF"/>
              <w:left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$ 113,081</w:t>
            </w:r>
          </w:p>
        </w:tc>
        <w:tc>
          <w:tcPr>
            <w:tcW w:w="320" w:type="dxa"/>
            <w:vAlign w:val="bottom"/>
            <w:tcBorders>
              <w:top w:val="single" w:sz="8" w:color="CCEEFF"/>
              <w:left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00" w:type="dxa"/>
            <w:vAlign w:val="bottom"/>
          </w:tcPr>
          <w:p>
            <w:pPr>
              <w:spacing w:after="0"/>
              <w:rPr>
                <w:sz w:val="20"/>
                <w:szCs w:val="20"/>
                <w:color w:val="auto"/>
              </w:rPr>
            </w:pPr>
            <w:r>
              <w:rPr>
                <w:rFonts w:ascii="Arial" w:cs="Arial" w:eastAsia="Arial" w:hAnsi="Arial"/>
                <w:sz w:val="18"/>
                <w:szCs w:val="18"/>
                <w:color w:val="auto"/>
              </w:rPr>
              <w:t>U.S. government and agency securities</w:t>
            </w:r>
          </w:p>
        </w:tc>
        <w:tc>
          <w:tcPr>
            <w:tcW w:w="2400" w:type="dxa"/>
            <w:vAlign w:val="bottom"/>
            <w:gridSpan w:val="3"/>
          </w:tcPr>
          <w:p>
            <w:pPr>
              <w:jc w:val="right"/>
              <w:spacing w:after="0"/>
              <w:rPr>
                <w:sz w:val="20"/>
                <w:szCs w:val="20"/>
                <w:color w:val="auto"/>
              </w:rPr>
            </w:pPr>
            <w:r>
              <w:rPr>
                <w:rFonts w:ascii="Arial" w:cs="Arial" w:eastAsia="Arial" w:hAnsi="Arial"/>
                <w:sz w:val="18"/>
                <w:szCs w:val="18"/>
                <w:color w:val="auto"/>
              </w:rPr>
              <w:t>91,962</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(52)</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jc w:val="right"/>
              <w:ind w:right="2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center"/>
              <w:ind w:right="60"/>
              <w:spacing w:after="0"/>
              <w:rPr>
                <w:sz w:val="20"/>
                <w:szCs w:val="20"/>
                <w:color w:val="auto"/>
              </w:rPr>
            </w:pPr>
            <w:r>
              <w:rPr>
                <w:rFonts w:ascii="Arial" w:cs="Arial" w:eastAsia="Arial" w:hAnsi="Arial"/>
                <w:sz w:val="18"/>
                <w:szCs w:val="18"/>
                <w:color w:val="auto"/>
                <w:w w:val="99"/>
              </w:rPr>
              <w:t>—</w:t>
            </w:r>
          </w:p>
        </w:tc>
        <w:tc>
          <w:tcPr>
            <w:tcW w:w="780" w:type="dxa"/>
            <w:vAlign w:val="bottom"/>
            <w:gridSpan w:val="3"/>
          </w:tcPr>
          <w:p>
            <w:pPr>
              <w:jc w:val="right"/>
              <w:spacing w:after="0"/>
              <w:rPr>
                <w:sz w:val="20"/>
                <w:szCs w:val="20"/>
                <w:color w:val="auto"/>
              </w:rPr>
            </w:pPr>
            <w:r>
              <w:rPr>
                <w:rFonts w:ascii="Arial" w:cs="Arial" w:eastAsia="Arial" w:hAnsi="Arial"/>
                <w:sz w:val="18"/>
                <w:szCs w:val="18"/>
                <w:color w:val="auto"/>
              </w:rPr>
              <w:t>91,962</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7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180" w:type="dxa"/>
            <w:vAlign w:val="bottom"/>
            <w:tcBorders>
              <w:lef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tcBorders>
              <w:left w:val="single" w:sz="8" w:color="CCEEFF"/>
            </w:tcBorders>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300" w:type="dxa"/>
            <w:vAlign w:val="bottom"/>
            <w:tcBorders>
              <w:left w:val="single" w:sz="8" w:color="CCEEFF"/>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(1,624)</w:t>
            </w: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320" w:type="dxa"/>
            <w:vAlign w:val="bottom"/>
            <w:tcBorders>
              <w:lef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(1,624)</w:t>
            </w:r>
          </w:p>
        </w:tc>
        <w:tc>
          <w:tcPr>
            <w:tcW w:w="0" w:type="dxa"/>
            <w:vAlign w:val="bottom"/>
          </w:tcPr>
          <w:p>
            <w:pPr>
              <w:spacing w:after="0"/>
              <w:rPr>
                <w:sz w:val="1"/>
                <w:szCs w:val="1"/>
                <w:color w:val="auto"/>
              </w:rPr>
            </w:pPr>
          </w:p>
        </w:tc>
      </w:tr>
      <w:tr>
        <w:trPr>
          <w:trHeight w:val="20"/>
        </w:trPr>
        <w:tc>
          <w:tcPr>
            <w:tcW w:w="420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720" w:type="dxa"/>
            <w:vAlign w:val="bottom"/>
          </w:tcPr>
          <w:p>
            <w:pPr>
              <w:spacing w:after="0" w:line="20" w:lineRule="exact"/>
              <w:rPr>
                <w:sz w:val="1"/>
                <w:szCs w:val="1"/>
                <w:color w:val="auto"/>
              </w:rPr>
            </w:pPr>
          </w:p>
        </w:tc>
        <w:tc>
          <w:tcPr>
            <w:tcW w:w="680" w:type="dxa"/>
            <w:vAlign w:val="bottom"/>
            <w:gridSpan w:val="2"/>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gridSpan w:val="2"/>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gridSpan w:val="3"/>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60" w:type="dxa"/>
            <w:vAlign w:val="bottom"/>
            <w:gridSpan w:val="2"/>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200" w:type="dxa"/>
            <w:vAlign w:val="bottom"/>
            <w:vMerge w:val="continue"/>
          </w:tcPr>
          <w:p>
            <w:pPr>
              <w:spacing w:after="0"/>
              <w:rPr>
                <w:sz w:val="19"/>
                <w:szCs w:val="19"/>
                <w:color w:val="auto"/>
              </w:rPr>
            </w:pPr>
          </w:p>
        </w:tc>
        <w:tc>
          <w:tcPr>
            <w:tcW w:w="1720" w:type="dxa"/>
            <w:vAlign w:val="bottom"/>
          </w:tcPr>
          <w:p>
            <w:pPr>
              <w:spacing w:after="0"/>
              <w:rPr>
                <w:sz w:val="19"/>
                <w:szCs w:val="19"/>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205,043</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gridSpan w:val="2"/>
          </w:tcPr>
          <w:p>
            <w:pPr>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60"/>
              <w:spacing w:after="0"/>
              <w:rPr>
                <w:sz w:val="20"/>
                <w:szCs w:val="20"/>
                <w:color w:val="auto"/>
              </w:rPr>
            </w:pPr>
            <w:r>
              <w:rPr>
                <w:rFonts w:ascii="Arial" w:cs="Arial" w:eastAsia="Arial" w:hAnsi="Arial"/>
                <w:sz w:val="18"/>
                <w:szCs w:val="18"/>
                <w:color w:val="auto"/>
              </w:rPr>
              <w:t>(265)</w:t>
            </w:r>
          </w:p>
        </w:tc>
        <w:tc>
          <w:tcPr>
            <w:tcW w:w="58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26,226</w:t>
            </w:r>
          </w:p>
        </w:tc>
        <w:tc>
          <w:tcPr>
            <w:tcW w:w="460" w:type="dxa"/>
            <w:vAlign w:val="bottom"/>
            <w:gridSpan w:val="3"/>
          </w:tcPr>
          <w:p>
            <w:pPr>
              <w:ind w:left="300"/>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20"/>
              <w:spacing w:after="0"/>
              <w:rPr>
                <w:sz w:val="20"/>
                <w:szCs w:val="20"/>
                <w:color w:val="auto"/>
              </w:rPr>
            </w:pPr>
            <w:r>
              <w:rPr>
                <w:rFonts w:ascii="Arial" w:cs="Arial" w:eastAsia="Arial" w:hAnsi="Arial"/>
                <w:sz w:val="18"/>
                <w:szCs w:val="18"/>
                <w:color w:val="auto"/>
              </w:rPr>
              <w:t>(1,624)</w:t>
            </w:r>
          </w:p>
        </w:tc>
        <w:tc>
          <w:tcPr>
            <w:tcW w:w="78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231,269</w:t>
            </w:r>
          </w:p>
        </w:tc>
        <w:tc>
          <w:tcPr>
            <w:tcW w:w="3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(1,889)</w:t>
            </w:r>
          </w:p>
        </w:tc>
        <w:tc>
          <w:tcPr>
            <w:tcW w:w="0" w:type="dxa"/>
            <w:vAlign w:val="bottom"/>
          </w:tcPr>
          <w:p>
            <w:pPr>
              <w:spacing w:after="0"/>
              <w:rPr>
                <w:sz w:val="1"/>
                <w:szCs w:val="1"/>
                <w:color w:val="auto"/>
              </w:rPr>
            </w:pPr>
          </w:p>
        </w:tc>
      </w:tr>
      <w:tr>
        <w:trPr>
          <w:trHeight w:val="20"/>
        </w:trPr>
        <w:tc>
          <w:tcPr>
            <w:tcW w:w="4200" w:type="dxa"/>
            <w:vAlign w:val="bottom"/>
          </w:tcPr>
          <w:p>
            <w:pPr>
              <w:spacing w:after="0" w:line="20" w:lineRule="exact"/>
              <w:rPr>
                <w:sz w:val="1"/>
                <w:szCs w:val="1"/>
                <w:color w:val="auto"/>
              </w:rPr>
            </w:pPr>
          </w:p>
        </w:tc>
        <w:tc>
          <w:tcPr>
            <w:tcW w:w="1720" w:type="dxa"/>
            <w:vAlign w:val="bottom"/>
            <w:vMerge w:val="restart"/>
          </w:tcPr>
          <w:p>
            <w:pPr>
              <w:jc w:val="right"/>
              <w:ind w:right="7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200" w:type="dxa"/>
            <w:vAlign w:val="bottom"/>
          </w:tcPr>
          <w:p>
            <w:pPr>
              <w:spacing w:after="0"/>
              <w:rPr>
                <w:sz w:val="24"/>
                <w:szCs w:val="24"/>
                <w:color w:val="auto"/>
              </w:rPr>
            </w:pPr>
          </w:p>
        </w:tc>
        <w:tc>
          <w:tcPr>
            <w:tcW w:w="172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Inventories</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7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October 29,</w:t>
            </w:r>
          </w:p>
        </w:tc>
        <w:tc>
          <w:tcPr>
            <w:tcW w:w="520" w:type="dxa"/>
            <w:vAlign w:val="bottom"/>
          </w:tcPr>
          <w:p>
            <w:pPr>
              <w:spacing w:after="0"/>
              <w:rPr>
                <w:sz w:val="14"/>
                <w:szCs w:val="14"/>
                <w:color w:val="auto"/>
              </w:rPr>
            </w:pPr>
          </w:p>
        </w:tc>
        <w:tc>
          <w:tcPr>
            <w:tcW w:w="78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8"/>
              </w:rPr>
              <w:t>January 29,</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4180" w:type="dxa"/>
            <w:vAlign w:val="bottom"/>
            <w:tcBorders>
              <w:bottom w:val="single" w:sz="8" w:color="CCEEFF"/>
            </w:tcBorders>
          </w:tcPr>
          <w:p>
            <w:pPr>
              <w:spacing w:after="0"/>
              <w:rPr>
                <w:sz w:val="14"/>
                <w:szCs w:val="14"/>
                <w:color w:val="auto"/>
              </w:rPr>
            </w:pPr>
          </w:p>
        </w:tc>
        <w:tc>
          <w:tcPr>
            <w:tcW w:w="24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60" w:type="dxa"/>
            <w:vAlign w:val="bottom"/>
            <w:tcBorders>
              <w:bottom w:val="single" w:sz="8" w:color="auto"/>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1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Work-in-process</w:t>
            </w:r>
          </w:p>
        </w:tc>
        <w:tc>
          <w:tcPr>
            <w:tcW w:w="2460" w:type="dxa"/>
            <w:vAlign w:val="bottom"/>
            <w:tcBorders>
              <w:right w:val="single" w:sz="8" w:color="CCEEFF"/>
            </w:tcBorders>
            <w:shd w:val="clear" w:color="auto" w:fill="CCEEFF"/>
          </w:tcPr>
          <w:p>
            <w:pPr>
              <w:spacing w:after="0"/>
              <w:rPr>
                <w:sz w:val="18"/>
                <w:szCs w:val="18"/>
                <w:color w:val="auto"/>
              </w:rPr>
            </w:pPr>
          </w:p>
        </w:tc>
        <w:tc>
          <w:tcPr>
            <w:tcW w:w="740" w:type="dxa"/>
            <w:vAlign w:val="bottom"/>
            <w:tcBorders>
              <w:lef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w w:val="95"/>
              </w:rPr>
              <w:t>$173,899</w:t>
            </w:r>
          </w:p>
        </w:tc>
        <w:tc>
          <w:tcPr>
            <w:tcW w:w="520" w:type="dxa"/>
            <w:vAlign w:val="bottom"/>
            <w:tcBorders>
              <w:right w:val="single" w:sz="8" w:color="CCEEFF"/>
            </w:tcBorders>
            <w:shd w:val="clear" w:color="auto" w:fill="CCEEFF"/>
          </w:tcPr>
          <w:p>
            <w:pPr>
              <w:spacing w:after="0"/>
              <w:rPr>
                <w:sz w:val="18"/>
                <w:szCs w:val="18"/>
                <w:color w:val="auto"/>
              </w:rPr>
            </w:pPr>
          </w:p>
        </w:tc>
        <w:tc>
          <w:tcPr>
            <w:tcW w:w="6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2"/>
              </w:rPr>
              <w:t>$ 156,108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Finished goods</w:t>
            </w:r>
          </w:p>
        </w:tc>
        <w:tc>
          <w:tcPr>
            <w:tcW w:w="24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6"/>
              </w:rPr>
              <w:t>136,069</w:t>
            </w:r>
          </w:p>
        </w:tc>
        <w:tc>
          <w:tcPr>
            <w:tcW w:w="5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89,340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320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309,968</w:t>
            </w:r>
          </w:p>
        </w:tc>
        <w:tc>
          <w:tcPr>
            <w:tcW w:w="12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$ 245,448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1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Property and equipment, net</w:t>
            </w:r>
          </w:p>
        </w:tc>
        <w:tc>
          <w:tcPr>
            <w:tcW w:w="24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100" w:type="dxa"/>
            <w:vAlign w:val="bottom"/>
            <w:gridSpan w:val="2"/>
            <w:vMerge w:val="continue"/>
          </w:tcPr>
          <w:p>
            <w:pPr>
              <w:spacing w:after="0"/>
              <w:rPr>
                <w:sz w:val="24"/>
                <w:szCs w:val="24"/>
                <w:color w:val="auto"/>
              </w:rPr>
            </w:pPr>
          </w:p>
        </w:tc>
        <w:tc>
          <w:tcPr>
            <w:tcW w:w="2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920" w:type="dxa"/>
            <w:vAlign w:val="bottom"/>
          </w:tcPr>
          <w:p>
            <w:pPr>
              <w:spacing w:after="0"/>
              <w:rPr>
                <w:sz w:val="24"/>
                <w:szCs w:val="24"/>
                <w:color w:val="auto"/>
              </w:rPr>
            </w:pPr>
          </w:p>
        </w:tc>
        <w:tc>
          <w:tcPr>
            <w:tcW w:w="418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74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5"/>
              </w:rPr>
              <w:t>October 29,</w:t>
            </w:r>
          </w:p>
        </w:tc>
        <w:tc>
          <w:tcPr>
            <w:tcW w:w="520" w:type="dxa"/>
            <w:vAlign w:val="bottom"/>
          </w:tcPr>
          <w:p>
            <w:pPr>
              <w:spacing w:after="0"/>
              <w:rPr>
                <w:sz w:val="24"/>
                <w:szCs w:val="24"/>
                <w:color w:val="auto"/>
              </w:rPr>
            </w:pPr>
          </w:p>
        </w:tc>
        <w:tc>
          <w:tcPr>
            <w:tcW w:w="78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w w:val="80"/>
              </w:rPr>
              <w:t>January 29,</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4180" w:type="dxa"/>
            <w:vAlign w:val="bottom"/>
            <w:tcBorders>
              <w:bottom w:val="single" w:sz="8" w:color="CCEEFF"/>
            </w:tcBorders>
          </w:tcPr>
          <w:p>
            <w:pPr>
              <w:spacing w:after="0"/>
              <w:rPr>
                <w:sz w:val="14"/>
                <w:szCs w:val="14"/>
                <w:color w:val="auto"/>
              </w:rPr>
            </w:pPr>
          </w:p>
        </w:tc>
        <w:tc>
          <w:tcPr>
            <w:tcW w:w="24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center"/>
              <w:ind w:right="135"/>
              <w:spacing w:after="0"/>
              <w:rPr>
                <w:sz w:val="20"/>
                <w:szCs w:val="20"/>
                <w:color w:val="auto"/>
              </w:rPr>
            </w:pPr>
            <w:r>
              <w:rPr>
                <w:rFonts w:ascii="Arial" w:cs="Arial" w:eastAsia="Arial" w:hAnsi="Arial"/>
                <w:sz w:val="14"/>
                <w:szCs w:val="14"/>
                <w:b w:val="1"/>
                <w:bCs w:val="1"/>
                <w:color w:val="auto"/>
                <w:w w:val="83"/>
              </w:rPr>
              <w:t>2011</w:t>
            </w:r>
          </w:p>
        </w:tc>
        <w:tc>
          <w:tcPr>
            <w:tcW w:w="6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2011</w:t>
            </w: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1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Machinery and equipment</w:t>
            </w:r>
          </w:p>
        </w:tc>
        <w:tc>
          <w:tcPr>
            <w:tcW w:w="2460" w:type="dxa"/>
            <w:vAlign w:val="bottom"/>
            <w:tcBorders>
              <w:right w:val="single" w:sz="8" w:color="CCEEFF"/>
            </w:tcBorders>
            <w:shd w:val="clear" w:color="auto" w:fill="CCEEFF"/>
          </w:tcPr>
          <w:p>
            <w:pPr>
              <w:spacing w:after="0"/>
              <w:rPr>
                <w:sz w:val="18"/>
                <w:szCs w:val="18"/>
                <w:color w:val="auto"/>
              </w:rPr>
            </w:pPr>
          </w:p>
        </w:tc>
        <w:tc>
          <w:tcPr>
            <w:tcW w:w="680" w:type="dxa"/>
            <w:vAlign w:val="bottom"/>
            <w:tcBorders>
              <w:lef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82"/>
              </w:rPr>
              <w:t>$ 471,973</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$ 435,900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Computer software</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80,358</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74,966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tcBorders>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24,044</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23,498</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Leasehold improvements</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35,618</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34,142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1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144,596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Building improvements</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42,029</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41,200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tcBorders>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69,246</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4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8,476</w:t>
            </w:r>
          </w:p>
        </w:tc>
        <w:tc>
          <w:tcPr>
            <w:tcW w:w="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8,469</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18"/>
                <w:szCs w:val="18"/>
                <w:color w:val="auto"/>
              </w:rPr>
            </w:pPr>
          </w:p>
        </w:tc>
        <w:tc>
          <w:tcPr>
            <w:tcW w:w="31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876,340</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832,017</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2460" w:type="dxa"/>
            <w:vAlign w:val="bottom"/>
          </w:tcPr>
          <w:p>
            <w:pPr>
              <w:spacing w:after="0"/>
              <w:rPr>
                <w:sz w:val="18"/>
                <w:szCs w:val="18"/>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w w:val="93"/>
              </w:rPr>
              <w:t>(502,712)</w:t>
            </w:r>
          </w:p>
        </w:tc>
        <w:tc>
          <w:tcPr>
            <w:tcW w:w="1300" w:type="dxa"/>
            <w:vAlign w:val="bottom"/>
            <w:gridSpan w:val="5"/>
          </w:tcPr>
          <w:p>
            <w:pPr>
              <w:jc w:val="right"/>
              <w:ind w:right="60"/>
              <w:spacing w:after="0"/>
              <w:rPr>
                <w:sz w:val="20"/>
                <w:szCs w:val="20"/>
                <w:color w:val="auto"/>
              </w:rPr>
            </w:pPr>
            <w:r>
              <w:rPr>
                <w:rFonts w:ascii="Arial" w:cs="Arial" w:eastAsia="Arial" w:hAnsi="Arial"/>
                <w:sz w:val="18"/>
                <w:szCs w:val="18"/>
                <w:color w:val="auto"/>
              </w:rPr>
              <w:t>(473,577)</w:t>
            </w:r>
          </w:p>
        </w:tc>
        <w:tc>
          <w:tcPr>
            <w:tcW w:w="0" w:type="dxa"/>
            <w:vAlign w:val="bottom"/>
          </w:tcPr>
          <w:p>
            <w:pPr>
              <w:spacing w:after="0"/>
              <w:rPr>
                <w:sz w:val="1"/>
                <w:szCs w:val="1"/>
                <w:color w:val="auto"/>
              </w:rPr>
            </w:pPr>
          </w:p>
        </w:tc>
      </w:tr>
      <w:tr>
        <w:trPr>
          <w:trHeight w:val="27"/>
        </w:trPr>
        <w:tc>
          <w:tcPr>
            <w:tcW w:w="920" w:type="dxa"/>
            <w:vAlign w:val="bottom"/>
            <w:vMerge w:val="restart"/>
          </w:tcPr>
          <w:p>
            <w:pPr>
              <w:spacing w:after="0"/>
              <w:rPr>
                <w:sz w:val="2"/>
                <w:szCs w:val="2"/>
                <w:color w:val="auto"/>
              </w:rPr>
            </w:pPr>
          </w:p>
        </w:tc>
        <w:tc>
          <w:tcPr>
            <w:tcW w:w="4180" w:type="dxa"/>
            <w:vAlign w:val="bottom"/>
          </w:tcPr>
          <w:p>
            <w:pPr>
              <w:spacing w:after="0"/>
              <w:rPr>
                <w:sz w:val="2"/>
                <w:szCs w:val="2"/>
                <w:color w:val="auto"/>
              </w:rPr>
            </w:pPr>
          </w:p>
        </w:tc>
        <w:tc>
          <w:tcPr>
            <w:tcW w:w="2460" w:type="dxa"/>
            <w:vAlign w:val="bottom"/>
            <w:tcBorders>
              <w:right w:val="single" w:sz="8" w:color="auto"/>
            </w:tcBorders>
          </w:tcPr>
          <w:p>
            <w:pPr>
              <w:spacing w:after="0"/>
              <w:rPr>
                <w:sz w:val="2"/>
                <w:szCs w:val="2"/>
                <w:color w:val="auto"/>
              </w:rPr>
            </w:pPr>
          </w:p>
        </w:tc>
        <w:tc>
          <w:tcPr>
            <w:tcW w:w="160" w:type="dxa"/>
            <w:vAlign w:val="bottom"/>
            <w:tcBorders>
              <w:left w:val="single" w:sz="8" w:color="auto"/>
            </w:tcBorders>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52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0" w:type="dxa"/>
            <w:vAlign w:val="bottom"/>
            <w:vMerge w:val="continue"/>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1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$ 373,628</w:t>
            </w:r>
          </w:p>
        </w:tc>
        <w:tc>
          <w:tcPr>
            <w:tcW w:w="6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$ 358,440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1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Other non-current assets</w:t>
            </w:r>
          </w:p>
        </w:tc>
        <w:tc>
          <w:tcPr>
            <w:tcW w:w="24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100" w:type="dxa"/>
            <w:vAlign w:val="bottom"/>
            <w:gridSpan w:val="2"/>
            <w:vMerge w:val="continue"/>
          </w:tcPr>
          <w:p>
            <w:pPr>
              <w:spacing w:after="0"/>
              <w:rPr>
                <w:sz w:val="24"/>
                <w:szCs w:val="24"/>
                <w:color w:val="auto"/>
              </w:rPr>
            </w:pPr>
          </w:p>
        </w:tc>
        <w:tc>
          <w:tcPr>
            <w:tcW w:w="2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920" w:type="dxa"/>
            <w:vAlign w:val="bottom"/>
          </w:tcPr>
          <w:p>
            <w:pPr>
              <w:spacing w:after="0"/>
              <w:rPr>
                <w:sz w:val="24"/>
                <w:szCs w:val="24"/>
                <w:color w:val="auto"/>
              </w:rPr>
            </w:pPr>
          </w:p>
        </w:tc>
        <w:tc>
          <w:tcPr>
            <w:tcW w:w="418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74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October 29,</w:t>
            </w:r>
          </w:p>
        </w:tc>
        <w:tc>
          <w:tcPr>
            <w:tcW w:w="520" w:type="dxa"/>
            <w:vAlign w:val="bottom"/>
          </w:tcPr>
          <w:p>
            <w:pPr>
              <w:spacing w:after="0"/>
              <w:rPr>
                <w:sz w:val="24"/>
                <w:szCs w:val="24"/>
                <w:color w:val="auto"/>
              </w:rPr>
            </w:pPr>
          </w:p>
        </w:tc>
        <w:tc>
          <w:tcPr>
            <w:tcW w:w="78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8"/>
              </w:rPr>
              <w:t>January 29,</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4180" w:type="dxa"/>
            <w:vAlign w:val="bottom"/>
            <w:tcBorders>
              <w:bottom w:val="single" w:sz="8" w:color="CCEEFF"/>
            </w:tcBorders>
          </w:tcPr>
          <w:p>
            <w:pPr>
              <w:spacing w:after="0"/>
              <w:rPr>
                <w:sz w:val="14"/>
                <w:szCs w:val="14"/>
                <w:color w:val="auto"/>
              </w:rPr>
            </w:pPr>
          </w:p>
        </w:tc>
        <w:tc>
          <w:tcPr>
            <w:tcW w:w="24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60" w:type="dxa"/>
            <w:vAlign w:val="bottom"/>
            <w:tcBorders>
              <w:bottom w:val="single" w:sz="8" w:color="auto"/>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1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Technology and other licenses</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54,355</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51,642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Deferred tax assets</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25,703</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27,671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Investments in privately held companies</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tcBorders>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6,073</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Deferred compensation</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4,956</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6,169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tcBorders>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4,725</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Severance fund</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2,608</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4,819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11,840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100" w:type="dxa"/>
            <w:vAlign w:val="bottom"/>
            <w:gridSpan w:val="2"/>
          </w:tcPr>
          <w:p>
            <w:pPr>
              <w:ind w:left="920"/>
              <w:spacing w:after="0"/>
              <w:rPr>
                <w:sz w:val="20"/>
                <w:szCs w:val="20"/>
                <w:color w:val="auto"/>
              </w:rPr>
            </w:pPr>
            <w:r>
              <w:rPr>
                <w:rFonts w:ascii="Arial" w:cs="Arial" w:eastAsia="Arial" w:hAnsi="Arial"/>
                <w:sz w:val="18"/>
                <w:szCs w:val="18"/>
                <w:color w:val="auto"/>
              </w:rPr>
              <w:t>Other non-current assets</w:t>
            </w:r>
          </w:p>
        </w:tc>
        <w:tc>
          <w:tcPr>
            <w:tcW w:w="3200" w:type="dxa"/>
            <w:vAlign w:val="bottom"/>
            <w:gridSpan w:val="4"/>
          </w:tcPr>
          <w:p>
            <w:pPr>
              <w:jc w:val="right"/>
              <w:spacing w:after="0"/>
              <w:rPr>
                <w:sz w:val="20"/>
                <w:szCs w:val="20"/>
                <w:color w:val="auto"/>
              </w:rPr>
            </w:pPr>
            <w:r>
              <w:rPr>
                <w:rFonts w:ascii="Arial" w:cs="Arial" w:eastAsia="Arial" w:hAnsi="Arial"/>
                <w:sz w:val="18"/>
                <w:szCs w:val="18"/>
                <w:color w:val="auto"/>
              </w:rPr>
              <w:t>$ 110,920</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$ 111,380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1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Accrued liabilities</w:t>
            </w:r>
          </w:p>
        </w:tc>
        <w:tc>
          <w:tcPr>
            <w:tcW w:w="24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5100" w:type="dxa"/>
            <w:vAlign w:val="bottom"/>
            <w:gridSpan w:val="2"/>
            <w:vMerge w:val="continue"/>
          </w:tcPr>
          <w:p>
            <w:pPr>
              <w:spacing w:after="0"/>
              <w:rPr>
                <w:sz w:val="24"/>
                <w:szCs w:val="24"/>
                <w:color w:val="auto"/>
              </w:rPr>
            </w:pPr>
          </w:p>
        </w:tc>
        <w:tc>
          <w:tcPr>
            <w:tcW w:w="2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920" w:type="dxa"/>
            <w:vAlign w:val="bottom"/>
          </w:tcPr>
          <w:p>
            <w:pPr>
              <w:spacing w:after="0"/>
              <w:rPr>
                <w:sz w:val="24"/>
                <w:szCs w:val="24"/>
                <w:color w:val="auto"/>
              </w:rPr>
            </w:pPr>
          </w:p>
        </w:tc>
        <w:tc>
          <w:tcPr>
            <w:tcW w:w="418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74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5"/>
              </w:rPr>
              <w:t>October 29,</w:t>
            </w:r>
          </w:p>
        </w:tc>
        <w:tc>
          <w:tcPr>
            <w:tcW w:w="520" w:type="dxa"/>
            <w:vAlign w:val="bottom"/>
          </w:tcPr>
          <w:p>
            <w:pPr>
              <w:spacing w:after="0"/>
              <w:rPr>
                <w:sz w:val="24"/>
                <w:szCs w:val="24"/>
                <w:color w:val="auto"/>
              </w:rPr>
            </w:pPr>
          </w:p>
        </w:tc>
        <w:tc>
          <w:tcPr>
            <w:tcW w:w="78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8"/>
              </w:rPr>
              <w:t>January 29,</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4180" w:type="dxa"/>
            <w:vAlign w:val="bottom"/>
            <w:tcBorders>
              <w:bottom w:val="single" w:sz="8" w:color="CCEEFF"/>
            </w:tcBorders>
          </w:tcPr>
          <w:p>
            <w:pPr>
              <w:spacing w:after="0"/>
              <w:rPr>
                <w:sz w:val="14"/>
                <w:szCs w:val="14"/>
                <w:color w:val="auto"/>
              </w:rPr>
            </w:pPr>
          </w:p>
        </w:tc>
        <w:tc>
          <w:tcPr>
            <w:tcW w:w="24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center"/>
              <w:ind w:right="95"/>
              <w:spacing w:after="0"/>
              <w:rPr>
                <w:sz w:val="20"/>
                <w:szCs w:val="20"/>
                <w:color w:val="auto"/>
              </w:rPr>
            </w:pPr>
            <w:r>
              <w:rPr>
                <w:rFonts w:ascii="Arial" w:cs="Arial" w:eastAsia="Arial" w:hAnsi="Arial"/>
                <w:sz w:val="14"/>
                <w:szCs w:val="14"/>
                <w:b w:val="1"/>
                <w:bCs w:val="1"/>
                <w:color w:val="auto"/>
                <w:w w:val="83"/>
              </w:rPr>
              <w:t>2011</w:t>
            </w:r>
          </w:p>
        </w:tc>
        <w:tc>
          <w:tcPr>
            <w:tcW w:w="6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1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Accrued rebates</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tcBorders>
            <w:shd w:val="clear" w:color="auto" w:fill="CCEEFF"/>
          </w:tcPr>
          <w:p>
            <w:pPr>
              <w:jc w:val="right"/>
              <w:ind w:right="2"/>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25,956</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Accrued royalties</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87"/>
              </w:rPr>
              <w:t>14,109</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14,018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tcBorders>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12,646</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8,551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Technology license obligation</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6,410</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4,850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Customer advances for NRE services</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tcBorders>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2,377</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w w:val="89"/>
              </w:rPr>
              <w:t>Accrued fees for tax, audit and other professional services</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1,757</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2,125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Income tax payable</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tcBorders>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1,719</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Accrued sales/goods and services tax</w:t>
            </w:r>
          </w:p>
        </w:tc>
        <w:tc>
          <w:tcPr>
            <w:tcW w:w="2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1,349</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3,679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4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left w:val="single" w:sz="8" w:color="CCEEFF"/>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16,348</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16,851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100" w:type="dxa"/>
            <w:vAlign w:val="bottom"/>
            <w:gridSpan w:val="2"/>
          </w:tcPr>
          <w:p>
            <w:pPr>
              <w:ind w:left="920"/>
              <w:spacing w:after="0"/>
              <w:rPr>
                <w:sz w:val="20"/>
                <w:szCs w:val="20"/>
                <w:color w:val="auto"/>
              </w:rPr>
            </w:pPr>
            <w:r>
              <w:rPr>
                <w:rFonts w:ascii="Arial" w:cs="Arial" w:eastAsia="Arial" w:hAnsi="Arial"/>
                <w:sz w:val="18"/>
                <w:szCs w:val="18"/>
                <w:color w:val="auto"/>
              </w:rPr>
              <w:t>Accrued liabilities</w:t>
            </w:r>
          </w:p>
        </w:tc>
        <w:tc>
          <w:tcPr>
            <w:tcW w:w="2620" w:type="dxa"/>
            <w:vAlign w:val="bottom"/>
            <w:gridSpan w:val="2"/>
          </w:tcPr>
          <w:p>
            <w:pPr>
              <w:jc w:val="right"/>
              <w:ind w:right="2"/>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w w:val="87"/>
              </w:rPr>
              <w:t>82,671</w:t>
            </w:r>
          </w:p>
        </w:tc>
        <w:tc>
          <w:tcPr>
            <w:tcW w:w="60" w:type="dxa"/>
            <w:vAlign w:val="bottom"/>
          </w:tcPr>
          <w:p>
            <w:pPr>
              <w:spacing w:after="0"/>
              <w:rPr>
                <w:sz w:val="19"/>
                <w:szCs w:val="19"/>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85,994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2460" w:type="dxa"/>
            <w:vAlign w:val="bottom"/>
            <w:vMerge w:val="restart"/>
          </w:tcPr>
          <w:p>
            <w:pPr>
              <w:jc w:val="right"/>
              <w:ind w:right="2172"/>
              <w:spacing w:after="0"/>
              <w:rPr>
                <w:sz w:val="20"/>
                <w:szCs w:val="20"/>
                <w:color w:val="auto"/>
              </w:rPr>
            </w:pPr>
            <w:r>
              <w:rPr>
                <w:rFonts w:ascii="Arial" w:cs="Arial" w:eastAsia="Arial" w:hAnsi="Arial"/>
                <w:sz w:val="18"/>
                <w:szCs w:val="18"/>
                <w:color w:val="auto"/>
              </w:rPr>
              <w:t>8</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920" w:type="dxa"/>
            <w:vAlign w:val="bottom"/>
          </w:tcPr>
          <w:p>
            <w:pPr>
              <w:spacing w:after="0"/>
              <w:rPr>
                <w:sz w:val="24"/>
                <w:szCs w:val="24"/>
                <w:color w:val="auto"/>
              </w:rPr>
            </w:pPr>
          </w:p>
        </w:tc>
        <w:tc>
          <w:tcPr>
            <w:tcW w:w="4180" w:type="dxa"/>
            <w:vAlign w:val="bottom"/>
          </w:tcPr>
          <w:p>
            <w:pPr>
              <w:spacing w:after="0"/>
              <w:rPr>
                <w:sz w:val="24"/>
                <w:szCs w:val="24"/>
                <w:color w:val="auto"/>
              </w:rPr>
            </w:pPr>
          </w:p>
        </w:tc>
        <w:tc>
          <w:tcPr>
            <w:tcW w:w="246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459" w:right="1440"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Other long-term liabilities</w:t>
      </w:r>
    </w:p>
    <w:p>
      <w:pPr>
        <w:spacing w:after="0" w:line="20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620" w:type="dxa"/>
            <w:vAlign w:val="bottom"/>
          </w:tcPr>
          <w:p>
            <w:pPr>
              <w:spacing w:after="0"/>
              <w:rPr>
                <w:sz w:val="14"/>
                <w:szCs w:val="14"/>
                <w:color w:val="auto"/>
              </w:rPr>
            </w:pPr>
          </w:p>
        </w:tc>
        <w:tc>
          <w:tcPr>
            <w:tcW w:w="700" w:type="dxa"/>
            <w:vAlign w:val="bottom"/>
            <w:gridSpan w:val="3"/>
          </w:tcPr>
          <w:p>
            <w:pPr>
              <w:jc w:val="right"/>
              <w:spacing w:after="0"/>
              <w:rPr>
                <w:sz w:val="20"/>
                <w:szCs w:val="20"/>
                <w:color w:val="auto"/>
              </w:rPr>
            </w:pPr>
            <w:r>
              <w:rPr>
                <w:rFonts w:ascii="Arial" w:cs="Arial" w:eastAsia="Arial" w:hAnsi="Arial"/>
                <w:sz w:val="14"/>
                <w:szCs w:val="14"/>
                <w:b w:val="1"/>
                <w:bCs w:val="1"/>
                <w:color w:val="auto"/>
                <w:w w:val="85"/>
              </w:rPr>
              <w:t>October 29,</w:t>
            </w:r>
          </w:p>
        </w:tc>
        <w:tc>
          <w:tcPr>
            <w:tcW w:w="1360" w:type="dxa"/>
            <w:vAlign w:val="bottom"/>
            <w:gridSpan w:val="4"/>
          </w:tcPr>
          <w:p>
            <w:pPr>
              <w:ind w:left="560"/>
              <w:spacing w:after="0"/>
              <w:rPr>
                <w:sz w:val="20"/>
                <w:szCs w:val="20"/>
                <w:color w:val="auto"/>
              </w:rPr>
            </w:pPr>
            <w:r>
              <w:rPr>
                <w:rFonts w:ascii="Arial" w:cs="Arial" w:eastAsia="Arial" w:hAnsi="Arial"/>
                <w:sz w:val="14"/>
                <w:szCs w:val="14"/>
                <w:b w:val="1"/>
                <w:bCs w:val="1"/>
                <w:color w:val="auto"/>
              </w:rPr>
              <w:t>January 29,</w:t>
            </w:r>
          </w:p>
        </w:tc>
      </w:tr>
      <w:tr>
        <w:trPr>
          <w:trHeight w:val="161"/>
        </w:trPr>
        <w:tc>
          <w:tcPr>
            <w:tcW w:w="66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2011</w:t>
            </w:r>
          </w:p>
        </w:tc>
        <w:tc>
          <w:tcPr>
            <w:tcW w:w="5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Borders>
              <w:bottom w:val="single" w:sz="8" w:color="CCEEFF"/>
            </w:tcBorders>
          </w:tcPr>
          <w:p>
            <w:pPr>
              <w:spacing w:after="0"/>
              <w:rPr>
                <w:sz w:val="14"/>
                <w:szCs w:val="14"/>
                <w:color w:val="auto"/>
              </w:rPr>
            </w:pPr>
          </w:p>
        </w:tc>
      </w:tr>
      <w:tr>
        <w:trPr>
          <w:trHeight w:val="210"/>
        </w:trPr>
        <w:tc>
          <w:tcPr>
            <w:tcW w:w="66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Technology license obligation</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12,134</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19,218</w:t>
            </w:r>
          </w:p>
        </w:tc>
        <w:tc>
          <w:tcPr>
            <w:tcW w:w="100" w:type="dxa"/>
            <w:vAlign w:val="bottom"/>
            <w:shd w:val="clear" w:color="auto" w:fill="CCEEFF"/>
          </w:tcPr>
          <w:p>
            <w:pPr>
              <w:spacing w:after="0"/>
              <w:rPr>
                <w:sz w:val="18"/>
                <w:szCs w:val="18"/>
                <w:color w:val="auto"/>
              </w:rPr>
            </w:pPr>
          </w:p>
        </w:tc>
      </w:tr>
      <w:tr>
        <w:trPr>
          <w:trHeight w:val="216"/>
        </w:trPr>
        <w:tc>
          <w:tcPr>
            <w:tcW w:w="6620" w:type="dxa"/>
            <w:vAlign w:val="bottom"/>
          </w:tcPr>
          <w:p>
            <w:pPr>
              <w:spacing w:after="0"/>
              <w:rPr>
                <w:sz w:val="20"/>
                <w:szCs w:val="20"/>
                <w:color w:val="auto"/>
              </w:rPr>
            </w:pPr>
            <w:r>
              <w:rPr>
                <w:rFonts w:ascii="Arial" w:cs="Arial" w:eastAsia="Arial" w:hAnsi="Arial"/>
                <w:sz w:val="18"/>
                <w:szCs w:val="18"/>
                <w:color w:val="auto"/>
              </w:rPr>
              <w:t>Long-term accrued employee compensation</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9,752</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9,258</w:t>
            </w:r>
          </w:p>
        </w:tc>
        <w:tc>
          <w:tcPr>
            <w:tcW w:w="100" w:type="dxa"/>
            <w:vAlign w:val="bottom"/>
          </w:tcPr>
          <w:p>
            <w:pPr>
              <w:spacing w:after="0"/>
              <w:rPr>
                <w:sz w:val="18"/>
                <w:szCs w:val="18"/>
                <w:color w:val="auto"/>
              </w:rPr>
            </w:pP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Facilities consolidation</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2,233</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3,271</w:t>
            </w:r>
          </w:p>
        </w:tc>
        <w:tc>
          <w:tcPr>
            <w:tcW w:w="100" w:type="dxa"/>
            <w:vAlign w:val="bottom"/>
            <w:shd w:val="clear" w:color="auto" w:fill="CCEEFF"/>
          </w:tcPr>
          <w:p>
            <w:pPr>
              <w:spacing w:after="0"/>
              <w:rPr>
                <w:sz w:val="18"/>
                <w:szCs w:val="18"/>
                <w:color w:val="auto"/>
              </w:rPr>
            </w:pPr>
          </w:p>
        </w:tc>
      </w:tr>
      <w:tr>
        <w:trPr>
          <w:trHeight w:val="216"/>
        </w:trPr>
        <w:tc>
          <w:tcPr>
            <w:tcW w:w="6620" w:type="dxa"/>
            <w:vAlign w:val="bottom"/>
          </w:tcPr>
          <w:p>
            <w:pPr>
              <w:spacing w:after="0"/>
              <w:rPr>
                <w:sz w:val="20"/>
                <w:szCs w:val="20"/>
                <w:color w:val="auto"/>
              </w:rPr>
            </w:pPr>
            <w:r>
              <w:rPr>
                <w:rFonts w:ascii="Arial" w:cs="Arial" w:eastAsia="Arial" w:hAnsi="Arial"/>
                <w:sz w:val="18"/>
                <w:szCs w:val="18"/>
                <w:color w:val="auto"/>
              </w:rPr>
              <w:t>Accrued severance</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1,990</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3,226</w:t>
            </w:r>
          </w:p>
        </w:tc>
        <w:tc>
          <w:tcPr>
            <w:tcW w:w="100" w:type="dxa"/>
            <w:vAlign w:val="bottom"/>
          </w:tcPr>
          <w:p>
            <w:pPr>
              <w:spacing w:after="0"/>
              <w:rPr>
                <w:sz w:val="18"/>
                <w:szCs w:val="18"/>
                <w:color w:val="auto"/>
              </w:rPr>
            </w:pP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8,104</w:t>
            </w:r>
          </w:p>
        </w:tc>
        <w:tc>
          <w:tcPr>
            <w:tcW w:w="58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4,367</w:t>
            </w:r>
          </w:p>
        </w:tc>
        <w:tc>
          <w:tcPr>
            <w:tcW w:w="100" w:type="dxa"/>
            <w:vAlign w:val="bottom"/>
            <w:shd w:val="clear" w:color="auto" w:fill="CCEEFF"/>
          </w:tcPr>
          <w:p>
            <w:pPr>
              <w:spacing w:after="0"/>
              <w:rPr>
                <w:sz w:val="18"/>
                <w:szCs w:val="18"/>
                <w:color w:val="auto"/>
              </w:rPr>
            </w:pPr>
          </w:p>
        </w:tc>
      </w:tr>
      <w:tr>
        <w:trPr>
          <w:trHeight w:val="222"/>
        </w:trPr>
        <w:tc>
          <w:tcPr>
            <w:tcW w:w="66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0"/>
              </w:rPr>
              <w:t>34,213</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39,340</w:t>
            </w:r>
          </w:p>
        </w:tc>
        <w:tc>
          <w:tcPr>
            <w:tcW w:w="100" w:type="dxa"/>
            <w:vAlign w:val="bottom"/>
          </w:tcPr>
          <w:p>
            <w:pPr>
              <w:spacing w:after="0"/>
              <w:rPr>
                <w:sz w:val="19"/>
                <w:szCs w:val="19"/>
                <w:color w:val="auto"/>
              </w:rPr>
            </w:pPr>
          </w:p>
        </w:tc>
      </w:tr>
      <w:tr>
        <w:trPr>
          <w:trHeight w:val="20"/>
        </w:trPr>
        <w:tc>
          <w:tcPr>
            <w:tcW w:w="66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upon the weighted average number of common shares outstanding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80" w:type="dxa"/>
            <w:vAlign w:val="bottom"/>
            <w:gridSpan w:val="4"/>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60" w:type="dxa"/>
            <w:vAlign w:val="bottom"/>
            <w:gridSpan w:val="5"/>
          </w:tcPr>
          <w:p>
            <w:pPr>
              <w:ind w:left="1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7700" w:type="dxa"/>
            <w:vAlign w:val="bottom"/>
          </w:tcPr>
          <w:p>
            <w:pPr>
              <w:spacing w:after="0"/>
              <w:rPr>
                <w:sz w:val="11"/>
                <w:szCs w:val="11"/>
                <w:color w:val="auto"/>
              </w:rPr>
            </w:pPr>
          </w:p>
        </w:tc>
        <w:tc>
          <w:tcPr>
            <w:tcW w:w="9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300" w:type="dxa"/>
            <w:vAlign w:val="bottom"/>
          </w:tcPr>
          <w:p>
            <w:pPr>
              <w:spacing w:after="0"/>
              <w:rPr>
                <w:sz w:val="11"/>
                <w:szCs w:val="11"/>
                <w:color w:val="auto"/>
              </w:rPr>
            </w:pPr>
          </w:p>
        </w:tc>
        <w:tc>
          <w:tcPr>
            <w:tcW w:w="10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rPr>
              <w:t>2011</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2011</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7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70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80" w:type="dxa"/>
            <w:vAlign w:val="bottom"/>
          </w:tcPr>
          <w:p>
            <w:pPr>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195,121</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255,732</w:t>
            </w:r>
          </w:p>
        </w:tc>
        <w:tc>
          <w:tcPr>
            <w:tcW w:w="400" w:type="dxa"/>
            <w:vAlign w:val="bottom"/>
            <w:gridSpan w:val="2"/>
          </w:tcPr>
          <w:p>
            <w:pPr>
              <w:ind w:left="300"/>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534,374</w:t>
            </w:r>
          </w:p>
        </w:tc>
        <w:tc>
          <w:tcPr>
            <w:tcW w:w="80" w:type="dxa"/>
            <w:vAlign w:val="bottom"/>
          </w:tcPr>
          <w:p>
            <w:pPr>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681,276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7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70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Weighted average common shares outstanding</w:t>
            </w:r>
          </w:p>
        </w:tc>
        <w:tc>
          <w:tcPr>
            <w:tcW w:w="8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600,504</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649,782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615,987</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646,246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70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70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8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12,995</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25,007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15,270</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29,777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77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7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613,499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674,789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631,257</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676,023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70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70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77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0.39</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0.87</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700" w:type="dxa"/>
            <w:vAlign w:val="bottom"/>
          </w:tcPr>
          <w:p>
            <w:pPr>
              <w:ind w:left="440"/>
              <w:spacing w:after="0"/>
              <w:rPr>
                <w:sz w:val="20"/>
                <w:szCs w:val="20"/>
                <w:color w:val="auto"/>
              </w:rPr>
            </w:pPr>
            <w:r>
              <w:rPr>
                <w:rFonts w:ascii="Arial" w:cs="Arial" w:eastAsia="Arial" w:hAnsi="Arial"/>
                <w:sz w:val="18"/>
                <w:szCs w:val="18"/>
                <w:color w:val="auto"/>
              </w:rPr>
              <w:t>Diluted</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0.32</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0.38</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0.85</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Options to purchase 23.8 million common shares at a weighted average exercise price of $18.26 have been excluded from the computation of diluted net income per share for the three months ended October 29, 2011 because including them would have been anti-dilutive. Options to purchase 17.1 million common shares at a weighted average exercise price of $19.84 have been excluded from the computation of diluted net income per share for the three months ended October 30, 2010 because including them would have been anti-dilutive.</w:t>
      </w:r>
    </w:p>
    <w:p>
      <w:pPr>
        <w:spacing w:after="0" w:line="113"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Options to purchase 20.4 million common shares at a weighted average exercise price of $18.92 have been excluded from the computation of diluted net income per share for the nine months ended October 29, 2011 because including them would have been anti-dilutive. Options to purchase 12.5 million common shares at a weighted average exercise price of $21.29 have been excluded from the computation of diluted net income per share for the nine months ended October 30, 2010 because including them would have been anti-dilutive.</w:t>
      </w:r>
    </w:p>
    <w:p>
      <w:pPr>
        <w:spacing w:after="0" w:line="113"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In addition, as of October 29, 2011, options to purchase 3.1 million shares that contain a market condition for vesting have been excluded from the computation of diluted net income per share for the three and nine months ended October 29, 2011, as the market value of the Company’s shares as of October 29, 2011 was lower than the required market condition. Refer to “Note 12 – Stock-Based Compensation” for additional details.</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2340" w:type="dxa"/>
            <w:vAlign w:val="bottom"/>
            <w:gridSpan w:val="7"/>
          </w:tcPr>
          <w:p>
            <w:pPr>
              <w:jc w:val="right"/>
              <w:ind w:right="800"/>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2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w w:val="87"/>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280" w:type="dxa"/>
            <w:vAlign w:val="bottom"/>
          </w:tcPr>
          <w:p>
            <w:pPr>
              <w:spacing w:after="0"/>
              <w:rPr>
                <w:sz w:val="11"/>
                <w:szCs w:val="11"/>
                <w:color w:val="auto"/>
              </w:rPr>
            </w:pPr>
          </w:p>
        </w:tc>
        <w:tc>
          <w:tcPr>
            <w:tcW w:w="100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85"/>
              </w:rPr>
              <w:t>October 29,</w:t>
            </w:r>
          </w:p>
        </w:tc>
        <w:tc>
          <w:tcPr>
            <w:tcW w:w="2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30,</w:t>
            </w: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060" w:type="dxa"/>
            <w:vAlign w:val="bottom"/>
            <w:tcBorders>
              <w:top w:val="single" w:sz="8" w:color="auto"/>
            </w:tcBorders>
            <w:gridSpan w:val="5"/>
          </w:tcPr>
          <w:p>
            <w:pPr>
              <w:jc w:val="right"/>
              <w:ind w:right="380"/>
              <w:spacing w:after="0" w:line="129" w:lineRule="exact"/>
              <w:rPr>
                <w:sz w:val="20"/>
                <w:szCs w:val="20"/>
                <w:color w:val="auto"/>
              </w:rPr>
            </w:pPr>
            <w:r>
              <w:rPr>
                <w:rFonts w:ascii="Arial" w:cs="Arial" w:eastAsia="Arial" w:hAnsi="Arial"/>
                <w:sz w:val="14"/>
                <w:szCs w:val="14"/>
                <w:b w:val="1"/>
                <w:bCs w:val="1"/>
                <w:color w:val="auto"/>
                <w:w w:val="85"/>
              </w:rPr>
              <w:t>October 29,</w:t>
            </w: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680" w:type="dxa"/>
            <w:vAlign w:val="bottom"/>
          </w:tcPr>
          <w:p>
            <w:pPr>
              <w:jc w:val="right"/>
              <w:ind w:right="119"/>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jc w:val="right"/>
              <w:ind w:right="116"/>
              <w:spacing w:after="0"/>
              <w:rPr>
                <w:sz w:val="20"/>
                <w:szCs w:val="20"/>
                <w:color w:val="auto"/>
              </w:rPr>
            </w:pPr>
            <w:r>
              <w:rPr>
                <w:rFonts w:ascii="Arial" w:cs="Arial" w:eastAsia="Arial" w:hAnsi="Arial"/>
                <w:sz w:val="14"/>
                <w:szCs w:val="14"/>
                <w:b w:val="1"/>
                <w:bCs w:val="1"/>
                <w:color w:val="auto"/>
                <w:w w:val="96"/>
              </w:rPr>
              <w:t>2010</w:t>
            </w:r>
          </w:p>
        </w:tc>
        <w:tc>
          <w:tcPr>
            <w:tcW w:w="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80" w:type="dxa"/>
            <w:vAlign w:val="bottom"/>
            <w:gridSpan w:val="3"/>
          </w:tcPr>
          <w:p>
            <w:pPr>
              <w:jc w:val="right"/>
              <w:ind w:right="116"/>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$195,121</w:t>
            </w:r>
          </w:p>
        </w:tc>
        <w:tc>
          <w:tcPr>
            <w:tcW w:w="3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right w:val="single" w:sz="8" w:color="CCEEFF"/>
            </w:tcBorders>
            <w:shd w:val="clear" w:color="auto" w:fill="CCEEFF"/>
          </w:tcPr>
          <w:p>
            <w:pPr>
              <w:spacing w:after="0"/>
              <w:rPr>
                <w:sz w:val="18"/>
                <w:szCs w:val="18"/>
                <w:color w:val="auto"/>
              </w:rPr>
            </w:pPr>
          </w:p>
        </w:tc>
        <w:tc>
          <w:tcPr>
            <w:tcW w:w="6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5"/>
              </w:rPr>
              <w:t>$255,732</w:t>
            </w:r>
          </w:p>
        </w:tc>
        <w:tc>
          <w:tcPr>
            <w:tcW w:w="2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$534,374</w:t>
            </w:r>
          </w:p>
        </w:tc>
        <w:tc>
          <w:tcPr>
            <w:tcW w:w="2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$681,276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tcPr>
          <w:p>
            <w:pPr>
              <w:spacing w:after="0"/>
              <w:rPr>
                <w:sz w:val="20"/>
                <w:szCs w:val="20"/>
                <w:color w:val="auto"/>
              </w:rPr>
            </w:pPr>
            <w:r>
              <w:rPr>
                <w:rFonts w:ascii="Arial" w:cs="Arial" w:eastAsia="Arial" w:hAnsi="Arial"/>
                <w:sz w:val="18"/>
                <w:szCs w:val="18"/>
                <w:color w:val="auto"/>
              </w:rPr>
              <w:t>Other comprehensive income</w:t>
            </w: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Net unrealized gain (loss) on marketable securities</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(3,515)</w:t>
            </w:r>
          </w:p>
        </w:tc>
        <w:tc>
          <w:tcPr>
            <w:tcW w:w="2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1,939</w:t>
            </w:r>
          </w:p>
        </w:tc>
        <w:tc>
          <w:tcPr>
            <w:tcW w:w="46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200"/>
              <w:spacing w:after="0"/>
              <w:rPr>
                <w:sz w:val="20"/>
                <w:szCs w:val="20"/>
                <w:color w:val="auto"/>
              </w:rPr>
            </w:pPr>
            <w:r>
              <w:rPr>
                <w:rFonts w:ascii="Arial" w:cs="Arial" w:eastAsia="Arial" w:hAnsi="Arial"/>
                <w:sz w:val="18"/>
                <w:szCs w:val="18"/>
                <w:color w:val="auto"/>
              </w:rPr>
              <w:t>(1,519)</w:t>
            </w:r>
          </w:p>
        </w:tc>
        <w:tc>
          <w:tcPr>
            <w:tcW w:w="12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3,795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tcPr>
          <w:p>
            <w:pPr>
              <w:ind w:left="420"/>
              <w:spacing w:after="0"/>
              <w:rPr>
                <w:sz w:val="20"/>
                <w:szCs w:val="20"/>
                <w:color w:val="auto"/>
              </w:rPr>
            </w:pPr>
            <w:r>
              <w:rPr>
                <w:rFonts w:ascii="Arial" w:cs="Arial" w:eastAsia="Arial" w:hAnsi="Arial"/>
                <w:sz w:val="18"/>
                <w:szCs w:val="18"/>
                <w:color w:val="auto"/>
              </w:rPr>
              <w:t>Net unrealized gain on auction rate securities</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248</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gridSpan w:val="2"/>
          </w:tcPr>
          <w:p>
            <w:pPr>
              <w:jc w:val="right"/>
              <w:ind w:right="20"/>
              <w:spacing w:after="0"/>
              <w:rPr>
                <w:sz w:val="20"/>
                <w:szCs w:val="20"/>
                <w:color w:val="auto"/>
              </w:rPr>
            </w:pPr>
            <w:r>
              <w:rPr>
                <w:rFonts w:ascii="Arial" w:cs="Arial" w:eastAsia="Arial" w:hAnsi="Arial"/>
                <w:sz w:val="18"/>
                <w:szCs w:val="18"/>
                <w:color w:val="auto"/>
              </w:rPr>
              <w:t>181</w:t>
            </w:r>
          </w:p>
        </w:tc>
        <w:tc>
          <w:tcPr>
            <w:tcW w:w="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60"/>
              <w:spacing w:after="0"/>
              <w:rPr>
                <w:sz w:val="20"/>
                <w:szCs w:val="20"/>
                <w:color w:val="auto"/>
              </w:rPr>
            </w:pPr>
            <w:r>
              <w:rPr>
                <w:rFonts w:ascii="Arial" w:cs="Arial" w:eastAsia="Arial" w:hAnsi="Arial"/>
                <w:sz w:val="18"/>
                <w:szCs w:val="18"/>
                <w:color w:val="auto"/>
              </w:rPr>
              <w:t>292</w:t>
            </w:r>
          </w:p>
        </w:tc>
        <w:tc>
          <w:tcPr>
            <w:tcW w:w="120" w:type="dxa"/>
            <w:vAlign w:val="bottom"/>
          </w:tcPr>
          <w:p>
            <w:pPr>
              <w:spacing w:after="0"/>
              <w:rPr>
                <w:sz w:val="18"/>
                <w:szCs w:val="18"/>
                <w:color w:val="auto"/>
              </w:rPr>
            </w:pP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234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Net unrealized gain (loss) on cash flow hedges</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(2,895)</w:t>
            </w:r>
          </w:p>
        </w:tc>
        <w:tc>
          <w:tcPr>
            <w:tcW w:w="2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951</w:t>
            </w:r>
          </w:p>
        </w:tc>
        <w:tc>
          <w:tcPr>
            <w:tcW w:w="4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0"/>
              </w:rPr>
              <w:t>(160)</w:t>
            </w:r>
          </w:p>
        </w:tc>
        <w:tc>
          <w:tcPr>
            <w:tcW w:w="12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gridSpan w:val="2"/>
          </w:tcPr>
          <w:p>
            <w:pPr>
              <w:spacing w:after="0"/>
              <w:rPr>
                <w:sz w:val="20"/>
                <w:szCs w:val="20"/>
                <w:color w:val="auto"/>
              </w:rPr>
            </w:pPr>
            <w:r>
              <w:rPr>
                <w:rFonts w:ascii="Arial" w:cs="Arial" w:eastAsia="Arial" w:hAnsi="Arial"/>
                <w:sz w:val="18"/>
                <w:szCs w:val="18"/>
                <w:color w:val="auto"/>
              </w:rPr>
              <w:t>Change in other</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115</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ind w:right="58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900" w:type="dxa"/>
            <w:vAlign w:val="bottom"/>
            <w:gridSpan w:val="3"/>
          </w:tcPr>
          <w:p>
            <w:pPr>
              <w:jc w:val="right"/>
              <w:ind w:right="4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00" w:type="dxa"/>
            <w:vAlign w:val="bottom"/>
          </w:tcPr>
          <w:p>
            <w:pPr>
              <w:spacing w:after="0"/>
              <w:rPr>
                <w:sz w:val="2"/>
                <w:szCs w:val="2"/>
                <w:color w:val="auto"/>
              </w:rPr>
            </w:pPr>
          </w:p>
        </w:tc>
        <w:tc>
          <w:tcPr>
            <w:tcW w:w="52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00" w:type="dxa"/>
            <w:vAlign w:val="bottom"/>
            <w:tcBorders>
              <w:right w:val="single" w:sz="8" w:color="auto"/>
            </w:tcBorders>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6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189,074</w:t>
            </w:r>
          </w:p>
        </w:tc>
        <w:tc>
          <w:tcPr>
            <w:tcW w:w="88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258,803</w:t>
            </w:r>
          </w:p>
        </w:tc>
        <w:tc>
          <w:tcPr>
            <w:tcW w:w="46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26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532,987</w:t>
            </w:r>
          </w:p>
        </w:tc>
        <w:tc>
          <w:tcPr>
            <w:tcW w:w="12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685,763</w:t>
            </w:r>
          </w:p>
        </w:tc>
        <w:tc>
          <w:tcPr>
            <w:tcW w:w="0" w:type="dxa"/>
            <w:vAlign w:val="bottom"/>
          </w:tcPr>
          <w:p>
            <w:pPr>
              <w:spacing w:after="0"/>
              <w:rPr>
                <w:sz w:val="1"/>
                <w:szCs w:val="1"/>
                <w:color w:val="auto"/>
              </w:rPr>
            </w:pPr>
          </w:p>
        </w:tc>
      </w:tr>
      <w:tr>
        <w:trPr>
          <w:trHeight w:val="20"/>
        </w:trPr>
        <w:tc>
          <w:tcPr>
            <w:tcW w:w="920" w:type="dxa"/>
            <w:vAlign w:val="bottom"/>
            <w:gridSpan w:val="2"/>
          </w:tcPr>
          <w:p>
            <w:pPr>
              <w:spacing w:after="0" w:line="20" w:lineRule="exact"/>
              <w:rPr>
                <w:sz w:val="1"/>
                <w:szCs w:val="1"/>
                <w:color w:val="auto"/>
              </w:rPr>
            </w:pPr>
          </w:p>
        </w:tc>
        <w:tc>
          <w:tcPr>
            <w:tcW w:w="5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7200" w:type="dxa"/>
            <w:vAlign w:val="bottom"/>
            <w:gridSpan w:val="5"/>
          </w:tcPr>
          <w:p>
            <w:pPr>
              <w:spacing w:after="0"/>
              <w:rPr>
                <w:sz w:val="20"/>
                <w:szCs w:val="20"/>
                <w:color w:val="auto"/>
              </w:rPr>
            </w:pPr>
            <w:r>
              <w:rPr>
                <w:rFonts w:ascii="Arial" w:cs="Arial" w:eastAsia="Arial" w:hAnsi="Arial"/>
                <w:sz w:val="18"/>
                <w:szCs w:val="18"/>
                <w:color w:val="auto"/>
                <w:w w:val="89"/>
              </w:rPr>
              <w:t>The components of accumulated other comprehensive income (loss) were as follows (in thousands):</w:t>
            </w: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gridSpan w:val="4"/>
          </w:tcPr>
          <w:p>
            <w:pPr>
              <w:spacing w:after="0"/>
              <w:rPr>
                <w:sz w:val="20"/>
                <w:szCs w:val="20"/>
                <w:color w:val="auto"/>
              </w:rPr>
            </w:pPr>
            <w:r>
              <w:rPr>
                <w:rFonts w:ascii="Arial" w:cs="Arial" w:eastAsia="Arial" w:hAnsi="Arial"/>
                <w:sz w:val="14"/>
                <w:szCs w:val="14"/>
                <w:b w:val="1"/>
                <w:bCs w:val="1"/>
                <w:color w:val="auto"/>
              </w:rPr>
              <w:t>October 29,</w:t>
            </w:r>
          </w:p>
        </w:tc>
        <w:tc>
          <w:tcPr>
            <w:tcW w:w="1060" w:type="dxa"/>
            <w:vAlign w:val="bottom"/>
            <w:gridSpan w:val="5"/>
          </w:tcPr>
          <w:p>
            <w:pPr>
              <w:jc w:val="right"/>
              <w:ind w:right="120"/>
              <w:spacing w:after="0"/>
              <w:rPr>
                <w:sz w:val="20"/>
                <w:szCs w:val="20"/>
                <w:color w:val="auto"/>
              </w:rPr>
            </w:pPr>
            <w:r>
              <w:rPr>
                <w:rFonts w:ascii="Arial" w:cs="Arial" w:eastAsia="Arial" w:hAnsi="Arial"/>
                <w:sz w:val="14"/>
                <w:szCs w:val="14"/>
                <w:b w:val="1"/>
                <w:bCs w:val="1"/>
                <w:color w:val="auto"/>
              </w:rPr>
              <w:t>January 29,</w:t>
            </w: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280" w:type="dxa"/>
            <w:vAlign w:val="bottom"/>
            <w:tcBorders>
              <w:bottom w:val="single" w:sz="8" w:color="CCEEFF"/>
            </w:tcBorders>
          </w:tcPr>
          <w:p>
            <w:pPr>
              <w:spacing w:after="0"/>
              <w:rPr>
                <w:sz w:val="14"/>
                <w:szCs w:val="14"/>
                <w:color w:val="auto"/>
              </w:rPr>
            </w:pPr>
          </w:p>
        </w:tc>
        <w:tc>
          <w:tcPr>
            <w:tcW w:w="68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96"/>
              <w:spacing w:after="0"/>
              <w:rPr>
                <w:sz w:val="20"/>
                <w:szCs w:val="20"/>
                <w:color w:val="auto"/>
              </w:rPr>
            </w:pPr>
            <w:r>
              <w:rPr>
                <w:rFonts w:ascii="Arial" w:cs="Arial" w:eastAsia="Arial" w:hAnsi="Arial"/>
                <w:sz w:val="14"/>
                <w:szCs w:val="14"/>
                <w:b w:val="1"/>
                <w:bCs w:val="1"/>
                <w:color w:val="auto"/>
              </w:rPr>
              <w:t>2011</w:t>
            </w:r>
          </w:p>
        </w:tc>
        <w:tc>
          <w:tcPr>
            <w:tcW w:w="20" w:type="dxa"/>
            <w:vAlign w:val="bottom"/>
            <w:tcBorders>
              <w:bottom w:val="single" w:sz="8" w:color="auto"/>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rPr>
              <w:t>2011</w:t>
            </w:r>
          </w:p>
        </w:tc>
        <w:tc>
          <w:tcPr>
            <w:tcW w:w="120" w:type="dxa"/>
            <w:vAlign w:val="bottom"/>
            <w:tcBorders>
              <w:bottom w:val="single" w:sz="8" w:color="CCEEFF"/>
            </w:tcBorders>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Unrealized gain on marketable securities</w:t>
            </w: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1,985</w:t>
            </w:r>
          </w:p>
        </w:tc>
        <w:tc>
          <w:tcPr>
            <w:tcW w:w="4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3,504</w:t>
            </w:r>
          </w:p>
        </w:tc>
        <w:tc>
          <w:tcPr>
            <w:tcW w:w="120" w:type="dxa"/>
            <w:vAlign w:val="bottom"/>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Unrealized loss on auction rate securities</w:t>
            </w:r>
          </w:p>
        </w:tc>
        <w:tc>
          <w:tcPr>
            <w:tcW w:w="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ind w:right="400"/>
              <w:spacing w:after="0"/>
              <w:rPr>
                <w:sz w:val="20"/>
                <w:szCs w:val="20"/>
                <w:color w:val="auto"/>
              </w:rPr>
            </w:pPr>
            <w:r>
              <w:rPr>
                <w:rFonts w:ascii="Arial" w:cs="Arial" w:eastAsia="Arial" w:hAnsi="Arial"/>
                <w:sz w:val="18"/>
                <w:szCs w:val="18"/>
                <w:color w:val="auto"/>
              </w:rPr>
              <w:t>(1,332)</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3"/>
          </w:tcPr>
          <w:p>
            <w:pPr>
              <w:jc w:val="right"/>
              <w:ind w:right="60"/>
              <w:spacing w:after="0"/>
              <w:rPr>
                <w:sz w:val="20"/>
                <w:szCs w:val="20"/>
                <w:color w:val="auto"/>
              </w:rPr>
            </w:pPr>
            <w:r>
              <w:rPr>
                <w:rFonts w:ascii="Arial" w:cs="Arial" w:eastAsia="Arial" w:hAnsi="Arial"/>
                <w:sz w:val="18"/>
                <w:szCs w:val="18"/>
                <w:color w:val="auto"/>
              </w:rPr>
              <w:t>(1,624)</w:t>
            </w: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cash flow hedges</w:t>
            </w: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(953)</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(793)</w:t>
            </w: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Other</w:t>
            </w:r>
          </w:p>
        </w:tc>
        <w:tc>
          <w:tcPr>
            <w:tcW w:w="6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w:t>
            </w:r>
          </w:p>
        </w:tc>
        <w:tc>
          <w:tcPr>
            <w:tcW w:w="4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 (loss)</w:t>
            </w:r>
          </w:p>
        </w:tc>
        <w:tc>
          <w:tcPr>
            <w:tcW w:w="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00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(295)</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1,092</w:t>
            </w:r>
          </w:p>
        </w:tc>
        <w:tc>
          <w:tcPr>
            <w:tcW w:w="120" w:type="dxa"/>
            <w:vAlign w:val="bottom"/>
            <w:shd w:val="clear" w:color="auto" w:fill="CCEEFF"/>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28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 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 expenses and other current assets or accrued liabilities. The Company reports cash flows from derivative instruments in cash flows provided by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October 29, 2011 and January 29, 2011, the notional amounts of outstanding forward contracts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08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40" w:type="dxa"/>
            <w:vAlign w:val="bottom"/>
            <w:tcBorders>
              <w:bottom w:val="single" w:sz="8" w:color="auto"/>
            </w:tcBorders>
            <w:gridSpan w:val="4"/>
          </w:tcPr>
          <w:p>
            <w:pPr>
              <w:ind w:left="460"/>
              <w:spacing w:after="0"/>
              <w:rPr>
                <w:sz w:val="20"/>
                <w:szCs w:val="20"/>
                <w:color w:val="auto"/>
              </w:rPr>
            </w:pPr>
            <w:r>
              <w:rPr>
                <w:rFonts w:ascii="Arial" w:cs="Arial" w:eastAsia="Arial" w:hAnsi="Arial"/>
                <w:sz w:val="14"/>
                <w:szCs w:val="14"/>
                <w:b w:val="1"/>
                <w:bCs w:val="1"/>
                <w:color w:val="auto"/>
              </w:rPr>
              <w:t>October 29, 2011</w:t>
            </w:r>
          </w:p>
        </w:tc>
        <w:tc>
          <w:tcPr>
            <w:tcW w:w="46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560" w:type="dxa"/>
            <w:vAlign w:val="bottom"/>
            <w:tcBorders>
              <w:bottom w:val="single" w:sz="8" w:color="auto"/>
            </w:tcBorders>
            <w:gridSpan w:val="4"/>
          </w:tcPr>
          <w:p>
            <w:pPr>
              <w:ind w:left="440"/>
              <w:spacing w:after="0"/>
              <w:rPr>
                <w:sz w:val="20"/>
                <w:szCs w:val="20"/>
                <w:color w:val="auto"/>
              </w:rPr>
            </w:pPr>
            <w:r>
              <w:rPr>
                <w:rFonts w:ascii="Arial" w:cs="Arial" w:eastAsia="Arial" w:hAnsi="Arial"/>
                <w:sz w:val="14"/>
                <w:szCs w:val="14"/>
                <w:b w:val="1"/>
                <w:bCs w:val="1"/>
                <w:color w:val="auto"/>
                <w:w w:val="98"/>
              </w:rPr>
              <w:t>January 29, 2011</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5080" w:type="dxa"/>
            <w:vAlign w:val="bottom"/>
          </w:tcPr>
          <w:p>
            <w:pPr>
              <w:spacing w:after="0"/>
              <w:rPr>
                <w:sz w:val="12"/>
                <w:szCs w:val="12"/>
                <w:color w:val="auto"/>
              </w:rPr>
            </w:pPr>
          </w:p>
        </w:tc>
        <w:tc>
          <w:tcPr>
            <w:tcW w:w="118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Buy Contracts</w:t>
            </w:r>
          </w:p>
        </w:tc>
        <w:tc>
          <w:tcPr>
            <w:tcW w:w="320" w:type="dxa"/>
            <w:vAlign w:val="bottom"/>
          </w:tcPr>
          <w:p>
            <w:pPr>
              <w:spacing w:after="0"/>
              <w:rPr>
                <w:sz w:val="12"/>
                <w:szCs w:val="12"/>
                <w:color w:val="auto"/>
              </w:rPr>
            </w:pP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660" w:type="dxa"/>
            <w:vAlign w:val="bottom"/>
          </w:tcPr>
          <w:p>
            <w:pPr>
              <w:spacing w:after="0"/>
              <w:rPr>
                <w:sz w:val="12"/>
                <w:szCs w:val="12"/>
                <w:color w:val="auto"/>
              </w:rPr>
            </w:pPr>
          </w:p>
        </w:tc>
        <w:tc>
          <w:tcPr>
            <w:tcW w:w="1180" w:type="dxa"/>
            <w:vAlign w:val="bottom"/>
            <w:gridSpan w:val="3"/>
          </w:tcPr>
          <w:p>
            <w:pPr>
              <w:ind w:left="20"/>
              <w:spacing w:after="0" w:line="142" w:lineRule="exact"/>
              <w:rPr>
                <w:sz w:val="20"/>
                <w:szCs w:val="20"/>
                <w:color w:val="auto"/>
              </w:rPr>
            </w:pPr>
            <w:r>
              <w:rPr>
                <w:rFonts w:ascii="Arial" w:cs="Arial" w:eastAsia="Arial" w:hAnsi="Arial"/>
                <w:sz w:val="14"/>
                <w:szCs w:val="14"/>
                <w:b w:val="1"/>
                <w:bCs w:val="1"/>
                <w:color w:val="auto"/>
              </w:rPr>
              <w:t>Buy Contracts</w:t>
            </w:r>
          </w:p>
        </w:tc>
        <w:tc>
          <w:tcPr>
            <w:tcW w:w="340" w:type="dxa"/>
            <w:vAlign w:val="bottom"/>
          </w:tcPr>
          <w:p>
            <w:pPr>
              <w:spacing w:after="0"/>
              <w:rPr>
                <w:sz w:val="12"/>
                <w:szCs w:val="12"/>
                <w:color w:val="auto"/>
              </w:rPr>
            </w:pP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100" w:type="dxa"/>
            <w:vAlign w:val="bottom"/>
          </w:tcPr>
          <w:p>
            <w:pPr>
              <w:spacing w:after="0"/>
              <w:rPr>
                <w:sz w:val="12"/>
                <w:szCs w:val="12"/>
                <w:color w:val="auto"/>
              </w:rPr>
            </w:pPr>
          </w:p>
        </w:tc>
      </w:tr>
      <w:tr>
        <w:trPr>
          <w:trHeight w:val="210"/>
        </w:trPr>
        <w:tc>
          <w:tcPr>
            <w:tcW w:w="50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67,361</w:t>
            </w:r>
          </w:p>
        </w:tc>
        <w:tc>
          <w:tcPr>
            <w:tcW w:w="34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60" w:type="dxa"/>
            <w:vAlign w:val="bottom"/>
            <w:tcBorders>
              <w:top w:val="single" w:sz="8" w:color="auto"/>
            </w:tcBorders>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w w:val="83"/>
              </w:rPr>
              <w:t>56,360</w:t>
            </w:r>
          </w:p>
        </w:tc>
        <w:tc>
          <w:tcPr>
            <w:tcW w:w="34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8"/>
                <w:szCs w:val="18"/>
                <w:color w:val="auto"/>
              </w:rPr>
            </w:pPr>
          </w:p>
        </w:tc>
      </w:tr>
      <w:tr>
        <w:trPr>
          <w:trHeight w:val="223"/>
        </w:trPr>
        <w:tc>
          <w:tcPr>
            <w:tcW w:w="5080" w:type="dxa"/>
            <w:vAlign w:val="bottom"/>
          </w:tcPr>
          <w:p>
            <w:pPr>
              <w:spacing w:after="0"/>
              <w:rPr>
                <w:sz w:val="20"/>
                <w:szCs w:val="20"/>
                <w:color w:val="auto"/>
              </w:rPr>
            </w:pPr>
            <w:r>
              <w:rPr>
                <w:rFonts w:ascii="Arial" w:cs="Arial" w:eastAsia="Arial" w:hAnsi="Arial"/>
                <w:sz w:val="18"/>
                <w:szCs w:val="18"/>
                <w:color w:val="auto"/>
              </w:rPr>
              <w:t>Euro</w:t>
            </w:r>
          </w:p>
        </w:tc>
        <w:tc>
          <w:tcPr>
            <w:tcW w:w="2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60" w:type="dxa"/>
            <w:vAlign w:val="bottom"/>
            <w:tcBorders>
              <w:bottom w:val="single" w:sz="8" w:color="auto"/>
            </w:tcBorders>
          </w:tcPr>
          <w:p>
            <w:pPr>
              <w:spacing w:after="0"/>
              <w:rPr>
                <w:sz w:val="19"/>
                <w:szCs w:val="19"/>
                <w:color w:val="auto"/>
              </w:rPr>
            </w:pPr>
          </w:p>
        </w:tc>
        <w:tc>
          <w:tcPr>
            <w:tcW w:w="4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3,698</w:t>
            </w:r>
          </w:p>
        </w:tc>
        <w:tc>
          <w:tcPr>
            <w:tcW w:w="100" w:type="dxa"/>
            <w:vAlign w:val="bottom"/>
          </w:tcPr>
          <w:p>
            <w:pPr>
              <w:spacing w:after="0"/>
              <w:rPr>
                <w:sz w:val="19"/>
                <w:szCs w:val="19"/>
                <w:color w:val="auto"/>
              </w:rPr>
            </w:pPr>
          </w:p>
        </w:tc>
      </w:tr>
      <w:tr>
        <w:trPr>
          <w:trHeight w:val="216"/>
        </w:trPr>
        <w:tc>
          <w:tcPr>
            <w:tcW w:w="50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67,361</w:t>
            </w:r>
          </w:p>
        </w:tc>
        <w:tc>
          <w:tcPr>
            <w:tcW w:w="6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56,360</w:t>
            </w:r>
          </w:p>
        </w:tc>
        <w:tc>
          <w:tcPr>
            <w:tcW w:w="6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3,698</w:t>
            </w:r>
          </w:p>
        </w:tc>
        <w:tc>
          <w:tcPr>
            <w:tcW w:w="100" w:type="dxa"/>
            <w:vAlign w:val="bottom"/>
            <w:shd w:val="clear" w:color="auto" w:fill="CCEEFF"/>
          </w:tcPr>
          <w:p>
            <w:pPr>
              <w:spacing w:after="0"/>
              <w:rPr>
                <w:sz w:val="18"/>
                <w:szCs w:val="18"/>
                <w:color w:val="auto"/>
              </w:rPr>
            </w:pPr>
          </w:p>
        </w:tc>
      </w:tr>
      <w:tr>
        <w:trPr>
          <w:trHeight w:val="20"/>
        </w:trPr>
        <w:tc>
          <w:tcPr>
            <w:tcW w:w="508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(expense), net.</w:t>
      </w:r>
    </w:p>
    <w:p>
      <w:pPr>
        <w:spacing w:after="0" w:line="143" w:lineRule="exact"/>
        <w:rPr>
          <w:sz w:val="20"/>
          <w:szCs w:val="20"/>
          <w:color w:val="auto"/>
        </w:rPr>
      </w:pPr>
    </w:p>
    <w:p>
      <w:pPr>
        <w:jc w:val="both"/>
        <w:ind w:right="100" w:firstLine="456"/>
        <w:spacing w:after="0" w:line="335" w:lineRule="auto"/>
        <w:rPr>
          <w:sz w:val="20"/>
          <w:szCs w:val="20"/>
          <w:color w:val="auto"/>
        </w:rPr>
      </w:pPr>
      <w:r>
        <w:rPr>
          <w:rFonts w:ascii="Arial" w:cs="Arial" w:eastAsia="Arial" w:hAnsi="Arial"/>
          <w:sz w:val="15"/>
          <w:szCs w:val="15"/>
          <w:i w:val="1"/>
          <w:iCs w:val="1"/>
          <w:color w:val="auto"/>
        </w:rPr>
        <w:t xml:space="preserve">Other Foreign Currency Forward Contracts. </w:t>
      </w:r>
      <w:r>
        <w:rPr>
          <w:rFonts w:ascii="Arial" w:cs="Arial" w:eastAsia="Arial" w:hAnsi="Arial"/>
          <w:sz w:val="15"/>
          <w:szCs w:val="15"/>
          <w:color w:val="auto"/>
        </w:rPr>
        <w:t>The Company enters into foreign currency forward exchange contracts to hedge certain assets and liabilities</w:t>
      </w:r>
      <w:r>
        <w:rPr>
          <w:rFonts w:ascii="Arial" w:cs="Arial" w:eastAsia="Arial" w:hAnsi="Arial"/>
          <w:sz w:val="15"/>
          <w:szCs w:val="15"/>
          <w:i w:val="1"/>
          <w:iCs w:val="1"/>
          <w:color w:val="auto"/>
        </w:rPr>
        <w:t xml:space="preserve"> </w:t>
      </w:r>
      <w:r>
        <w:rPr>
          <w:rFonts w:ascii="Arial" w:cs="Arial" w:eastAsia="Arial" w:hAnsi="Arial"/>
          <w:sz w:val="15"/>
          <w:szCs w:val="15"/>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(loss), net.</w:t>
      </w:r>
    </w:p>
    <w:p>
      <w:pPr>
        <w:spacing w:after="0" w:line="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exchange contract derivatives was not significant as of any period presented.</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60"/>
          </w:cols>
          <w:pgMar w:left="240" w:top="459" w:right="29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 measures its cash equivalents and marketable securities at fair value. The Company’s cash equivalents and marketable securities are primarily classified within Level 1 with the exception of its investments in auction rate securities, which are classified within Level 3. Cash equivalents and marketable securities are valued primarily using quoted market prices utilizing market observable inputs. The Company’s investments in corporate debt securities are classified within Level 2 as the market inputs to value these instruments consist of market yields, reported trades and broker/dealer quotes. In addition, foreign currency contracts are classified within Level 2 as the valuation inputs are based on quoted prices and market observable data of similar instruments.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Some of the inputs to the cash flow model are unobservable in the market. The total amount of assets measured using Level 3 valuation methodologies represented 0.4% of total assets as of October 29, 2011.</w:t>
      </w:r>
    </w:p>
    <w:p>
      <w:pPr>
        <w:spacing w:after="0" w:line="12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October 29, 2011 and January 29, 2011.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720" w:type="dxa"/>
            <w:vAlign w:val="bottom"/>
            <w:gridSpan w:val="4"/>
          </w:tcPr>
          <w:p>
            <w:pPr>
              <w:ind w:left="48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ind w:left="20"/>
              <w:spacing w:after="0"/>
              <w:rPr>
                <w:sz w:val="20"/>
                <w:szCs w:val="20"/>
                <w:color w:val="auto"/>
              </w:rPr>
            </w:pPr>
            <w:r>
              <w:rPr>
                <w:rFonts w:ascii="Arial" w:cs="Arial" w:eastAsia="Arial" w:hAnsi="Arial"/>
                <w:sz w:val="14"/>
                <w:szCs w:val="14"/>
                <w:b w:val="1"/>
                <w:bCs w:val="1"/>
                <w:color w:val="auto"/>
              </w:rPr>
              <w:t>Level 2</w:t>
            </w:r>
          </w:p>
        </w:tc>
        <w:tc>
          <w:tcPr>
            <w:tcW w:w="46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80" w:type="dxa"/>
            <w:vAlign w:val="bottom"/>
          </w:tcPr>
          <w:p>
            <w:pPr>
              <w:spacing w:after="0"/>
              <w:rPr>
                <w:sz w:val="14"/>
                <w:szCs w:val="14"/>
                <w:color w:val="auto"/>
              </w:rPr>
            </w:pPr>
          </w:p>
        </w:tc>
        <w:tc>
          <w:tcPr>
            <w:tcW w:w="1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at October 29, 2011</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Assets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19,242</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ind w:left="300"/>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19,242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securities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11,499</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11,499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132,441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132,441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Short-term investments: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securities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759,858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759,858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813,896</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813,896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0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23,218</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23,218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5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868</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1,740</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2,608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925,409</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827,135</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23,218</w:t>
            </w:r>
          </w:p>
        </w:tc>
        <w:tc>
          <w:tcPr>
            <w:tcW w:w="66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1,775,762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1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320" w:type="dxa"/>
            <w:vAlign w:val="bottom"/>
            <w:gridSpan w:val="2"/>
            <w:vMerge w:val="continue"/>
          </w:tcPr>
          <w:p>
            <w:pPr>
              <w:spacing w:after="0"/>
              <w:rPr>
                <w:sz w:val="18"/>
                <w:szCs w:val="18"/>
                <w:color w:val="auto"/>
              </w:rPr>
            </w:pPr>
          </w:p>
        </w:tc>
        <w:tc>
          <w:tcPr>
            <w:tcW w:w="1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5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ind w:left="300"/>
              <w:spacing w:after="0"/>
              <w:rPr>
                <w:sz w:val="20"/>
                <w:szCs w:val="20"/>
                <w:color w:val="auto"/>
              </w:rPr>
            </w:pPr>
            <w:r>
              <w:rPr>
                <w:rFonts w:ascii="Arial" w:cs="Arial" w:eastAsia="Arial" w:hAnsi="Arial"/>
                <w:sz w:val="18"/>
                <w:szCs w:val="18"/>
                <w:color w:val="auto"/>
                <w:w w:val="86"/>
              </w:rPr>
              <w:t>797</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797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9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Total liabilities</w:t>
            </w:r>
          </w:p>
        </w:tc>
        <w:tc>
          <w:tcPr>
            <w:tcW w:w="15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w w:val="86"/>
              </w:rPr>
              <w:t>797</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1580" w:type="dxa"/>
            <w:vAlign w:val="bottom"/>
            <w:vMerge w:val="restart"/>
          </w:tcPr>
          <w:p>
            <w:pPr>
              <w:jc w:val="right"/>
              <w:ind w:right="472"/>
              <w:spacing w:after="0"/>
              <w:rPr>
                <w:sz w:val="20"/>
                <w:szCs w:val="20"/>
                <w:color w:val="auto"/>
              </w:rPr>
            </w:pPr>
            <w:r>
              <w:rPr>
                <w:rFonts w:ascii="Arial" w:cs="Arial" w:eastAsia="Arial" w:hAnsi="Arial"/>
                <w:sz w:val="18"/>
                <w:szCs w:val="18"/>
                <w:color w:val="auto"/>
              </w:rPr>
              <w:t>11</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5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4"/>
              </w:rPr>
              <w:t>Value Measured at 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Level 1</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ind w:left="40"/>
              <w:spacing w:after="0"/>
              <w:rPr>
                <w:sz w:val="20"/>
                <w:szCs w:val="20"/>
                <w:color w:val="auto"/>
              </w:rPr>
            </w:pPr>
            <w:r>
              <w:rPr>
                <w:rFonts w:ascii="Arial" w:cs="Arial" w:eastAsia="Arial" w:hAnsi="Arial"/>
                <w:sz w:val="14"/>
                <w:szCs w:val="14"/>
                <w:b w:val="1"/>
                <w:bCs w:val="1"/>
                <w:color w:val="auto"/>
              </w:rPr>
              <w:t>Level 2</w:t>
            </w:r>
          </w:p>
        </w:tc>
        <w:tc>
          <w:tcPr>
            <w:tcW w:w="54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at January 29, 2011</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3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2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1,230,616</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1,230,616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securities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106,487</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9,797</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9,797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159,938</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159,938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securities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431,683</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651,273</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651,273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26,226</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 and other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w w:val="79"/>
              </w:rPr>
              <w:t>166</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2,425</w:t>
            </w:r>
          </w:p>
        </w:tc>
        <w:tc>
          <w:tcPr>
            <w:tcW w:w="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2,394</w:t>
            </w:r>
          </w:p>
        </w:tc>
        <w:tc>
          <w:tcPr>
            <w:tcW w:w="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1,931,149</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663,630</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26,226</w:t>
            </w:r>
          </w:p>
        </w:tc>
        <w:tc>
          <w:tcPr>
            <w:tcW w:w="64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2,621,005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36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36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w w:val="79"/>
              </w:rPr>
              <w:t>804</w:t>
            </w:r>
          </w:p>
        </w:tc>
        <w:tc>
          <w:tcPr>
            <w:tcW w:w="54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w w:val="79"/>
              </w:rPr>
              <w:t>804</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460" w:firstLine="456"/>
        <w:spacing w:after="0" w:line="268" w:lineRule="auto"/>
        <w:rPr>
          <w:sz w:val="20"/>
          <w:szCs w:val="20"/>
          <w:color w:val="auto"/>
        </w:rPr>
      </w:pPr>
      <w:r>
        <w:rPr>
          <w:rFonts w:ascii="Arial" w:cs="Arial" w:eastAsia="Arial" w:hAnsi="Arial"/>
          <w:sz w:val="18"/>
          <w:szCs w:val="18"/>
          <w:color w:val="auto"/>
        </w:rPr>
        <w:t>The following tables summarize the change in fair value for Level 3 items during the nine months ended October 29, 2011 and October 30, 2010 (in thousands):</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9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r>
      <w:tr>
        <w:trPr>
          <w:trHeight w:val="196"/>
        </w:trPr>
        <w:tc>
          <w:tcPr>
            <w:tcW w:w="20" w:type="dxa"/>
            <w:vAlign w:val="bottom"/>
          </w:tcPr>
          <w:p>
            <w:pPr>
              <w:spacing w:after="0"/>
              <w:rPr>
                <w:sz w:val="17"/>
                <w:szCs w:val="17"/>
                <w:color w:val="auto"/>
              </w:rPr>
            </w:pPr>
          </w:p>
        </w:tc>
        <w:tc>
          <w:tcPr>
            <w:tcW w:w="69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Changes in fair value during the nine months ended October 29, 2011 (pre-tax):</w:t>
            </w:r>
          </w:p>
        </w:tc>
        <w:tc>
          <w:tcPr>
            <w:tcW w:w="102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Beginning balance at January 30, 2011</w:t>
            </w:r>
          </w:p>
        </w:tc>
        <w:tc>
          <w:tcPr>
            <w:tcW w:w="1600" w:type="dxa"/>
            <w:vAlign w:val="bottom"/>
            <w:gridSpan w:val="2"/>
          </w:tcPr>
          <w:p>
            <w:pPr>
              <w:jc w:val="right"/>
              <w:spacing w:after="0"/>
              <w:rPr>
                <w:sz w:val="20"/>
                <w:szCs w:val="20"/>
                <w:color w:val="auto"/>
              </w:rPr>
            </w:pPr>
            <w:r>
              <w:rPr>
                <w:rFonts w:ascii="Arial" w:cs="Arial" w:eastAsia="Arial" w:hAnsi="Arial"/>
                <w:sz w:val="18"/>
                <w:szCs w:val="18"/>
                <w:color w:val="auto"/>
              </w:rPr>
              <w:t>$26,226</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10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Sales, redemption and settlement</w:t>
            </w:r>
          </w:p>
        </w:tc>
        <w:tc>
          <w:tcPr>
            <w:tcW w:w="1720" w:type="dxa"/>
            <w:vAlign w:val="bottom"/>
            <w:gridSpan w:val="3"/>
          </w:tcPr>
          <w:p>
            <w:pPr>
              <w:jc w:val="right"/>
              <w:ind w:right="60"/>
              <w:spacing w:after="0"/>
              <w:rPr>
                <w:sz w:val="20"/>
                <w:szCs w:val="20"/>
                <w:color w:val="auto"/>
              </w:rPr>
            </w:pPr>
            <w:r>
              <w:rPr>
                <w:rFonts w:ascii="Arial" w:cs="Arial" w:eastAsia="Arial" w:hAnsi="Arial"/>
                <w:sz w:val="18"/>
                <w:szCs w:val="18"/>
                <w:color w:val="auto"/>
              </w:rPr>
              <w:t>(3,300)</w:t>
            </w: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included in accumulated other comprehensive income (loss)</w:t>
            </w:r>
          </w:p>
        </w:tc>
        <w:tc>
          <w:tcPr>
            <w:tcW w:w="10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w:t>
            </w:r>
          </w:p>
        </w:tc>
        <w:tc>
          <w:tcPr>
            <w:tcW w:w="120" w:type="dxa"/>
            <w:vAlign w:val="bottom"/>
            <w:shd w:val="clear" w:color="auto" w:fill="CCEEFF"/>
          </w:tcPr>
          <w:p>
            <w:pPr>
              <w:spacing w:after="0"/>
              <w:rPr>
                <w:sz w:val="18"/>
                <w:szCs w:val="18"/>
                <w:color w:val="auto"/>
              </w:rPr>
            </w:pPr>
          </w:p>
        </w:tc>
      </w:tr>
      <w:tr>
        <w:trPr>
          <w:trHeight w:val="222"/>
        </w:trPr>
        <w:tc>
          <w:tcPr>
            <w:tcW w:w="6960" w:type="dxa"/>
            <w:vAlign w:val="bottom"/>
            <w:gridSpan w:val="2"/>
          </w:tcPr>
          <w:p>
            <w:pPr>
              <w:spacing w:after="0"/>
              <w:rPr>
                <w:sz w:val="20"/>
                <w:szCs w:val="20"/>
                <w:color w:val="auto"/>
              </w:rPr>
            </w:pPr>
            <w:r>
              <w:rPr>
                <w:rFonts w:ascii="Arial" w:cs="Arial" w:eastAsia="Arial" w:hAnsi="Arial"/>
                <w:sz w:val="18"/>
                <w:szCs w:val="18"/>
                <w:color w:val="auto"/>
              </w:rPr>
              <w:t>Ending balance at October 29, 2011</w:t>
            </w:r>
          </w:p>
        </w:tc>
        <w:tc>
          <w:tcPr>
            <w:tcW w:w="102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23,218</w:t>
            </w:r>
          </w:p>
        </w:tc>
        <w:tc>
          <w:tcPr>
            <w:tcW w:w="12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69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69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r>
      <w:tr>
        <w:trPr>
          <w:trHeight w:val="196"/>
        </w:trPr>
        <w:tc>
          <w:tcPr>
            <w:tcW w:w="20" w:type="dxa"/>
            <w:vAlign w:val="bottom"/>
          </w:tcPr>
          <w:p>
            <w:pPr>
              <w:spacing w:after="0"/>
              <w:rPr>
                <w:sz w:val="17"/>
                <w:szCs w:val="17"/>
                <w:color w:val="auto"/>
              </w:rPr>
            </w:pPr>
          </w:p>
        </w:tc>
        <w:tc>
          <w:tcPr>
            <w:tcW w:w="69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Changes in fair value during the nine months ended October 30, 2010 (pre-tax):</w:t>
            </w:r>
          </w:p>
        </w:tc>
        <w:tc>
          <w:tcPr>
            <w:tcW w:w="102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Beginning balance at January 31, 2010</w:t>
            </w:r>
          </w:p>
        </w:tc>
        <w:tc>
          <w:tcPr>
            <w:tcW w:w="1600" w:type="dxa"/>
            <w:vAlign w:val="bottom"/>
            <w:gridSpan w:val="2"/>
          </w:tcPr>
          <w:p>
            <w:pPr>
              <w:jc w:val="right"/>
              <w:spacing w:after="0"/>
              <w:rPr>
                <w:sz w:val="20"/>
                <w:szCs w:val="20"/>
                <w:color w:val="auto"/>
              </w:rPr>
            </w:pPr>
            <w:r>
              <w:rPr>
                <w:rFonts w:ascii="Arial" w:cs="Arial" w:eastAsia="Arial" w:hAnsi="Arial"/>
                <w:sz w:val="18"/>
                <w:szCs w:val="18"/>
                <w:color w:val="auto"/>
              </w:rPr>
              <w:t>$39,281</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10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Sales, redemption and settlement</w:t>
            </w:r>
          </w:p>
        </w:tc>
        <w:tc>
          <w:tcPr>
            <w:tcW w:w="1720" w:type="dxa"/>
            <w:vAlign w:val="bottom"/>
            <w:gridSpan w:val="3"/>
          </w:tcPr>
          <w:p>
            <w:pPr>
              <w:jc w:val="right"/>
              <w:ind w:right="60"/>
              <w:spacing w:after="0"/>
              <w:rPr>
                <w:sz w:val="20"/>
                <w:szCs w:val="20"/>
                <w:color w:val="auto"/>
              </w:rPr>
            </w:pPr>
            <w:r>
              <w:rPr>
                <w:rFonts w:ascii="Arial" w:cs="Arial" w:eastAsia="Arial" w:hAnsi="Arial"/>
                <w:sz w:val="18"/>
                <w:szCs w:val="18"/>
                <w:color w:val="auto"/>
              </w:rPr>
              <w:t>(8,516)</w:t>
            </w: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Realized loss on sale</w:t>
            </w:r>
          </w:p>
        </w:tc>
        <w:tc>
          <w:tcPr>
            <w:tcW w:w="17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(134)</w:t>
            </w:r>
          </w:p>
        </w:tc>
      </w:tr>
      <w:tr>
        <w:trPr>
          <w:trHeight w:val="223"/>
        </w:trPr>
        <w:tc>
          <w:tcPr>
            <w:tcW w:w="20" w:type="dxa"/>
            <w:vAlign w:val="bottom"/>
          </w:tcPr>
          <w:p>
            <w:pPr>
              <w:spacing w:after="0"/>
              <w:rPr>
                <w:sz w:val="19"/>
                <w:szCs w:val="19"/>
                <w:color w:val="auto"/>
              </w:rPr>
            </w:pPr>
          </w:p>
        </w:tc>
        <w:tc>
          <w:tcPr>
            <w:tcW w:w="6940" w:type="dxa"/>
            <w:vAlign w:val="bottom"/>
          </w:tcPr>
          <w:p>
            <w:pPr>
              <w:spacing w:after="0"/>
              <w:rPr>
                <w:sz w:val="20"/>
                <w:szCs w:val="20"/>
                <w:color w:val="auto"/>
              </w:rPr>
            </w:pPr>
            <w:r>
              <w:rPr>
                <w:rFonts w:ascii="Arial" w:cs="Arial" w:eastAsia="Arial" w:hAnsi="Arial"/>
                <w:sz w:val="18"/>
                <w:szCs w:val="18"/>
                <w:color w:val="auto"/>
              </w:rPr>
              <w:t>Unrealized gain included in accumulated other comprehensive income (loss)</w:t>
            </w:r>
          </w:p>
        </w:tc>
        <w:tc>
          <w:tcPr>
            <w:tcW w:w="102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234</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940" w:type="dxa"/>
            <w:vAlign w:val="bottom"/>
            <w:shd w:val="clear" w:color="auto" w:fill="CCEEFF"/>
          </w:tcPr>
          <w:p>
            <w:pPr>
              <w:spacing w:after="0"/>
              <w:rPr>
                <w:sz w:val="20"/>
                <w:szCs w:val="20"/>
                <w:color w:val="auto"/>
              </w:rPr>
            </w:pPr>
            <w:r>
              <w:rPr>
                <w:rFonts w:ascii="Arial" w:cs="Arial" w:eastAsia="Arial" w:hAnsi="Arial"/>
                <w:sz w:val="18"/>
                <w:szCs w:val="18"/>
                <w:color w:val="auto"/>
              </w:rPr>
              <w:t>Ending balance at October 30, 2010</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30,865</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9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Assets measured and recorded at fair value on a non-recurring basis as of October 29, 2011 and January 29, 2011 were not significant.</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Business Combination</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April 2011, the Company acquired the PHY business of a company, which specializes in the design of networking devices. Under the purchase method of accounting, the total purchase price was determined to be $16.3 million and was allocated to tangible asset for $1.1 million, intangible assets for $13.6 million and goodwill for $1.6 million.</w:t>
      </w:r>
    </w:p>
    <w:p>
      <w:pPr>
        <w:spacing w:after="0" w:line="1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20"/>
          </w:cols>
          <w:pgMar w:left="240" w:top="459" w:right="3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Goodwill and Acquired Intangible Assets, Net (in thousands):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Goodwill</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w:t>
      </w:r>
    </w:p>
    <w:p>
      <w:pPr>
        <w:spacing w:after="0" w:line="2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840" w:type="dxa"/>
            <w:vAlign w:val="bottom"/>
          </w:tcPr>
          <w:p>
            <w:pPr>
              <w:spacing w:after="0"/>
              <w:rPr>
                <w:sz w:val="18"/>
                <w:szCs w:val="18"/>
                <w:color w:val="auto"/>
              </w:rPr>
            </w:pPr>
          </w:p>
        </w:tc>
        <w:tc>
          <w:tcPr>
            <w:tcW w:w="23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$2,004,833</w:t>
            </w:r>
          </w:p>
        </w:tc>
        <w:tc>
          <w:tcPr>
            <w:tcW w:w="10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840" w:type="dxa"/>
            <w:vAlign w:val="bottom"/>
          </w:tcPr>
          <w:p>
            <w:pPr>
              <w:spacing w:after="0"/>
              <w:rPr>
                <w:sz w:val="19"/>
                <w:szCs w:val="19"/>
                <w:color w:val="auto"/>
              </w:rPr>
            </w:pPr>
          </w:p>
        </w:tc>
        <w:tc>
          <w:tcPr>
            <w:tcW w:w="3320" w:type="dxa"/>
            <w:vAlign w:val="bottom"/>
            <w:gridSpan w:val="3"/>
          </w:tcPr>
          <w:p>
            <w:pPr>
              <w:spacing w:after="0"/>
              <w:rPr>
                <w:sz w:val="20"/>
                <w:szCs w:val="20"/>
                <w:color w:val="auto"/>
              </w:rPr>
            </w:pPr>
            <w:r>
              <w:rPr>
                <w:rFonts w:ascii="Arial" w:cs="Arial" w:eastAsia="Arial" w:hAnsi="Arial"/>
                <w:sz w:val="18"/>
                <w:szCs w:val="18"/>
                <w:color w:val="auto"/>
              </w:rPr>
              <w:t>Additions due to business combinations</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gridSpan w:val="2"/>
          </w:tcPr>
          <w:p>
            <w:pPr>
              <w:spacing w:after="0"/>
              <w:rPr>
                <w:sz w:val="19"/>
                <w:szCs w:val="19"/>
                <w:color w:val="auto"/>
              </w:rPr>
            </w:pPr>
          </w:p>
        </w:tc>
        <w:tc>
          <w:tcPr>
            <w:tcW w:w="800" w:type="dxa"/>
            <w:vAlign w:val="bottom"/>
            <w:tcBorders>
              <w:bottom w:val="single" w:sz="8" w:color="auto"/>
            </w:tcBorders>
            <w:gridSpan w:val="4"/>
          </w:tcPr>
          <w:p>
            <w:pPr>
              <w:jc w:val="right"/>
              <w:spacing w:after="0"/>
              <w:rPr>
                <w:sz w:val="20"/>
                <w:szCs w:val="20"/>
                <w:color w:val="auto"/>
              </w:rPr>
            </w:pPr>
            <w:r>
              <w:rPr>
                <w:rFonts w:ascii="Arial" w:cs="Arial" w:eastAsia="Arial" w:hAnsi="Arial"/>
                <w:sz w:val="18"/>
                <w:szCs w:val="18"/>
                <w:color w:val="auto"/>
              </w:rPr>
              <w:t>4,829</w:t>
            </w:r>
          </w:p>
        </w:tc>
        <w:tc>
          <w:tcPr>
            <w:tcW w:w="1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232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29, 2011</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0" w:type="dxa"/>
            <w:vAlign w:val="bottom"/>
            <w:gridSpan w:val="6"/>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2,009,662</w:t>
            </w:r>
          </w:p>
        </w:tc>
        <w:tc>
          <w:tcPr>
            <w:tcW w:w="10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60" w:type="dxa"/>
            <w:vAlign w:val="bottom"/>
            <w:gridSpan w:val="2"/>
            <w:vMerge w:val="restart"/>
          </w:tcPr>
          <w:p>
            <w:pPr>
              <w:ind w:left="460"/>
              <w:spacing w:after="0"/>
              <w:rPr>
                <w:sz w:val="20"/>
                <w:szCs w:val="20"/>
                <w:color w:val="auto"/>
              </w:rPr>
            </w:pPr>
            <w:r>
              <w:rPr>
                <w:rFonts w:ascii="Arial" w:cs="Arial" w:eastAsia="Arial" w:hAnsi="Arial"/>
                <w:sz w:val="18"/>
                <w:szCs w:val="18"/>
                <w:b w:val="1"/>
                <w:bCs w:val="1"/>
                <w:color w:val="auto"/>
              </w:rPr>
              <w:t>Acquired Intangible Assets, Net</w:t>
            </w:r>
          </w:p>
        </w:tc>
        <w:tc>
          <w:tcPr>
            <w:tcW w:w="8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160" w:type="dxa"/>
            <w:vAlign w:val="bottom"/>
            <w:gridSpan w:val="2"/>
            <w:vMerge w:val="continue"/>
          </w:tcPr>
          <w:p>
            <w:pPr>
              <w:spacing w:after="0"/>
              <w:rPr>
                <w:sz w:val="24"/>
                <w:szCs w:val="24"/>
                <w:color w:val="auto"/>
              </w:rPr>
            </w:pPr>
          </w:p>
        </w:tc>
        <w:tc>
          <w:tcPr>
            <w:tcW w:w="8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320" w:type="dxa"/>
            <w:vAlign w:val="bottom"/>
            <w:tcBorders>
              <w:bottom w:val="single" w:sz="8" w:color="auto"/>
            </w:tcBorders>
            <w:gridSpan w:val="4"/>
          </w:tcPr>
          <w:p>
            <w:pPr>
              <w:jc w:val="right"/>
              <w:ind w:right="180"/>
              <w:spacing w:after="0"/>
              <w:rPr>
                <w:sz w:val="20"/>
                <w:szCs w:val="20"/>
                <w:color w:val="auto"/>
              </w:rPr>
            </w:pPr>
            <w:r>
              <w:rPr>
                <w:rFonts w:ascii="Arial" w:cs="Arial" w:eastAsia="Arial" w:hAnsi="Arial"/>
                <w:sz w:val="14"/>
                <w:szCs w:val="14"/>
                <w:b w:val="1"/>
                <w:bCs w:val="1"/>
                <w:color w:val="auto"/>
                <w:w w:val="99"/>
              </w:rPr>
              <w:t>October 29, 2011</w:t>
            </w: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gridSpan w:val="5"/>
          </w:tcPr>
          <w:p>
            <w:pPr>
              <w:jc w:val="right"/>
              <w:ind w:right="320"/>
              <w:spacing w:after="0"/>
              <w:rPr>
                <w:sz w:val="20"/>
                <w:szCs w:val="20"/>
                <w:color w:val="auto"/>
              </w:rPr>
            </w:pPr>
            <w:r>
              <w:rPr>
                <w:rFonts w:ascii="Arial" w:cs="Arial" w:eastAsia="Arial" w:hAnsi="Arial"/>
                <w:sz w:val="14"/>
                <w:szCs w:val="14"/>
                <w:b w:val="1"/>
                <w:bCs w:val="1"/>
                <w:color w:val="auto"/>
                <w:w w:val="92"/>
              </w:rPr>
              <w:t>January 29, 2011</w:t>
            </w:r>
          </w:p>
        </w:tc>
        <w:tc>
          <w:tcPr>
            <w:tcW w:w="8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840" w:type="dxa"/>
            <w:vAlign w:val="bottom"/>
          </w:tcPr>
          <w:p>
            <w:pPr>
              <w:spacing w:after="0"/>
              <w:rPr>
                <w:sz w:val="11"/>
                <w:szCs w:val="11"/>
                <w:color w:val="auto"/>
              </w:rPr>
            </w:pPr>
          </w:p>
        </w:tc>
        <w:tc>
          <w:tcPr>
            <w:tcW w:w="23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060" w:type="dxa"/>
            <w:vAlign w:val="bottom"/>
            <w:gridSpan w:val="3"/>
          </w:tcPr>
          <w:p>
            <w:pPr>
              <w:jc w:val="center"/>
              <w:ind w:right="1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160" w:type="dxa"/>
            <w:vAlign w:val="bottom"/>
            <w:gridSpan w:val="3"/>
          </w:tcPr>
          <w:p>
            <w:pPr>
              <w:jc w:val="center"/>
              <w:ind w:right="3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84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00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3"/>
              </w:rPr>
              <w:t>Range of</w:t>
            </w:r>
          </w:p>
        </w:tc>
        <w:tc>
          <w:tcPr>
            <w:tcW w:w="80" w:type="dxa"/>
            <w:vAlign w:val="bottom"/>
          </w:tcPr>
          <w:p>
            <w:pPr>
              <w:spacing w:after="0"/>
              <w:rPr>
                <w:sz w:val="12"/>
                <w:szCs w:val="12"/>
                <w:color w:val="auto"/>
              </w:rPr>
            </w:pPr>
          </w:p>
        </w:tc>
        <w:tc>
          <w:tcPr>
            <w:tcW w:w="7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2"/>
                <w:szCs w:val="12"/>
                <w:color w:val="auto"/>
              </w:rPr>
            </w:pPr>
          </w:p>
        </w:tc>
        <w:tc>
          <w:tcPr>
            <w:tcW w:w="106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center"/>
              <w:ind w:right="17"/>
              <w:spacing w:after="0" w:line="149" w:lineRule="exact"/>
              <w:rPr>
                <w:sz w:val="20"/>
                <w:szCs w:val="20"/>
                <w:color w:val="auto"/>
              </w:rPr>
            </w:pPr>
            <w:r>
              <w:rPr>
                <w:rFonts w:ascii="Arial" w:cs="Arial" w:eastAsia="Arial" w:hAnsi="Arial"/>
                <w:sz w:val="14"/>
                <w:szCs w:val="14"/>
                <w:b w:val="1"/>
                <w:bCs w:val="1"/>
                <w:color w:val="auto"/>
                <w:w w:val="88"/>
              </w:rPr>
              <w:t>Net</w:t>
            </w:r>
          </w:p>
        </w:tc>
        <w:tc>
          <w:tcPr>
            <w:tcW w:w="300" w:type="dxa"/>
            <w:vAlign w:val="bottom"/>
          </w:tcPr>
          <w:p>
            <w:pPr>
              <w:spacing w:after="0"/>
              <w:rPr>
                <w:sz w:val="12"/>
                <w:szCs w:val="12"/>
                <w:color w:val="auto"/>
              </w:rPr>
            </w:pPr>
          </w:p>
        </w:tc>
        <w:tc>
          <w:tcPr>
            <w:tcW w:w="8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16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8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35"/>
        </w:trPr>
        <w:tc>
          <w:tcPr>
            <w:tcW w:w="1840" w:type="dxa"/>
            <w:vAlign w:val="bottom"/>
          </w:tcPr>
          <w:p>
            <w:pPr>
              <w:spacing w:after="0"/>
              <w:rPr>
                <w:sz w:val="11"/>
                <w:szCs w:val="11"/>
                <w:color w:val="auto"/>
              </w:rPr>
            </w:pPr>
          </w:p>
        </w:tc>
        <w:tc>
          <w:tcPr>
            <w:tcW w:w="232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740" w:type="dxa"/>
            <w:vAlign w:val="bottom"/>
            <w:gridSpan w:val="2"/>
          </w:tcPr>
          <w:p>
            <w:pPr>
              <w:jc w:val="center"/>
              <w:ind w:right="120"/>
              <w:spacing w:after="0" w:line="135" w:lineRule="exact"/>
              <w:rPr>
                <w:sz w:val="20"/>
                <w:szCs w:val="20"/>
                <w:color w:val="auto"/>
              </w:rPr>
            </w:pPr>
            <w:r>
              <w:rPr>
                <w:rFonts w:ascii="Arial" w:cs="Arial" w:eastAsia="Arial" w:hAnsi="Arial"/>
                <w:sz w:val="14"/>
                <w:szCs w:val="14"/>
                <w:b w:val="1"/>
                <w:bCs w:val="1"/>
                <w:color w:val="auto"/>
                <w:w w:val="93"/>
              </w:rPr>
              <w:t>Carrying</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80"/>
              </w:rPr>
              <w:t>and</w:t>
            </w:r>
          </w:p>
        </w:tc>
        <w:tc>
          <w:tcPr>
            <w:tcW w:w="120" w:type="dxa"/>
            <w:vAlign w:val="bottom"/>
          </w:tcPr>
          <w:p>
            <w:pPr>
              <w:spacing w:after="0"/>
              <w:rPr>
                <w:sz w:val="11"/>
                <w:szCs w:val="11"/>
                <w:color w:val="auto"/>
              </w:rPr>
            </w:pPr>
          </w:p>
        </w:tc>
        <w:tc>
          <w:tcPr>
            <w:tcW w:w="680" w:type="dxa"/>
            <w:vAlign w:val="bottom"/>
            <w:gridSpan w:val="2"/>
          </w:tcPr>
          <w:p>
            <w:pPr>
              <w:jc w:val="center"/>
              <w:spacing w:after="0" w:line="135" w:lineRule="exact"/>
              <w:rPr>
                <w:sz w:val="20"/>
                <w:szCs w:val="20"/>
                <w:color w:val="auto"/>
              </w:rPr>
            </w:pPr>
            <w:r>
              <w:rPr>
                <w:rFonts w:ascii="Arial" w:cs="Arial" w:eastAsia="Arial" w:hAnsi="Arial"/>
                <w:sz w:val="14"/>
                <w:szCs w:val="14"/>
                <w:b w:val="1"/>
                <w:bCs w:val="1"/>
                <w:color w:val="auto"/>
                <w:w w:val="90"/>
              </w:rPr>
              <w:t>Carrying</w:t>
            </w:r>
          </w:p>
        </w:tc>
        <w:tc>
          <w:tcPr>
            <w:tcW w:w="300" w:type="dxa"/>
            <w:vAlign w:val="bottom"/>
          </w:tcPr>
          <w:p>
            <w:pPr>
              <w:spacing w:after="0"/>
              <w:rPr>
                <w:sz w:val="11"/>
                <w:szCs w:val="11"/>
                <w:color w:val="auto"/>
              </w:rPr>
            </w:pPr>
          </w:p>
        </w:tc>
        <w:tc>
          <w:tcPr>
            <w:tcW w:w="88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Carrying</w:t>
            </w: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60" w:type="dxa"/>
            <w:vAlign w:val="bottom"/>
            <w:gridSpan w:val="2"/>
          </w:tcPr>
          <w:p>
            <w:pPr>
              <w:jc w:val="center"/>
              <w:ind w:right="440"/>
              <w:spacing w:after="0" w:line="135" w:lineRule="exact"/>
              <w:rPr>
                <w:sz w:val="20"/>
                <w:szCs w:val="20"/>
                <w:color w:val="auto"/>
              </w:rPr>
            </w:pPr>
            <w:r>
              <w:rPr>
                <w:rFonts w:ascii="Arial" w:cs="Arial" w:eastAsia="Arial" w:hAnsi="Arial"/>
                <w:sz w:val="14"/>
                <w:szCs w:val="14"/>
                <w:b w:val="1"/>
                <w:bCs w:val="1"/>
                <w:color w:val="auto"/>
                <w:w w:val="88"/>
              </w:rPr>
              <w:t>and</w:t>
            </w:r>
          </w:p>
        </w:tc>
        <w:tc>
          <w:tcPr>
            <w:tcW w:w="76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75"/>
        </w:trPr>
        <w:tc>
          <w:tcPr>
            <w:tcW w:w="1840" w:type="dxa"/>
            <w:vAlign w:val="bottom"/>
          </w:tcPr>
          <w:p>
            <w:pPr>
              <w:spacing w:after="0"/>
              <w:rPr>
                <w:sz w:val="15"/>
                <w:szCs w:val="15"/>
                <w:color w:val="auto"/>
              </w:rPr>
            </w:pPr>
          </w:p>
        </w:tc>
        <w:tc>
          <w:tcPr>
            <w:tcW w:w="2320" w:type="dxa"/>
            <w:vAlign w:val="bottom"/>
          </w:tcPr>
          <w:p>
            <w:pPr>
              <w:spacing w:after="0"/>
              <w:rPr>
                <w:sz w:val="15"/>
                <w:szCs w:val="15"/>
                <w:color w:val="auto"/>
              </w:rPr>
            </w:pPr>
          </w:p>
        </w:tc>
        <w:tc>
          <w:tcPr>
            <w:tcW w:w="10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4"/>
              </w:rPr>
              <w:t>Useful Lives</w:t>
            </w:r>
          </w:p>
        </w:tc>
        <w:tc>
          <w:tcPr>
            <w:tcW w:w="80" w:type="dxa"/>
            <w:vAlign w:val="bottom"/>
          </w:tcPr>
          <w:p>
            <w:pPr>
              <w:spacing w:after="0"/>
              <w:rPr>
                <w:sz w:val="15"/>
                <w:szCs w:val="15"/>
                <w:color w:val="auto"/>
              </w:rPr>
            </w:pPr>
          </w:p>
        </w:tc>
        <w:tc>
          <w:tcPr>
            <w:tcW w:w="7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Amounts</w:t>
            </w:r>
          </w:p>
        </w:tc>
        <w:tc>
          <w:tcPr>
            <w:tcW w:w="2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4"/>
              </w:rPr>
              <w:t>Write-Offs</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300" w:type="dxa"/>
            <w:vAlign w:val="bottom"/>
          </w:tcPr>
          <w:p>
            <w:pPr>
              <w:spacing w:after="0"/>
              <w:rPr>
                <w:sz w:val="15"/>
                <w:szCs w:val="15"/>
                <w:color w:val="auto"/>
              </w:rPr>
            </w:pPr>
          </w:p>
        </w:tc>
        <w:tc>
          <w:tcPr>
            <w:tcW w:w="88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1"/>
              </w:rPr>
              <w:t>Write-Offs</w:t>
            </w:r>
          </w:p>
        </w:tc>
        <w:tc>
          <w:tcPr>
            <w:tcW w:w="80" w:type="dxa"/>
            <w:vAlign w:val="bottom"/>
          </w:tcPr>
          <w:p>
            <w:pPr>
              <w:spacing w:after="0"/>
              <w:rPr>
                <w:sz w:val="15"/>
                <w:szCs w:val="15"/>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6"/>
              </w:rPr>
              <w:t>Amount</w:t>
            </w:r>
          </w:p>
        </w:tc>
        <w:tc>
          <w:tcPr>
            <w:tcW w:w="0" w:type="dxa"/>
            <w:vAlign w:val="bottom"/>
          </w:tcPr>
          <w:p>
            <w:pPr>
              <w:spacing w:after="0"/>
              <w:rPr>
                <w:sz w:val="1"/>
                <w:szCs w:val="1"/>
                <w:color w:val="auto"/>
              </w:rPr>
            </w:pPr>
          </w:p>
        </w:tc>
      </w:tr>
      <w:tr>
        <w:trPr>
          <w:trHeight w:val="210"/>
        </w:trPr>
        <w:tc>
          <w:tcPr>
            <w:tcW w:w="41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80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6"/>
              </w:rPr>
              <w:t>1 - 7 years</w:t>
            </w: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739,605</w:t>
            </w:r>
          </w:p>
        </w:tc>
        <w:tc>
          <w:tcPr>
            <w:tcW w:w="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(708,691)</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30,914</w:t>
            </w:r>
          </w:p>
        </w:tc>
        <w:tc>
          <w:tcPr>
            <w:tcW w:w="3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1"/>
              </w:rPr>
              <w:t>$  726,040</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(698,877)</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27,163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6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100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1 - 8 years</w:t>
            </w: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212,650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(172,222)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40,428</w:t>
            </w:r>
          </w:p>
        </w:tc>
        <w:tc>
          <w:tcPr>
            <w:tcW w:w="1180" w:type="dxa"/>
            <w:vAlign w:val="bottom"/>
            <w:gridSpan w:val="4"/>
          </w:tcPr>
          <w:p>
            <w:pPr>
              <w:jc w:val="right"/>
              <w:ind w:right="80"/>
              <w:spacing w:after="0"/>
              <w:rPr>
                <w:sz w:val="20"/>
                <w:szCs w:val="20"/>
                <w:color w:val="auto"/>
              </w:rPr>
            </w:pPr>
            <w:r>
              <w:rPr>
                <w:rFonts w:ascii="Arial" w:cs="Arial" w:eastAsia="Arial" w:hAnsi="Arial"/>
                <w:sz w:val="18"/>
                <w:szCs w:val="18"/>
                <w:color w:val="auto"/>
              </w:rPr>
              <w:t>212,650</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(155,359)</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57,291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w:t>
            </w:r>
          </w:p>
        </w:tc>
        <w:tc>
          <w:tcPr>
            <w:tcW w:w="100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6"/>
              </w:rPr>
              <w:t>1 - 5 years</w:t>
            </w: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350</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(328)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11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350</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(299)</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60" w:type="dxa"/>
            <w:vAlign w:val="bottom"/>
            <w:gridSpan w:val="2"/>
          </w:tcPr>
          <w:p>
            <w:pPr>
              <w:spacing w:after="0"/>
              <w:rPr>
                <w:sz w:val="20"/>
                <w:szCs w:val="20"/>
                <w:color w:val="auto"/>
              </w:rPr>
            </w:pPr>
            <w:r>
              <w:rPr>
                <w:rFonts w:ascii="Arial" w:cs="Arial" w:eastAsia="Arial" w:hAnsi="Arial"/>
                <w:sz w:val="18"/>
                <w:szCs w:val="18"/>
                <w:color w:val="auto"/>
              </w:rPr>
              <w:t>Customer contracts</w:t>
            </w:r>
          </w:p>
        </w:tc>
        <w:tc>
          <w:tcPr>
            <w:tcW w:w="100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4 - 7 years</w:t>
            </w: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187,200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(166,673)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20,527</w:t>
            </w:r>
          </w:p>
        </w:tc>
        <w:tc>
          <w:tcPr>
            <w:tcW w:w="1180" w:type="dxa"/>
            <w:vAlign w:val="bottom"/>
            <w:gridSpan w:val="4"/>
          </w:tcPr>
          <w:p>
            <w:pPr>
              <w:jc w:val="right"/>
              <w:ind w:right="80"/>
              <w:spacing w:after="0"/>
              <w:rPr>
                <w:sz w:val="20"/>
                <w:szCs w:val="20"/>
                <w:color w:val="auto"/>
              </w:rPr>
            </w:pPr>
            <w:r>
              <w:rPr>
                <w:rFonts w:ascii="Arial" w:cs="Arial" w:eastAsia="Arial" w:hAnsi="Arial"/>
                <w:sz w:val="18"/>
                <w:szCs w:val="18"/>
                <w:color w:val="auto"/>
              </w:rPr>
              <w:t>187,200</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(156,774)</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30,426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In-process research and development</w:t>
            </w:r>
          </w:p>
        </w:tc>
        <w:tc>
          <w:tcPr>
            <w:tcW w:w="80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300" w:type="dxa"/>
            <w:vAlign w:val="bottom"/>
            <w:shd w:val="clear" w:color="auto" w:fill="CCEEFF"/>
          </w:tcPr>
          <w:p>
            <w:pPr>
              <w:spacing w:after="0"/>
              <w:rPr>
                <w:sz w:val="18"/>
                <w:szCs w:val="18"/>
                <w:color w:val="auto"/>
              </w:rPr>
            </w:pPr>
          </w:p>
        </w:tc>
        <w:tc>
          <w:tcPr>
            <w:tcW w:w="8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right w:val="single" w:sz="8" w:color="CCEEFF"/>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160" w:type="dxa"/>
            <w:vAlign w:val="bottom"/>
            <w:gridSpan w:val="2"/>
          </w:tcPr>
          <w:p>
            <w:pPr>
              <w:ind w:left="440"/>
              <w:spacing w:after="0"/>
              <w:rPr>
                <w:sz w:val="20"/>
                <w:szCs w:val="20"/>
                <w:color w:val="auto"/>
              </w:rPr>
            </w:pPr>
            <w:r>
              <w:rPr>
                <w:rFonts w:ascii="Arial" w:cs="Arial" w:eastAsia="Arial" w:hAnsi="Arial"/>
                <w:sz w:val="18"/>
                <w:szCs w:val="18"/>
                <w:color w:val="auto"/>
              </w:rPr>
              <w:t>Total intangible assets, net</w:t>
            </w:r>
          </w:p>
        </w:tc>
        <w:tc>
          <w:tcPr>
            <w:tcW w:w="8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1,150,346</w:t>
            </w:r>
          </w:p>
        </w:tc>
        <w:tc>
          <w:tcPr>
            <w:tcW w:w="3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w w:val="89"/>
              </w:rPr>
              <w:t>(1,047,914)</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102,432</w:t>
            </w:r>
          </w:p>
        </w:tc>
        <w:tc>
          <w:tcPr>
            <w:tcW w:w="1180" w:type="dxa"/>
            <w:vAlign w:val="bottom"/>
            <w:gridSpan w:val="4"/>
          </w:tcPr>
          <w:p>
            <w:pPr>
              <w:jc w:val="right"/>
              <w:ind w:right="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1,135,940</w:t>
            </w:r>
          </w:p>
        </w:tc>
        <w:tc>
          <w:tcPr>
            <w:tcW w:w="32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(1,011,309)</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124,631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jc w:val="both"/>
        <w:ind w:left="220" w:right="20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the project, the related in-process research and development (“IPR&amp;D”) assets will be amortized over its estimated useful life. If any of the projects are abandoned or the forecast of the project indicates that the fair value is less than the carrying amount, the Company will be required to impair the related IPR&amp;D asset.</w:t>
      </w:r>
    </w:p>
    <w:p>
      <w:pPr>
        <w:spacing w:after="0" w:line="14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Based on the identified intangible assets recorded at October 29, 2011, the future amortization expense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42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2012</w:t>
            </w: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$11,140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2013</w:t>
            </w:r>
          </w:p>
        </w:tc>
        <w:tc>
          <w:tcPr>
            <w:tcW w:w="3760" w:type="dxa"/>
            <w:vAlign w:val="bottom"/>
          </w:tcPr>
          <w:p>
            <w:pPr>
              <w:spacing w:after="0"/>
              <w:rPr>
                <w:sz w:val="18"/>
                <w:szCs w:val="18"/>
                <w:color w:val="auto"/>
              </w:rPr>
            </w:pPr>
          </w:p>
        </w:tc>
        <w:tc>
          <w:tcPr>
            <w:tcW w:w="3240" w:type="dxa"/>
            <w:vAlign w:val="bottom"/>
            <w:gridSpan w:val="2"/>
          </w:tcPr>
          <w:p>
            <w:pPr>
              <w:jc w:val="right"/>
              <w:spacing w:after="0"/>
              <w:rPr>
                <w:sz w:val="20"/>
                <w:szCs w:val="20"/>
                <w:color w:val="auto"/>
              </w:rPr>
            </w:pPr>
            <w:r>
              <w:rPr>
                <w:rFonts w:ascii="Arial" w:cs="Arial" w:eastAsia="Arial" w:hAnsi="Arial"/>
                <w:sz w:val="18"/>
                <w:szCs w:val="18"/>
                <w:color w:val="auto"/>
              </w:rPr>
              <w:t>41,436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376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26,753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2015</w:t>
            </w:r>
          </w:p>
        </w:tc>
        <w:tc>
          <w:tcPr>
            <w:tcW w:w="3760" w:type="dxa"/>
            <w:vAlign w:val="bottom"/>
          </w:tcPr>
          <w:p>
            <w:pPr>
              <w:spacing w:after="0"/>
              <w:rPr>
                <w:sz w:val="18"/>
                <w:szCs w:val="18"/>
                <w:color w:val="auto"/>
              </w:rPr>
            </w:pPr>
          </w:p>
        </w:tc>
        <w:tc>
          <w:tcPr>
            <w:tcW w:w="3240" w:type="dxa"/>
            <w:vAlign w:val="bottom"/>
            <w:gridSpan w:val="2"/>
          </w:tcPr>
          <w:p>
            <w:pPr>
              <w:jc w:val="right"/>
              <w:spacing w:after="0"/>
              <w:rPr>
                <w:sz w:val="20"/>
                <w:szCs w:val="20"/>
                <w:color w:val="auto"/>
              </w:rPr>
            </w:pPr>
            <w:r>
              <w:rPr>
                <w:rFonts w:ascii="Arial" w:cs="Arial" w:eastAsia="Arial" w:hAnsi="Arial"/>
                <w:sz w:val="18"/>
                <w:szCs w:val="18"/>
                <w:color w:val="auto"/>
              </w:rPr>
              <w:t>5,351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2016</w:t>
            </w:r>
          </w:p>
        </w:tc>
        <w:tc>
          <w:tcPr>
            <w:tcW w:w="376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66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4,624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76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91,891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Restructuring</w:t>
      </w:r>
    </w:p>
    <w:p>
      <w:pPr>
        <w:spacing w:after="0" w:line="96"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During the nine months ended October 30, 2010, as a result of the anticipated sale of one of its facilities, the Company classified the carrying value of the building as held for sale within prepaid expenses and other current assets. This resulted in a charge of $1.1 million to write-down the carrying value to fair value in research and development. During the nine months ended October 29, 2011, the Company completed the sale of the building held for sale to an independent third party for $6.8 million, equal to the revised carrying value of the building.</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In addition, the Company continued to make payments and incur on-going operating expenses from its previously vacated facilities during the three and nine months ended October 29, 2011.</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During the nine months ended October 30, 2010, the Company subleased two of its previously vacated facilities and thus recorded an adjustment to the restructuring liabilities.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an analysis of the components of the restructuring charges and the payments made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98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w w:val="99"/>
              </w:rPr>
              <w:t>Three Months Ended</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2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100" w:type="dxa"/>
            <w:vAlign w:val="bottom"/>
          </w:tcPr>
          <w:p>
            <w:pPr>
              <w:spacing w:after="0"/>
              <w:rPr>
                <w:sz w:val="11"/>
                <w:szCs w:val="11"/>
                <w:color w:val="auto"/>
              </w:rPr>
            </w:pPr>
          </w:p>
        </w:tc>
        <w:tc>
          <w:tcPr>
            <w:tcW w:w="11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2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1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w w:val="96"/>
              </w:rPr>
              <w:t>2011</w:t>
            </w:r>
          </w:p>
        </w:tc>
        <w:tc>
          <w:tcPr>
            <w:tcW w:w="5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96"/>
              </w:rPr>
              <w:t>2010</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2011</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Restructuring liabilities, beginning of period</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3,209</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4,842</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3,306</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Facilities and related charges</w:t>
            </w: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105</w:t>
            </w: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395</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1,291</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2,741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Equipment and other related charges</w:t>
            </w: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Non-cash adjustment</w:t>
            </w:r>
          </w:p>
        </w:tc>
        <w:tc>
          <w:tcPr>
            <w:tcW w:w="14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(96)</w:t>
            </w: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185</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(491)</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(1,272)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cash payments</w:t>
            </w:r>
          </w:p>
        </w:tc>
        <w:tc>
          <w:tcPr>
            <w:tcW w:w="1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(301)</w:t>
            </w:r>
          </w:p>
        </w:tc>
        <w:tc>
          <w:tcPr>
            <w:tcW w:w="16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(1,650)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(1,189)</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(2,993)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Adjustments to previous assumptions</w:t>
            </w: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(230)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(331)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1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end of period</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2,917</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3,636</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2,917</w:t>
            </w:r>
          </w:p>
        </w:tc>
        <w:tc>
          <w:tcPr>
            <w:tcW w:w="28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3,636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9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80" w:type="dxa"/>
            <w:vAlign w:val="bottom"/>
            <w:gridSpan w:val="5"/>
          </w:tcPr>
          <w:p>
            <w:pPr>
              <w:jc w:val="right"/>
              <w:ind w:right="256"/>
              <w:spacing w:after="0"/>
              <w:rPr>
                <w:sz w:val="20"/>
                <w:szCs w:val="20"/>
                <w:color w:val="auto"/>
              </w:rPr>
            </w:pPr>
            <w:r>
              <w:rPr>
                <w:rFonts w:ascii="Arial" w:cs="Arial" w:eastAsia="Arial" w:hAnsi="Arial"/>
                <w:sz w:val="14"/>
                <w:szCs w:val="14"/>
                <w:b w:val="1"/>
                <w:bCs w:val="1"/>
                <w:color w:val="auto"/>
              </w:rPr>
              <w:t>Three Months Ended</w:t>
            </w:r>
          </w:p>
        </w:tc>
        <w:tc>
          <w:tcPr>
            <w:tcW w:w="5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60" w:type="dxa"/>
            <w:vAlign w:val="bottom"/>
            <w:gridSpan w:val="5"/>
          </w:tcPr>
          <w:p>
            <w:pPr>
              <w:ind w:left="22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6920" w:type="dxa"/>
            <w:vAlign w:val="bottom"/>
          </w:tcPr>
          <w:p>
            <w:pPr>
              <w:spacing w:after="0"/>
              <w:rPr>
                <w:sz w:val="11"/>
                <w:szCs w:val="11"/>
                <w:color w:val="auto"/>
              </w:rPr>
            </w:pPr>
          </w:p>
        </w:tc>
        <w:tc>
          <w:tcPr>
            <w:tcW w:w="1240" w:type="dxa"/>
            <w:vAlign w:val="bottom"/>
            <w:tcBorders>
              <w:top w:val="single" w:sz="8" w:color="auto"/>
            </w:tcBorders>
            <w:gridSpan w:val="4"/>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560" w:type="dxa"/>
            <w:vAlign w:val="bottom"/>
          </w:tcPr>
          <w:p>
            <w:pPr>
              <w:spacing w:after="0"/>
              <w:rPr>
                <w:sz w:val="11"/>
                <w:szCs w:val="11"/>
                <w:color w:val="auto"/>
              </w:rPr>
            </w:pPr>
          </w:p>
        </w:tc>
        <w:tc>
          <w:tcPr>
            <w:tcW w:w="12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30,</w:t>
            </w:r>
          </w:p>
        </w:tc>
        <w:tc>
          <w:tcPr>
            <w:tcW w:w="100" w:type="dxa"/>
            <w:vAlign w:val="bottom"/>
          </w:tcPr>
          <w:p>
            <w:pPr>
              <w:spacing w:after="0"/>
              <w:rPr>
                <w:sz w:val="11"/>
                <w:szCs w:val="11"/>
                <w:color w:val="auto"/>
              </w:rPr>
            </w:pPr>
          </w:p>
        </w:tc>
      </w:tr>
      <w:tr>
        <w:trPr>
          <w:trHeight w:val="161"/>
        </w:trPr>
        <w:tc>
          <w:tcPr>
            <w:tcW w:w="69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2011</w:t>
            </w:r>
          </w:p>
        </w:tc>
        <w:tc>
          <w:tcPr>
            <w:tcW w:w="2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2010</w:t>
            </w:r>
          </w:p>
        </w:tc>
        <w:tc>
          <w:tcPr>
            <w:tcW w:w="5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96"/>
              </w:rPr>
              <w:t>2011</w:t>
            </w:r>
          </w:p>
        </w:tc>
        <w:tc>
          <w:tcPr>
            <w:tcW w:w="5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Borders>
              <w:bottom w:val="single" w:sz="8" w:color="CCEEFF"/>
            </w:tcBorders>
          </w:tcPr>
          <w:p>
            <w:pPr>
              <w:spacing w:after="0"/>
              <w:rPr>
                <w:sz w:val="14"/>
                <w:szCs w:val="14"/>
                <w:color w:val="auto"/>
              </w:rPr>
            </w:pPr>
          </w:p>
        </w:tc>
      </w:tr>
      <w:tr>
        <w:trPr>
          <w:trHeight w:val="210"/>
        </w:trPr>
        <w:tc>
          <w:tcPr>
            <w:tcW w:w="69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w:t>
            </w:r>
          </w:p>
        </w:tc>
        <w:tc>
          <w:tcPr>
            <w:tcW w:w="5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1,686</w:t>
            </w:r>
          </w:p>
        </w:tc>
        <w:tc>
          <w:tcPr>
            <w:tcW w:w="100" w:type="dxa"/>
            <w:vAlign w:val="bottom"/>
            <w:shd w:val="clear" w:color="auto" w:fill="CCEEFF"/>
          </w:tcPr>
          <w:p>
            <w:pPr>
              <w:spacing w:after="0"/>
              <w:rPr>
                <w:sz w:val="18"/>
                <w:szCs w:val="18"/>
                <w:color w:val="auto"/>
              </w:rPr>
            </w:pPr>
          </w:p>
        </w:tc>
      </w:tr>
      <w:tr>
        <w:trPr>
          <w:trHeight w:val="216"/>
        </w:trPr>
        <w:tc>
          <w:tcPr>
            <w:tcW w:w="6920" w:type="dxa"/>
            <w:vAlign w:val="bottom"/>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tcPr>
          <w:p>
            <w:pPr>
              <w:spacing w:after="0"/>
              <w:rPr>
                <w:sz w:val="18"/>
                <w:szCs w:val="18"/>
                <w:color w:val="auto"/>
              </w:rPr>
            </w:pPr>
          </w:p>
        </w:tc>
        <w:tc>
          <w:tcPr>
            <w:tcW w:w="1100" w:type="dxa"/>
            <w:vAlign w:val="bottom"/>
            <w:gridSpan w:val="3"/>
          </w:tcPr>
          <w:p>
            <w:pPr>
              <w:ind w:lef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00" w:type="dxa"/>
            <w:vAlign w:val="bottom"/>
            <w:gridSpan w:val="2"/>
          </w:tcPr>
          <w:p>
            <w:pPr>
              <w:jc w:val="right"/>
              <w:ind w:right="6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20" w:type="dxa"/>
            <w:vAlign w:val="bottom"/>
            <w:gridSpan w:val="2"/>
          </w:tcPr>
          <w:p>
            <w:pPr>
              <w:ind w:left="260"/>
              <w:spacing w:after="0"/>
              <w:rPr>
                <w:sz w:val="20"/>
                <w:szCs w:val="20"/>
                <w:color w:val="auto"/>
              </w:rPr>
            </w:pPr>
            <w:r>
              <w:rPr>
                <w:rFonts w:ascii="Arial" w:cs="Arial" w:eastAsia="Arial" w:hAnsi="Arial"/>
                <w:sz w:val="18"/>
                <w:szCs w:val="18"/>
                <w:color w:val="auto"/>
              </w:rPr>
              <w:t>—</w:t>
            </w:r>
          </w:p>
        </w:tc>
      </w:tr>
      <w:tr>
        <w:trPr>
          <w:trHeight w:val="216"/>
        </w:trPr>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w:t>
            </w:r>
          </w:p>
        </w:tc>
        <w:tc>
          <w:tcPr>
            <w:tcW w:w="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w:t>
            </w:r>
          </w:p>
        </w:tc>
        <w:tc>
          <w:tcPr>
            <w:tcW w:w="5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983</w:t>
            </w: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818</w:t>
            </w:r>
          </w:p>
        </w:tc>
        <w:tc>
          <w:tcPr>
            <w:tcW w:w="100" w:type="dxa"/>
            <w:vAlign w:val="bottom"/>
            <w:shd w:val="clear" w:color="auto" w:fill="CCEEFF"/>
          </w:tcPr>
          <w:p>
            <w:pPr>
              <w:spacing w:after="0"/>
              <w:rPr>
                <w:sz w:val="18"/>
                <w:szCs w:val="18"/>
                <w:color w:val="auto"/>
              </w:rPr>
            </w:pPr>
          </w:p>
        </w:tc>
      </w:tr>
      <w:tr>
        <w:trPr>
          <w:trHeight w:val="20"/>
        </w:trPr>
        <w:tc>
          <w:tcPr>
            <w:tcW w:w="69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69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105</w:t>
            </w:r>
          </w:p>
        </w:tc>
        <w:tc>
          <w:tcPr>
            <w:tcW w:w="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259</w:t>
            </w:r>
          </w:p>
        </w:tc>
        <w:tc>
          <w:tcPr>
            <w:tcW w:w="56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580"/>
              <w:spacing w:after="0"/>
              <w:rPr>
                <w:sz w:val="20"/>
                <w:szCs w:val="20"/>
                <w:color w:val="auto"/>
              </w:rPr>
            </w:pPr>
            <w:r>
              <w:rPr>
                <w:rFonts w:ascii="Arial" w:cs="Arial" w:eastAsia="Arial" w:hAnsi="Arial"/>
                <w:sz w:val="18"/>
                <w:szCs w:val="18"/>
                <w:color w:val="auto"/>
              </w:rPr>
              <w:t>1,291</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2,504</w:t>
            </w:r>
          </w:p>
        </w:tc>
        <w:tc>
          <w:tcPr>
            <w:tcW w:w="100" w:type="dxa"/>
            <w:vAlign w:val="bottom"/>
          </w:tcPr>
          <w:p>
            <w:pPr>
              <w:spacing w:after="0"/>
              <w:rPr>
                <w:sz w:val="19"/>
                <w:szCs w:val="19"/>
                <w:color w:val="auto"/>
              </w:rPr>
            </w:pPr>
          </w:p>
        </w:tc>
      </w:tr>
      <w:tr>
        <w:trPr>
          <w:trHeight w:val="20"/>
        </w:trPr>
        <w:tc>
          <w:tcPr>
            <w:tcW w:w="69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remaining facility lease charges included in the restructuring liabilities will be paid out through fiscal 2018.</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Purchase commitments</w:t>
      </w:r>
    </w:p>
    <w:p>
      <w:pPr>
        <w:spacing w:after="0" w:line="96"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October 29, 2011, these foundries had incurred approximately $293.5 million of manufacturing costs and expenses relating to the Company’s outstanding purchase orders.</w:t>
      </w:r>
    </w:p>
    <w:p>
      <w:pPr>
        <w:spacing w:after="0" w:line="21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Intellectual property indemnification</w:t>
      </w:r>
    </w:p>
    <w:p>
      <w:pPr>
        <w:spacing w:after="0" w:line="9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Contingencies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IPO Securities Litigation</w:t>
      </w:r>
      <w:r>
        <w:rPr>
          <w:rFonts w:ascii="Arial" w:cs="Arial" w:eastAsia="Arial" w:hAnsi="Arial"/>
          <w:sz w:val="16"/>
          <w:szCs w:val="16"/>
          <w:color w:val="auto"/>
        </w:rPr>
        <w:t>. In 2001, two putative class action lawsuits were filed in the United States District Court for the Southern District of New York</w:t>
      </w:r>
      <w:r>
        <w:rPr>
          <w:rFonts w:ascii="Arial" w:cs="Arial" w:eastAsia="Arial" w:hAnsi="Arial"/>
          <w:sz w:val="16"/>
          <w:szCs w:val="16"/>
          <w:i w:val="1"/>
          <w:iCs w:val="1"/>
          <w:color w:val="auto"/>
        </w:rPr>
        <w:t xml:space="preserve"> </w:t>
      </w:r>
      <w:r>
        <w:rPr>
          <w:rFonts w:ascii="Arial" w:cs="Arial" w:eastAsia="Arial" w:hAnsi="Arial"/>
          <w:sz w:val="16"/>
          <w:szCs w:val="16"/>
          <w:color w:val="auto"/>
        </w:rPr>
        <w:t>concerning certain alleged underwriting practices related to the Company’s initial public offering (the “IPO”) on June 29, 2000. The actions were consolidated and a consolidated complaint was filed, naming as defendants certain investment banks that participated in the IPO, the Company, and two of its officers, one of whom is also a director. Plaintiffs claim that defendants violated certain provisions of the Securities Act of 1933, as amended, and the Securities Exchange Act of 1934, as amended (the “Exchange Act”), by allegedly failing to disclose that the underwriters received “excessive” and undisclosed commissions and entered into unlawful “tie-in” agreements with certain of their clients. The consolidated complaint seeks unspecified damages, interest and fees. In addition, this case has been coordinated with hundreds of other lawsuits filed by plaintiffs against underwriters and issuers for approximately 300 other IPOs. Defendants in the coordinated proceedings moved to dismiss the actions. In February 2003, the trial court granted the motions in part and denied them in part, allowing certain claims to proceed.</w:t>
      </w:r>
    </w:p>
    <w:p>
      <w:pPr>
        <w:spacing w:after="0" w:line="12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parties have reached a global settlement of the coordinated litigation. Under the settlement, the insurers will pay the full amount of settlement share allocated to the Company, and the Company will bear no financial liability. The Company and other defendants will receive complete dismissals from the case. In 2009, the district court issued an order of final approval of the settlement. Certain objectors filed appeals, a number of which were dismissed by agreement or by the appellate court. The current matter on appeal is the district court’s August 2011 ruling that the remaining appellate was not a class member with standing to object to the settlement. If for any reason the settlement does not become effective, the Company believes it has meritorious defenses to the claims against it and intends to defend the action vigorously.</w:t>
      </w:r>
    </w:p>
    <w:p>
      <w:pPr>
        <w:spacing w:after="0" w:line="12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Section 16(b) Litigation</w:t>
      </w:r>
      <w:r>
        <w:rPr>
          <w:rFonts w:ascii="Arial" w:cs="Arial" w:eastAsia="Arial" w:hAnsi="Arial"/>
          <w:sz w:val="16"/>
          <w:szCs w:val="16"/>
          <w:color w:val="auto"/>
        </w:rPr>
        <w:t>. 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w:t>
      </w:r>
    </w:p>
    <w:p>
      <w:pPr>
        <w:ind w:right="40"/>
        <w:spacing w:after="0" w:line="287" w:lineRule="auto"/>
        <w:rPr>
          <w:sz w:val="20"/>
          <w:szCs w:val="20"/>
          <w:color w:val="auto"/>
        </w:rPr>
      </w:pPr>
      <w:r>
        <w:rPr>
          <w:rFonts w:ascii="Arial" w:cs="Arial" w:eastAsia="Arial" w:hAnsi="Arial"/>
          <w:sz w:val="16"/>
          <w:szCs w:val="16"/>
          <w:color w:val="auto"/>
        </w:rPr>
        <w:t>No. C07-1632 filed in District Court for the Western District of Washington, seeks the recovery of short swing profits. The Company is named as a nominal defendant only, and no recovery is sought from the Company. In March 2009, the district court granted a motion to dismiss filed by the underwriter defendants, which caused the case against the Company to be dismissed. The plaintiff appealed to the U.S. Court of Appeals for the Ninth Circuit, and in December 2010, the Ninth Circuit reversed the dismissal and remanded to the district court. On January 25, 2011, the Ninth Circuit entered an order staying the mandate pending the filing of petitions for writ of certiorari in the United States Supreme Court by the underwriter defendants. No discovery has taken place. Both sides have filed petitions for writ of certiorari to the United States Supreme Court. The Supreme Court denied plaintiff’s writ, but granted the underwriters’ writ, which argued that the case should have been dismissed on statute of limitations grounds. A decision is expected during the on-going term of the court, which ends in June 2012. If the Supreme Court reverses the Ninth Circuit, the case will be concluded. If the Supreme Court affirms the Ninth Circuit, the case will be remanded to the District Court for further proceedings.</w:t>
      </w:r>
    </w:p>
    <w:p>
      <w:pPr>
        <w:spacing w:after="0" w:line="12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Marvell Semiconductor, Inc. (“MSI”) and three of its officers for allegedly improperly obtaining and using information and technologies during the course of the negotiations with its personnel regarding the potential acquisition of certain Jasmine assets by MSI.</w:t>
      </w:r>
    </w:p>
    <w:p>
      <w:pPr>
        <w:spacing w:after="0" w:line="10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w:t>
      </w:r>
    </w:p>
    <w:p>
      <w:pPr>
        <w:spacing w:after="0" w:line="14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Wage and Hour Class Action</w:t>
      </w:r>
      <w:r>
        <w:rPr>
          <w:rFonts w:ascii="Arial" w:cs="Arial" w:eastAsia="Arial" w:hAnsi="Arial"/>
          <w:sz w:val="16"/>
          <w:szCs w:val="16"/>
          <w:color w:val="auto"/>
        </w:rPr>
        <w:t>. On October 18, 2006, Dan Holton (“Holton”), a former employee of MSI, filed a civil complaint in Santa Clara County</w:t>
      </w:r>
      <w:r>
        <w:rPr>
          <w:rFonts w:ascii="Arial" w:cs="Arial" w:eastAsia="Arial" w:hAnsi="Arial"/>
          <w:sz w:val="16"/>
          <w:szCs w:val="16"/>
          <w:i w:val="1"/>
          <w:iCs w:val="1"/>
          <w:color w:val="auto"/>
        </w:rPr>
        <w:t xml:space="preserve"> </w:t>
      </w:r>
      <w:r>
        <w:rPr>
          <w:rFonts w:ascii="Arial" w:cs="Arial" w:eastAsia="Arial" w:hAnsi="Arial"/>
          <w:sz w:val="16"/>
          <w:szCs w:val="16"/>
          <w:color w:val="auto"/>
        </w:rPr>
        <w:t>Superior Court. Holton alleges that MSI misclassified him as an exempt employee. Holton claims that due to its misclassification MSI owes him unpaid wages for overtime, penalties for missed meal periods, and various other penalties under the California Labor Code, as well as interest. Holton also pursues a cause of action for unfair business practices under the California Business &amp; Profession Code. Holton brought his complaint as a class action. On July 8, 2009, the court granted certification of the following class: “All Individual Contributor Engineers who held the title of PCB Designer, Associate Engineer, Engineer, Staff Engineer and Senior Engineers, who at any time during the class period while holding these positions did not have a degree above a baccalaureate degree nor a degree above a baccalaureate degree in a field of science related to the work performed, and worked for MSI in California, at any time from October 19, 2002 through the present.” MSI disputes all of plaintiff’s class claims. On June 23, 2011, MSI filed a motion for decertification of the class, which was heard by the court on August 25, 2011. On September 6, 2011 the court granted decertification of the plaintiffs’ meal period claims and denied the remainder of MSI’s motion for decertification of the class. On September 19, 2011 the parties attended a mediation and subsequently agreed in principal to settle this matter. On November 23, 2011, the parties executed a settlement agreement and plaintiffs filed their motion for preliminary approval of the settlement. The anticipated settlement amount has been recorded in the Company’s financial statements for the three months ended October 29, 2011 and is not significant to the results of operations for the three and nine months ended October 29, 2011.</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and a ruling was issued on October 1, 2010. On April 29, 2010, MSI and the Company filed their amended answers and counterclaims. The Company and MSI filed a motion for partial summary judgment of invalidity on December 22, 2010, which was denied on September 28, 2011. MSI and the Company filed a second motion for partial summary judgment of invalidity on November 2, 2011. The court has scheduled oral argument on that motion for December 6, 2011. Trial is set for November 26, 2012. MSI and the Company believe that they do not infringe any valid and enforceable claims of the asserted CMU patents and intend to contest this action vigorously.</w:t>
      </w:r>
    </w:p>
    <w:p>
      <w:pPr>
        <w:spacing w:after="0" w:line="12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i w:val="1"/>
          <w:iCs w:val="1"/>
          <w:color w:val="auto"/>
        </w:rPr>
        <w:t>Xpoint Patent Litigation</w:t>
      </w:r>
      <w:r>
        <w:rPr>
          <w:rFonts w:ascii="Arial" w:cs="Arial" w:eastAsia="Arial" w:hAnsi="Arial"/>
          <w:sz w:val="18"/>
          <w:szCs w:val="18"/>
          <w:color w:val="auto"/>
        </w:rPr>
        <w:t>. On August 21, 2009, Xpoint Technologies, Inc. filed a complaint in the United States District of Delaware, which names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MSI and 36 other companies as defendants. The complaint alleged infringement of U.S. Patent No. 5,913,028, which purportedly relates to data traffic delivery. The complaint seeks unspecified damages and an injunction. A first amended complaint was filed on September 18, 2009 and a second amended complaint was filed on August 20, 2010. On October 28, 2009, the Company was dismissed from the lawsuit. On April 20, 2011, MSI was dismissed from the lawsuit.</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Eastern District of Texas, in which USEI has</w:t>
      </w:r>
      <w:r>
        <w:rPr>
          <w:rFonts w:ascii="Arial" w:cs="Arial" w:eastAsia="Arial" w:hAnsi="Arial"/>
          <w:sz w:val="18"/>
          <w:szCs w:val="18"/>
          <w:i w:val="1"/>
          <w:iCs w:val="1"/>
          <w:color w:val="auto"/>
        </w:rPr>
        <w:t xml:space="preserve"> </w:t>
      </w:r>
      <w:r>
        <w:rPr>
          <w:rFonts w:ascii="Arial" w:cs="Arial" w:eastAsia="Arial" w:hAnsi="Arial"/>
          <w:sz w:val="18"/>
          <w:szCs w:val="18"/>
          <w:color w:val="auto"/>
        </w:rPr>
        <w:t>accused a number of system manufacturers, including the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w:t>
      </w:r>
    </w:p>
    <w:p>
      <w:pPr>
        <w:spacing w:after="0" w:line="143"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On May 4, 2010, MSI filed a motion to intervene in the USEI litigation, which was granted on May 19, 2010. On July 13, 2010, the court issued an order granting the Defendants’ motion to transfer the action to the Northern District of California; the case was formally transferred on August 23, 2010. On October 21, 2011, the court conducted a claim construction hearing. The court has not yet set dates for trial. MSI believes that it does not infringe any valid and enforceable claim of the USEI patents in suit, and intends to litigate this action vigorously.</w:t>
      </w:r>
    </w:p>
    <w:p>
      <w:pPr>
        <w:spacing w:after="0" w:line="14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filed a complaint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in the Eastern District of Texas. The complaint names MSI and seven other defendants, and alleges infringement of U.S. Patent Nos. 5,844,738 and 5,978,162 (collectively, the “Lake Cherokee patents in suit”). The Lake Cherokee patents in suit purportedly relate to read-channel integrated circuit devices, and allegedly, to certain unspecified hard disk drive products incorporating such devices. The complaint seeks unspecified damages and a permanent injunction. MSI filed its answer and counterclaims to the complaint on September 13, 2010. Defendants filed a motion to transfer on April 1, 2011. Lake Cherokee filed an amended complaint on April 21, 2011. MSI filed its answer and counterclaims to the amended complaint on May 9, 2011. A Markman hearing is scheduled for May 23, 2012, and trial is set for August 5, 2013. MSI intends to vigorously defend this action.</w:t>
      </w:r>
    </w:p>
    <w:p>
      <w:pPr>
        <w:spacing w:after="0" w:line="11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APT Patent Litigation. </w:t>
      </w:r>
      <w:r>
        <w:rPr>
          <w:rFonts w:ascii="Arial" w:cs="Arial" w:eastAsia="Arial" w:hAnsi="Arial"/>
          <w:sz w:val="16"/>
          <w:szCs w:val="16"/>
          <w:color w:val="auto"/>
        </w:rPr>
        <w:t>On January 18, 2011, Advanced Processor Technologies, LLC, a subsidiary of Acacia Research Corp., filed a complaint in the</w:t>
      </w:r>
      <w:r>
        <w:rPr>
          <w:rFonts w:ascii="Arial" w:cs="Arial" w:eastAsia="Arial" w:hAnsi="Arial"/>
          <w:sz w:val="16"/>
          <w:szCs w:val="16"/>
          <w:i w:val="1"/>
          <w:iCs w:val="1"/>
          <w:color w:val="auto"/>
        </w:rPr>
        <w:t xml:space="preserve"> </w:t>
      </w:r>
      <w:r>
        <w:rPr>
          <w:rFonts w:ascii="Arial" w:cs="Arial" w:eastAsia="Arial" w:hAnsi="Arial"/>
          <w:sz w:val="16"/>
          <w:szCs w:val="16"/>
          <w:color w:val="auto"/>
        </w:rPr>
        <w:t>United States District Court in the Eastern District of Texas. The complaint names MSI and eight other defendants and alleges infringement of U.S. Patent Nos. 6,047,359 (“’359 patent”) and 5,796,978 (“’978 patent”). The asserted patents purportedly relate to microprocessor technologies. The complaint seeks unspecified damages and a permanent injunction. A first amended complaint was filed on January 26, 2011. The first amended complaint continues to assert the ‘359 patent against MSI, but appears to no longer assert the ‘978 patent against MSI. MSI filed its answer and counterclaims on April 15, 2011. MSI intends to vigorously defend this action. A claim construction hearing is scheduled for December 4, 2013, and jury selection is set for July 7, 2014.</w:t>
      </w:r>
    </w:p>
    <w:p>
      <w:pPr>
        <w:spacing w:after="0" w:line="12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i w:val="1"/>
          <w:iCs w:val="1"/>
          <w:color w:val="auto"/>
        </w:rPr>
        <w:t xml:space="preserve">LAMD Patent Litigations. </w:t>
      </w:r>
      <w:r>
        <w:rPr>
          <w:rFonts w:ascii="Arial" w:cs="Arial" w:eastAsia="Arial" w:hAnsi="Arial"/>
          <w:sz w:val="16"/>
          <w:szCs w:val="16"/>
          <w:color w:val="auto"/>
        </w:rPr>
        <w:t>On October 11, 2010, Marvell International Ltd. (“MIL”) filed a complaint against Link-A-Media Devices Corporation</w:t>
      </w:r>
      <w:r>
        <w:rPr>
          <w:rFonts w:ascii="Arial" w:cs="Arial" w:eastAsia="Arial" w:hAnsi="Arial"/>
          <w:sz w:val="16"/>
          <w:szCs w:val="16"/>
          <w:i w:val="1"/>
          <w:iCs w:val="1"/>
          <w:color w:val="auto"/>
        </w:rPr>
        <w:t xml:space="preserve"> </w:t>
      </w:r>
      <w:r>
        <w:rPr>
          <w:rFonts w:ascii="Arial" w:cs="Arial" w:eastAsia="Arial" w:hAnsi="Arial"/>
          <w:sz w:val="16"/>
          <w:szCs w:val="16"/>
          <w:color w:val="auto"/>
        </w:rPr>
        <w:t>(“LAMD”) in the United States District Court for the District of Delaware. The complaint asserts that LAMD infringes its U.S. Patent Nos. 7,328,395, 7,751,138, 7,099,411 and 7,228,485. On June 30, 2011, MIL filed a motion to amend its complaint to add U.S. Patent Nos. 6,903,448 and 7,528,013. The complaint seeks unspecified damages and a permanent injunction. A claim construction hearing is scheduled for October 2012, and trial is set for January 2013.</w:t>
      </w:r>
    </w:p>
    <w:p>
      <w:pPr>
        <w:spacing w:after="0" w:line="11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On February 10, 2011, LAMD filed a complaint against MSI in the United States District Court for the Northern District of California. The complaint asserts that MSI infringes LAMD’s U.S. Patent No. 7,590,927. The complaint seeks unspecified damages and a permanent injunction. MSI filed its answer and counterclaims on May 3, 2011. MSI believes that it does not infringe any valid and enforceable claim of the LAMD patent in suit. A claim construction hearing is scheduled for June 2012, and trial is set for February 2013.</w:t>
      </w:r>
    </w:p>
    <w:p>
      <w:pPr>
        <w:spacing w:after="0" w:line="143"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On November 21, 2011, MIL and MSI obtained a favorable settlement with LAMD relating to the Delaware and California cases, and expect that the cases will be dismissed soon.</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i w:val="1"/>
          <w:iCs w:val="1"/>
          <w:color w:val="auto"/>
        </w:rPr>
        <w:t>MOSAID Litigation</w:t>
      </w:r>
      <w:r>
        <w:rPr>
          <w:rFonts w:ascii="Arial" w:cs="Arial" w:eastAsia="Arial" w:hAnsi="Arial"/>
          <w:sz w:val="18"/>
          <w:szCs w:val="18"/>
          <w:color w:val="auto"/>
        </w:rPr>
        <w:t>. On March 16, 2011, MOSAID Technologies Inc. filed suit in the United States District for the Eastern District of Texas against MSI</w:t>
      </w:r>
      <w:r>
        <w:rPr>
          <w:rFonts w:ascii="Arial" w:cs="Arial" w:eastAsia="Arial" w:hAnsi="Arial"/>
          <w:sz w:val="18"/>
          <w:szCs w:val="18"/>
          <w:i w:val="1"/>
          <w:iCs w:val="1"/>
          <w:color w:val="auto"/>
        </w:rPr>
        <w:t xml:space="preserve"> </w:t>
      </w:r>
      <w:r>
        <w:rPr>
          <w:rFonts w:ascii="Arial" w:cs="Arial" w:eastAsia="Arial" w:hAnsi="Arial"/>
          <w:sz w:val="18"/>
          <w:szCs w:val="18"/>
          <w:color w:val="auto"/>
        </w:rPr>
        <w:t>and 16 other companies. The complaint alleges that defendants’ products, which operate in compliance with the IEEE 802.11a, 802.11b, 802.11g, and 802.11n standards, infringe the six asserted patents (U.S. Patent Nos. 5,131,006; 5,151,920; 5,422,887; 5,706,428; 6,563,768; 6,992,972). MSI filed its answer and counterclaims on June 9, 2011. A claim construction hearing is scheduled for February 18, 2014, and jury selection is set for August 4, 2014. MSI intends to vigorously defend this action.</w:t>
      </w:r>
    </w:p>
    <w:p>
      <w:pPr>
        <w:spacing w:after="0" w:line="143" w:lineRule="exact"/>
        <w:rPr>
          <w:sz w:val="20"/>
          <w:szCs w:val="20"/>
          <w:color w:val="auto"/>
        </w:rPr>
      </w:pPr>
    </w:p>
    <w:p>
      <w:pPr>
        <w:ind w:right="460" w:firstLine="456"/>
        <w:spacing w:after="0" w:line="256" w:lineRule="auto"/>
        <w:rPr>
          <w:sz w:val="20"/>
          <w:szCs w:val="20"/>
          <w:color w:val="auto"/>
        </w:rPr>
      </w:pPr>
      <w:r>
        <w:rPr>
          <w:rFonts w:ascii="Arial" w:cs="Arial" w:eastAsia="Arial" w:hAnsi="Arial"/>
          <w:sz w:val="18"/>
          <w:szCs w:val="18"/>
          <w:i w:val="1"/>
          <w:iCs w:val="1"/>
          <w:color w:val="auto"/>
        </w:rPr>
        <w:t>Azure Networks Litigation</w:t>
      </w:r>
      <w:r>
        <w:rPr>
          <w:rFonts w:ascii="Arial" w:cs="Arial" w:eastAsia="Arial" w:hAnsi="Arial"/>
          <w:sz w:val="18"/>
          <w:szCs w:val="18"/>
          <w:color w:val="auto"/>
        </w:rPr>
        <w:t>. On March 22, 2011, Azure Networks LLC and Tri-County Excelsior Foundation filed suit in the Eastern District of Texas</w:t>
      </w:r>
      <w:r>
        <w:rPr>
          <w:rFonts w:ascii="Arial" w:cs="Arial" w:eastAsia="Arial" w:hAnsi="Arial"/>
          <w:sz w:val="18"/>
          <w:szCs w:val="18"/>
          <w:i w:val="1"/>
          <w:iCs w:val="1"/>
          <w:color w:val="auto"/>
        </w:rPr>
        <w:t xml:space="preserve"> </w:t>
      </w:r>
      <w:r>
        <w:rPr>
          <w:rFonts w:ascii="Arial" w:cs="Arial" w:eastAsia="Arial" w:hAnsi="Arial"/>
          <w:sz w:val="18"/>
          <w:szCs w:val="18"/>
          <w:color w:val="auto"/>
        </w:rPr>
        <w:t>against MSI and eight other companies. The suit alleges that MSI’s Bluetooth products infringe its U.S. Patent No. 7,756,129. MSI filed its answer and counterclaims on July 20, 2011. A claim construction hearing is scheduled for November 29, 2012, and trial is set for November 12, 2013. MSI intends to vigorously defend this action.</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i w:val="1"/>
          <w:iCs w:val="1"/>
          <w:color w:val="auto"/>
        </w:rPr>
        <w:t xml:space="preserve">Power Management Systems Litigation. </w:t>
      </w:r>
      <w:r>
        <w:rPr>
          <w:rFonts w:ascii="Arial" w:cs="Arial" w:eastAsia="Arial" w:hAnsi="Arial"/>
          <w:sz w:val="18"/>
          <w:szCs w:val="18"/>
          <w:color w:val="auto"/>
        </w:rPr>
        <w:t>On August 22, 2011, Power Management Systems LLC, a subsidiary of Acacia Research Corp., filed a complaint</w:t>
      </w:r>
      <w:r>
        <w:rPr>
          <w:rFonts w:ascii="Arial" w:cs="Arial" w:eastAsia="Arial" w:hAnsi="Arial"/>
          <w:sz w:val="18"/>
          <w:szCs w:val="18"/>
          <w:i w:val="1"/>
          <w:iCs w:val="1"/>
          <w:color w:val="auto"/>
        </w:rPr>
        <w:t xml:space="preserve"> </w:t>
      </w:r>
      <w:r>
        <w:rPr>
          <w:rFonts w:ascii="Arial" w:cs="Arial" w:eastAsia="Arial" w:hAnsi="Arial"/>
          <w:sz w:val="18"/>
          <w:szCs w:val="18"/>
          <w:color w:val="auto"/>
        </w:rPr>
        <w:t>against MSI and three other defendants, in the federal district court for the District of Delaware. The complaint asserts U.S. Patent No. 5,504,909, which purportedly relates to a power management apparatus, against various products. The complaint seeks unspecified damages. MSI intends to vigorously defend this action.</w:t>
      </w:r>
    </w:p>
    <w:p>
      <w:pPr>
        <w:spacing w:after="0" w:line="14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HSM/TPL Litigation. </w:t>
      </w:r>
      <w:r>
        <w:rPr>
          <w:rFonts w:ascii="Arial" w:cs="Arial" w:eastAsia="Arial" w:hAnsi="Arial"/>
          <w:sz w:val="18"/>
          <w:szCs w:val="18"/>
          <w:color w:val="auto"/>
        </w:rPr>
        <w:t>On September 1, 2011, HSM Portfolio, LLC and Technology Properties Limited, LLC filed a complaint against the Company and its</w:t>
      </w:r>
      <w:r>
        <w:rPr>
          <w:rFonts w:ascii="Arial" w:cs="Arial" w:eastAsia="Arial" w:hAnsi="Arial"/>
          <w:sz w:val="18"/>
          <w:szCs w:val="18"/>
          <w:i w:val="1"/>
          <w:iCs w:val="1"/>
          <w:color w:val="auto"/>
        </w:rPr>
        <w:t xml:space="preserve"> </w:t>
      </w:r>
      <w:r>
        <w:rPr>
          <w:rFonts w:ascii="Arial" w:cs="Arial" w:eastAsia="Arial" w:hAnsi="Arial"/>
          <w:sz w:val="18"/>
          <w:szCs w:val="18"/>
          <w:color w:val="auto"/>
        </w:rPr>
        <w:t>subsidiary, Marvell Semiconductor, Ltd. (“MSL”), in the federal district court for the District of Delaware. The complaint also named numerous other defendants. The complaint asserts U.S. Patent No. 5,030,853, purportedly relating to high speed logic and memory circuitry, against various products. The complaint seeks unspecified damages. The Company and MSL intend to vigorously defend this action.</w:t>
      </w:r>
    </w:p>
    <w:p>
      <w:pPr>
        <w:spacing w:after="0" w:line="143"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various other legal proceedings and claims arising in the normal course of business. The legal proceedings and</w:t>
      </w:r>
      <w:r>
        <w:rPr>
          <w:rFonts w:ascii="Arial" w:cs="Arial" w:eastAsia="Arial" w:hAnsi="Arial"/>
          <w:sz w:val="16"/>
          <w:szCs w:val="16"/>
          <w:i w:val="1"/>
          <w:iCs w:val="1"/>
          <w:color w:val="auto"/>
        </w:rPr>
        <w:t xml:space="preserve"> </w:t>
      </w:r>
      <w:r>
        <w:rPr>
          <w:rFonts w:ascii="Arial" w:cs="Arial" w:eastAsia="Arial" w:hAnsi="Arial"/>
          <w:sz w:val="16"/>
          <w:szCs w:val="16"/>
          <w:color w:val="auto"/>
        </w:rPr>
        <w:t>claims described above could result in substantial costs and could divert the attention and resources of the Company’s management. Although the legal responsibility and financial impact with respect to each of these proceedings and claims cannot currently be ascertained, an unfavorable outcome in any of such actions could have a material adverse effect on the Company’s cash flows. As to each of the ongoing legal matters mentioned above, the Company is currently unable to estimate a possible loss or range of loss, if any. Litigation is subject to inherent uncertainties and unfavorable rulings could occur. An unfavorable ruling in litigation could require the Company to pay damages or one-time license fees or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 competes lawfully and that its marketing, business and intellectual property benefit is customers and shareholders, and it will continue to conduct a vigorous defense in these proceedings. There can be no assurance that these matters will be resolved in a manner that is not adverse to the Company’s business, financial condition, results of operations or cash flows.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640" w:firstLine="456"/>
        <w:spacing w:after="0" w:line="259" w:lineRule="auto"/>
        <w:rPr>
          <w:sz w:val="20"/>
          <w:szCs w:val="20"/>
          <w:color w:val="auto"/>
        </w:rPr>
      </w:pPr>
      <w:r>
        <w:rPr>
          <w:rFonts w:ascii="Arial" w:cs="Arial" w:eastAsia="Arial" w:hAnsi="Arial"/>
          <w:sz w:val="18"/>
          <w:szCs w:val="18"/>
          <w:color w:val="auto"/>
        </w:rPr>
        <w:t>During the three months ended April 30, 2011, the Company issued 3.1 million stock options with a market price condition for a group of senior employees. The Company believes that such awards better align the interests of those employees with the interests of its shareholders. If the market price condition is not met within five years from the date of grant, the options automatically expire.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Activity under the Company’s stock option plans for the nine months ended October 29, 2011 is summarized below (in thousands, except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2400" w:type="dxa"/>
            <w:vAlign w:val="bottom"/>
            <w:gridSpan w:val="5"/>
          </w:tcPr>
          <w:p>
            <w:pPr>
              <w:ind w:left="400"/>
              <w:spacing w:after="0"/>
              <w:rPr>
                <w:sz w:val="20"/>
                <w:szCs w:val="20"/>
                <w:color w:val="auto"/>
              </w:rPr>
            </w:pPr>
            <w:r>
              <w:rPr>
                <w:rFonts w:ascii="Arial" w:cs="Arial" w:eastAsia="Arial" w:hAnsi="Arial"/>
                <w:sz w:val="14"/>
                <w:szCs w:val="14"/>
                <w:b w:val="1"/>
                <w:bCs w:val="1"/>
                <w:color w:val="auto"/>
              </w:rPr>
              <w:t>Time-Based Options</w:t>
            </w:r>
          </w:p>
        </w:tc>
        <w:tc>
          <w:tcPr>
            <w:tcW w:w="2620" w:type="dxa"/>
            <w:vAlign w:val="bottom"/>
            <w:gridSpan w:val="6"/>
          </w:tcPr>
          <w:p>
            <w:pPr>
              <w:ind w:left="440"/>
              <w:spacing w:after="0"/>
              <w:rPr>
                <w:sz w:val="20"/>
                <w:szCs w:val="20"/>
                <w:color w:val="auto"/>
              </w:rPr>
            </w:pPr>
            <w:r>
              <w:rPr>
                <w:rFonts w:ascii="Arial" w:cs="Arial" w:eastAsia="Arial" w:hAnsi="Arial"/>
                <w:sz w:val="14"/>
                <w:szCs w:val="14"/>
                <w:b w:val="1"/>
                <w:bCs w:val="1"/>
                <w:color w:val="auto"/>
              </w:rPr>
              <w:t>Market-Based Options</w:t>
            </w: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40" w:type="dxa"/>
            <w:vAlign w:val="bottom"/>
            <w:gridSpan w:val="2"/>
          </w:tcPr>
          <w:p>
            <w:pPr>
              <w:ind w:left="60"/>
              <w:spacing w:after="0"/>
              <w:rPr>
                <w:sz w:val="20"/>
                <w:szCs w:val="20"/>
                <w:color w:val="auto"/>
              </w:rPr>
            </w:pPr>
            <w:r>
              <w:rPr>
                <w:rFonts w:ascii="Arial" w:cs="Arial" w:eastAsia="Arial" w:hAnsi="Arial"/>
                <w:sz w:val="14"/>
                <w:szCs w:val="14"/>
                <w:b w:val="1"/>
                <w:bCs w:val="1"/>
                <w:color w:val="auto"/>
              </w:rPr>
              <w:t>Total</w:t>
            </w:r>
          </w:p>
        </w:tc>
        <w:tc>
          <w:tcPr>
            <w:tcW w:w="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4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17"/>
              <w:spacing w:after="0" w:line="129" w:lineRule="exact"/>
              <w:rPr>
                <w:sz w:val="20"/>
                <w:szCs w:val="20"/>
                <w:color w:val="auto"/>
              </w:rPr>
            </w:pPr>
            <w:r>
              <w:rPr>
                <w:rFonts w:ascii="Arial" w:cs="Arial" w:eastAsia="Arial" w:hAnsi="Arial"/>
                <w:sz w:val="14"/>
                <w:szCs w:val="14"/>
                <w:b w:val="1"/>
                <w:bCs w:val="1"/>
                <w:color w:val="auto"/>
                <w:w w:val="85"/>
              </w:rPr>
              <w:t>Weighted</w:t>
            </w:r>
          </w:p>
        </w:tc>
        <w:tc>
          <w:tcPr>
            <w:tcW w:w="42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tcPr>
          <w:p>
            <w:pPr>
              <w:jc w:val="center"/>
              <w:ind w:right="57"/>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40" w:type="dxa"/>
            <w:vAlign w:val="bottom"/>
          </w:tcPr>
          <w:p>
            <w:pPr>
              <w:spacing w:after="0"/>
              <w:rPr>
                <w:sz w:val="12"/>
                <w:szCs w:val="12"/>
                <w:color w:val="auto"/>
              </w:rPr>
            </w:pPr>
          </w:p>
        </w:tc>
        <w:tc>
          <w:tcPr>
            <w:tcW w:w="116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rPr>
              <w:t>Options</w:t>
            </w:r>
          </w:p>
        </w:tc>
        <w:tc>
          <w:tcPr>
            <w:tcW w:w="100" w:type="dxa"/>
            <w:vAlign w:val="bottom"/>
          </w:tcPr>
          <w:p>
            <w:pPr>
              <w:spacing w:after="0"/>
              <w:rPr>
                <w:sz w:val="12"/>
                <w:szCs w:val="12"/>
                <w:color w:val="auto"/>
              </w:rPr>
            </w:pPr>
          </w:p>
        </w:tc>
        <w:tc>
          <w:tcPr>
            <w:tcW w:w="114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Average</w:t>
            </w:r>
          </w:p>
        </w:tc>
        <w:tc>
          <w:tcPr>
            <w:tcW w:w="96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rPr>
              <w:t>Options</w:t>
            </w:r>
          </w:p>
        </w:tc>
        <w:tc>
          <w:tcPr>
            <w:tcW w:w="180" w:type="dxa"/>
            <w:vAlign w:val="bottom"/>
          </w:tcPr>
          <w:p>
            <w:pPr>
              <w:spacing w:after="0"/>
              <w:rPr>
                <w:sz w:val="12"/>
                <w:szCs w:val="12"/>
                <w:color w:val="auto"/>
              </w:rPr>
            </w:pPr>
          </w:p>
        </w:tc>
        <w:tc>
          <w:tcPr>
            <w:tcW w:w="14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Weighted Average</w:t>
            </w: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rPr>
              <w:t>Options</w:t>
            </w:r>
          </w:p>
        </w:tc>
        <w:tc>
          <w:tcPr>
            <w:tcW w:w="280" w:type="dxa"/>
            <w:vAlign w:val="bottom"/>
          </w:tcPr>
          <w:p>
            <w:pPr>
              <w:spacing w:after="0"/>
              <w:rPr>
                <w:sz w:val="12"/>
                <w:szCs w:val="12"/>
                <w:color w:val="auto"/>
              </w:rPr>
            </w:pPr>
          </w:p>
        </w:tc>
        <w:tc>
          <w:tcPr>
            <w:tcW w:w="110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0"/>
              </w:rPr>
              <w:t>Average 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11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Outstanding</w:t>
            </w: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9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4"/>
              </w:rPr>
              <w:t>Outstanding</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ind w:left="20"/>
              <w:spacing w:after="0"/>
              <w:rPr>
                <w:sz w:val="20"/>
                <w:szCs w:val="20"/>
                <w:color w:val="auto"/>
              </w:rPr>
            </w:pPr>
            <w:r>
              <w:rPr>
                <w:rFonts w:ascii="Arial" w:cs="Arial" w:eastAsia="Arial" w:hAnsi="Arial"/>
                <w:sz w:val="14"/>
                <w:szCs w:val="14"/>
                <w:b w:val="1"/>
                <w:bCs w:val="1"/>
                <w:color w:val="auto"/>
              </w:rPr>
              <w:t>Exercise Price</w:t>
            </w:r>
          </w:p>
        </w:tc>
        <w:tc>
          <w:tcPr>
            <w:tcW w:w="86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84"/>
              </w:rPr>
              <w:t>Outstanding</w:t>
            </w: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29, 2011</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56,325</w:t>
            </w: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11.96</w:t>
            </w:r>
          </w:p>
        </w:tc>
        <w:tc>
          <w:tcPr>
            <w:tcW w:w="4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56,325</w:t>
            </w:r>
          </w:p>
        </w:tc>
        <w:tc>
          <w:tcPr>
            <w:tcW w:w="1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3,234</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15.42</w:t>
            </w:r>
          </w:p>
        </w:tc>
        <w:tc>
          <w:tcPr>
            <w:tcW w:w="42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3,149</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15.43</w:t>
            </w:r>
          </w:p>
        </w:tc>
        <w:tc>
          <w:tcPr>
            <w:tcW w:w="4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6,383</w:t>
            </w:r>
          </w:p>
        </w:tc>
        <w:tc>
          <w:tcPr>
            <w:tcW w:w="4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15.42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(1,325)</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14.68</w:t>
            </w:r>
          </w:p>
        </w:tc>
        <w:tc>
          <w:tcPr>
            <w:tcW w:w="4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(25)</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4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(1,350)</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Exercised</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(3,166)</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7.85</w:t>
            </w:r>
          </w:p>
        </w:tc>
        <w:tc>
          <w:tcPr>
            <w:tcW w:w="420" w:type="dxa"/>
            <w:vAlign w:val="bottom"/>
          </w:tcPr>
          <w:p>
            <w:pPr>
              <w:spacing w:after="0"/>
              <w:rPr>
                <w:sz w:val="18"/>
                <w:szCs w:val="18"/>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13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(3,166)</w:t>
            </w:r>
          </w:p>
        </w:tc>
        <w:tc>
          <w:tcPr>
            <w:tcW w:w="4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7.85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960" w:type="dxa"/>
            <w:vAlign w:val="bottom"/>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29, 2011</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55,068</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12.33</w:t>
            </w:r>
          </w:p>
        </w:tc>
        <w:tc>
          <w:tcPr>
            <w:tcW w:w="4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3,124</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4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58,192</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October 29, 2011</w:t>
            </w: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vMerge w:val="restart"/>
          </w:tcPr>
          <w:p>
            <w:pPr>
              <w:spacing w:after="0"/>
              <w:rPr>
                <w:sz w:val="20"/>
                <w:szCs w:val="20"/>
                <w:color w:val="auto"/>
              </w:rPr>
            </w:pPr>
            <w:r>
              <w:rPr>
                <w:rFonts w:ascii="Arial" w:cs="Arial" w:eastAsia="Arial" w:hAnsi="Arial"/>
                <w:sz w:val="18"/>
                <w:szCs w:val="18"/>
                <w:color w:val="auto"/>
                <w:w w:val="79"/>
              </w:rPr>
              <w:t>$</w:t>
            </w: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12.31</w:t>
            </w: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gridSpan w:val="2"/>
            <w:vMerge w:val="restart"/>
          </w:tcPr>
          <w:p>
            <w:pPr>
              <w:ind w:left="180"/>
              <w:spacing w:after="0"/>
              <w:rPr>
                <w:sz w:val="20"/>
                <w:szCs w:val="20"/>
                <w:color w:val="auto"/>
              </w:rPr>
            </w:pPr>
            <w:r>
              <w:rPr>
                <w:rFonts w:ascii="Arial" w:cs="Arial" w:eastAsia="Arial" w:hAnsi="Arial"/>
                <w:sz w:val="18"/>
                <w:szCs w:val="18"/>
                <w:color w:val="auto"/>
                <w:w w:val="79"/>
              </w:rPr>
              <w:t>$</w:t>
            </w:r>
          </w:p>
        </w:tc>
        <w:tc>
          <w:tcPr>
            <w:tcW w:w="960" w:type="dxa"/>
            <w:vAlign w:val="bottom"/>
            <w:vMerge w:val="restart"/>
          </w:tcPr>
          <w:p>
            <w:pPr>
              <w:jc w:val="right"/>
              <w:spacing w:after="0"/>
              <w:rPr>
                <w:sz w:val="20"/>
                <w:szCs w:val="20"/>
                <w:color w:val="auto"/>
              </w:rPr>
            </w:pPr>
            <w:r>
              <w:rPr>
                <w:rFonts w:ascii="Arial" w:cs="Arial" w:eastAsia="Arial" w:hAnsi="Arial"/>
                <w:sz w:val="18"/>
                <w:szCs w:val="18"/>
                <w:color w:val="auto"/>
              </w:rPr>
              <w:t>15.43</w:t>
            </w: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gridSpan w:val="2"/>
            <w:vMerge w:val="restart"/>
          </w:tcPr>
          <w:p>
            <w:pPr>
              <w:ind w:left="280"/>
              <w:spacing w:after="0"/>
              <w:rPr>
                <w:sz w:val="20"/>
                <w:szCs w:val="20"/>
                <w:color w:val="auto"/>
              </w:rPr>
            </w:pPr>
            <w:r>
              <w:rPr>
                <w:rFonts w:ascii="Arial" w:cs="Arial" w:eastAsia="Arial" w:hAnsi="Arial"/>
                <w:sz w:val="18"/>
                <w:szCs w:val="18"/>
                <w:color w:val="auto"/>
              </w:rPr>
              <w:t>$</w:t>
            </w:r>
          </w:p>
        </w:tc>
        <w:tc>
          <w:tcPr>
            <w:tcW w:w="840" w:type="dxa"/>
            <w:vAlign w:val="bottom"/>
            <w:vMerge w:val="restart"/>
          </w:tcPr>
          <w:p>
            <w:pPr>
              <w:jc w:val="right"/>
              <w:spacing w:after="0"/>
              <w:rPr>
                <w:sz w:val="20"/>
                <w:szCs w:val="20"/>
                <w:color w:val="auto"/>
              </w:rPr>
            </w:pPr>
            <w:r>
              <w:rPr>
                <w:rFonts w:ascii="Arial" w:cs="Arial" w:eastAsia="Arial" w:hAnsi="Arial"/>
                <w:sz w:val="18"/>
                <w:szCs w:val="18"/>
                <w:color w:val="auto"/>
              </w:rPr>
              <w:t>12.46</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160" w:type="dxa"/>
            <w:vAlign w:val="bottom"/>
            <w:gridSpan w:val="2"/>
            <w:vMerge w:val="continue"/>
          </w:tcPr>
          <w:p>
            <w:pPr>
              <w:spacing w:after="0"/>
              <w:rPr>
                <w:sz w:val="18"/>
                <w:szCs w:val="18"/>
                <w:color w:val="auto"/>
              </w:rPr>
            </w:pP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54,077</w:t>
            </w:r>
          </w:p>
        </w:tc>
        <w:tc>
          <w:tcPr>
            <w:tcW w:w="100" w:type="dxa"/>
            <w:vAlign w:val="bottom"/>
            <w:vMerge w:val="continue"/>
          </w:tcPr>
          <w:p>
            <w:pPr>
              <w:spacing w:after="0"/>
              <w:rPr>
                <w:sz w:val="18"/>
                <w:szCs w:val="18"/>
                <w:color w:val="auto"/>
              </w:rPr>
            </w:pPr>
          </w:p>
        </w:tc>
        <w:tc>
          <w:tcPr>
            <w:tcW w:w="720" w:type="dxa"/>
            <w:vAlign w:val="bottom"/>
            <w:vMerge w:val="continue"/>
          </w:tcPr>
          <w:p>
            <w:pPr>
              <w:spacing w:after="0"/>
              <w:rPr>
                <w:sz w:val="18"/>
                <w:szCs w:val="18"/>
                <w:color w:val="auto"/>
              </w:rPr>
            </w:pPr>
          </w:p>
        </w:tc>
        <w:tc>
          <w:tcPr>
            <w:tcW w:w="42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2,646</w:t>
            </w:r>
          </w:p>
        </w:tc>
        <w:tc>
          <w:tcPr>
            <w:tcW w:w="280" w:type="dxa"/>
            <w:vAlign w:val="bottom"/>
            <w:gridSpan w:val="2"/>
            <w:vMerge w:val="continue"/>
          </w:tcPr>
          <w:p>
            <w:pPr>
              <w:spacing w:after="0"/>
              <w:rPr>
                <w:sz w:val="18"/>
                <w:szCs w:val="18"/>
                <w:color w:val="auto"/>
              </w:rPr>
            </w:pPr>
          </w:p>
        </w:tc>
        <w:tc>
          <w:tcPr>
            <w:tcW w:w="960" w:type="dxa"/>
            <w:vAlign w:val="bottom"/>
            <w:vMerge w:val="continue"/>
          </w:tcPr>
          <w:p>
            <w:pPr>
              <w:spacing w:after="0"/>
              <w:rPr>
                <w:sz w:val="18"/>
                <w:szCs w:val="18"/>
                <w:color w:val="auto"/>
              </w:rPr>
            </w:pPr>
          </w:p>
        </w:tc>
        <w:tc>
          <w:tcPr>
            <w:tcW w:w="4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56,723</w:t>
            </w:r>
          </w:p>
        </w:tc>
        <w:tc>
          <w:tcPr>
            <w:tcW w:w="440" w:type="dxa"/>
            <w:vAlign w:val="bottom"/>
            <w:gridSpan w:val="2"/>
            <w:vMerge w:val="continue"/>
          </w:tcPr>
          <w:p>
            <w:pPr>
              <w:spacing w:after="0"/>
              <w:rPr>
                <w:sz w:val="18"/>
                <w:szCs w:val="18"/>
                <w:color w:val="auto"/>
              </w:rPr>
            </w:pPr>
          </w:p>
        </w:tc>
        <w:tc>
          <w:tcPr>
            <w:tcW w:w="8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October 29, 2011</w:t>
            </w: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42,054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12.55</w:t>
            </w:r>
          </w:p>
        </w:tc>
        <w:tc>
          <w:tcPr>
            <w:tcW w:w="4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13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42,054</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time-based stock options vested and expected to vest at October 29, 2011 was $190.5 million and 4.7 years, respectively.</w:t>
      </w:r>
    </w:p>
    <w:p>
      <w:pPr>
        <w:spacing w:after="0" w:line="132"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market-based stock options vested and expected to reach the end of the vesting period at October 29, 2011 was $0 and 9.5 years, respectively.</w:t>
      </w:r>
    </w:p>
    <w:p>
      <w:pPr>
        <w:spacing w:after="0" w:line="132"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aggregate intrinsic value is calculated based on the Company’s closing stock price as reported on the NASDAQ Global Select Market for all in-the-money options as of October 28, 2011.</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October 29, 2011, compensation costs related to stock options and restricted stock units not yet recognized amounted to $176.2 million.</w:t>
      </w:r>
    </w:p>
    <w:p>
      <w:pPr>
        <w:spacing w:after="0" w:line="194"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The unamortized compensation expense for time-based and market-based stock options will be amortized on a straight-line basis and is expected to be recognized over a weighted-average period of 1.9 years and 2.2 years, respectively. The unamortized compensation expense for restricted stock units will be amortized on a straight-line basis and is expected to be recognized over a weighted-average period of 1.6 years. Historically, the Company issued new shares to satisfy stock option exercises.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prices):</w:t>
      </w:r>
    </w:p>
    <w:p>
      <w:pPr>
        <w:spacing w:after="0" w:line="21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3280" w:type="dxa"/>
            <w:vAlign w:val="bottom"/>
            <w:gridSpan w:val="3"/>
          </w:tcPr>
          <w:p>
            <w:pPr>
              <w:jc w:val="center"/>
              <w:ind w:left="1319"/>
              <w:spacing w:after="0"/>
              <w:rPr>
                <w:sz w:val="20"/>
                <w:szCs w:val="20"/>
                <w:color w:val="auto"/>
              </w:rPr>
            </w:pPr>
            <w:r>
              <w:rPr>
                <w:rFonts w:ascii="Arial" w:cs="Arial" w:eastAsia="Arial" w:hAnsi="Arial"/>
                <w:sz w:val="14"/>
                <w:szCs w:val="14"/>
                <w:b w:val="1"/>
                <w:bCs w:val="1"/>
                <w:color w:val="auto"/>
                <w:w w:val="86"/>
              </w:rPr>
              <w:t>Restricted Stock</w:t>
            </w:r>
          </w:p>
        </w:tc>
        <w:tc>
          <w:tcPr>
            <w:tcW w:w="1560" w:type="dxa"/>
            <w:vAlign w:val="bottom"/>
            <w:gridSpan w:val="4"/>
          </w:tcPr>
          <w:p>
            <w:pPr>
              <w:ind w:left="400"/>
              <w:spacing w:after="0"/>
              <w:rPr>
                <w:sz w:val="20"/>
                <w:szCs w:val="20"/>
                <w:color w:val="auto"/>
              </w:rPr>
            </w:pPr>
            <w:r>
              <w:rPr>
                <w:rFonts w:ascii="Arial" w:cs="Arial" w:eastAsia="Arial" w:hAnsi="Arial"/>
                <w:sz w:val="14"/>
                <w:szCs w:val="14"/>
                <w:b w:val="1"/>
                <w:bCs w:val="1"/>
                <w:color w:val="auto"/>
                <w:w w:val="93"/>
              </w:rPr>
              <w:t>Weighted Average</w:t>
            </w:r>
          </w:p>
        </w:tc>
      </w:tr>
      <w:tr>
        <w:trPr>
          <w:trHeight w:val="149"/>
        </w:trPr>
        <w:tc>
          <w:tcPr>
            <w:tcW w:w="20" w:type="dxa"/>
            <w:vAlign w:val="bottom"/>
          </w:tcPr>
          <w:p>
            <w:pPr>
              <w:spacing w:after="0"/>
              <w:rPr>
                <w:sz w:val="12"/>
                <w:szCs w:val="12"/>
                <w:color w:val="auto"/>
              </w:rPr>
            </w:pPr>
          </w:p>
        </w:tc>
        <w:tc>
          <w:tcPr>
            <w:tcW w:w="382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42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1"/>
              </w:rPr>
              <w:t>Units</w:t>
            </w: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Grant Date</w:t>
            </w:r>
          </w:p>
        </w:tc>
      </w:tr>
      <w:tr>
        <w:trPr>
          <w:trHeight w:val="161"/>
        </w:trPr>
        <w:tc>
          <w:tcPr>
            <w:tcW w:w="2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42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7"/>
              </w:rPr>
              <w:t>Outstanding</w:t>
            </w: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Fair Value</w:t>
            </w:r>
          </w:p>
        </w:tc>
      </w:tr>
      <w:tr>
        <w:trPr>
          <w:trHeight w:val="210"/>
        </w:trPr>
        <w:tc>
          <w:tcPr>
            <w:tcW w:w="20" w:type="dxa"/>
            <w:vAlign w:val="bottom"/>
          </w:tcPr>
          <w:p>
            <w:pPr>
              <w:spacing w:after="0"/>
              <w:rPr>
                <w:sz w:val="18"/>
                <w:szCs w:val="18"/>
                <w:color w:val="auto"/>
              </w:rPr>
            </w:pPr>
          </w:p>
        </w:tc>
        <w:tc>
          <w:tcPr>
            <w:tcW w:w="38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29, 2011</w:t>
            </w:r>
          </w:p>
        </w:tc>
        <w:tc>
          <w:tcPr>
            <w:tcW w:w="186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5,486</w:t>
            </w:r>
          </w:p>
        </w:tc>
        <w:tc>
          <w:tcPr>
            <w:tcW w:w="46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18.75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tcPr>
          <w:p>
            <w:pPr>
              <w:ind w:left="420"/>
              <w:spacing w:after="0"/>
              <w:rPr>
                <w:sz w:val="20"/>
                <w:szCs w:val="20"/>
                <w:color w:val="auto"/>
              </w:rPr>
            </w:pPr>
            <w:r>
              <w:rPr>
                <w:rFonts w:ascii="Arial" w:cs="Arial" w:eastAsia="Arial" w:hAnsi="Arial"/>
                <w:sz w:val="18"/>
                <w:szCs w:val="18"/>
                <w:color w:val="auto"/>
              </w:rPr>
              <w:t>Granted</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6,477</w:t>
            </w:r>
          </w:p>
        </w:tc>
        <w:tc>
          <w:tcPr>
            <w:tcW w:w="46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15.91</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Released</w:t>
            </w:r>
          </w:p>
        </w:tc>
        <w:tc>
          <w:tcPr>
            <w:tcW w:w="32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(1,320)</w:t>
            </w: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19.62</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8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860" w:type="dxa"/>
            <w:vAlign w:val="bottom"/>
          </w:tcPr>
          <w:p>
            <w:pPr>
              <w:spacing w:after="0"/>
              <w:rPr>
                <w:sz w:val="19"/>
                <w:szCs w:val="19"/>
                <w:color w:val="auto"/>
              </w:rPr>
            </w:pPr>
          </w:p>
        </w:tc>
        <w:tc>
          <w:tcPr>
            <w:tcW w:w="1420" w:type="dxa"/>
            <w:vAlign w:val="bottom"/>
            <w:gridSpan w:val="2"/>
          </w:tcPr>
          <w:p>
            <w:pPr>
              <w:jc w:val="right"/>
              <w:ind w:right="400"/>
              <w:spacing w:after="0"/>
              <w:rPr>
                <w:sz w:val="20"/>
                <w:szCs w:val="20"/>
                <w:color w:val="auto"/>
              </w:rPr>
            </w:pPr>
            <w:r>
              <w:rPr>
                <w:rFonts w:ascii="Arial" w:cs="Arial" w:eastAsia="Arial" w:hAnsi="Arial"/>
                <w:sz w:val="18"/>
                <w:szCs w:val="18"/>
                <w:color w:val="auto"/>
              </w:rPr>
              <w:t>(566)</w:t>
            </w: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16.88</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29, 2011</w:t>
            </w:r>
          </w:p>
        </w:tc>
        <w:tc>
          <w:tcPr>
            <w:tcW w:w="186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10,077</w:t>
            </w:r>
          </w:p>
        </w:tc>
        <w:tc>
          <w:tcPr>
            <w:tcW w:w="4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16.91</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82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2000 Employee Stock Purchase Plan, as amended and restated on October 22, 2009 (the “Purchase Plan”), had 20.7 million common shares reserved for issuance thereunder as of October 29, 2011.</w:t>
      </w:r>
    </w:p>
    <w:p>
      <w:pPr>
        <w:spacing w:after="0" w:line="132"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During the three and nine months ended October 29, 2011, the Company issued none and 2.4 million shares at a weighted-average price of $12.57, respectively, under the Purchase Plan. During the three and nine months ended October 30, 2010, the Company issued none and 5.4 million shares, respectively, at a weighted-average price of $5.17 under the Purchase Plan. As of October 29, 2011, there was $1.7 million of unrecognized compensation cost related to the Purchase Plan.</w:t>
      </w:r>
    </w:p>
    <w:p>
      <w:pPr>
        <w:spacing w:after="0" w:line="143" w:lineRule="exact"/>
        <w:rPr>
          <w:sz w:val="20"/>
          <w:szCs w:val="20"/>
          <w:color w:val="auto"/>
        </w:rPr>
      </w:pPr>
    </w:p>
    <w:p>
      <w:pPr>
        <w:jc w:val="both"/>
        <w:ind w:right="20" w:firstLine="456"/>
        <w:spacing w:after="0" w:line="306" w:lineRule="auto"/>
        <w:rPr>
          <w:sz w:val="20"/>
          <w:szCs w:val="20"/>
          <w:color w:val="auto"/>
        </w:rPr>
      </w:pPr>
      <w:r>
        <w:rPr>
          <w:rFonts w:ascii="Arial" w:cs="Arial" w:eastAsia="Arial" w:hAnsi="Arial"/>
          <w:sz w:val="16"/>
          <w:szCs w:val="16"/>
          <w:color w:val="auto"/>
        </w:rPr>
        <w:t>On October 31, 2011, the Company amended and restated the Purchase Plan (the “Restated Purchase Plan”). Pursuant to the terms of the Restated Purchase Plan, the offering period for the stock purchase was changed from six months to 24 months. This change will be effective for the offering beginning in December 2011 and is applicable for each successive offering period thereafter. Offering and purchase periods will</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continue to begin on December 8 and June 8 of each year. Participants enrolled in the new 24-month offering periods will continue in an offering period until the earlier of the end of the offering period or in the event the offering period is reset. A reset occurs if the fair market value of the Company’s common shares on any purchase date is less than it was on the first day of the offering period. Participants in the new 24-month offering periods will be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Repurchase Program</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August 2010, the Company announced that its board of directors had authorized a stock repurchase program of up to $500 million of the Company’s common shares in open market, privately negotiated or block transactions. In March 2011, the Company announced that its board of directors authorized the Company to repurchase up to an additional $500 million, for a total of $1 billion, of its outstanding common shares. In July 2011, the Company announced that its board of directors authorized the Company to repurchase up to an additional $500 million of its outstanding common shares under its share repurchase program, for a total of $1.5 billion. The repurchase program is subject to market conditions and other factors and does not obligate the Company to repurchase any dollar amount or number of its common shares. The program may be extended, modified, suspended or discontinued at any time.</w:t>
      </w:r>
    </w:p>
    <w:p>
      <w:pPr>
        <w:spacing w:after="0" w:line="120"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The Company repurchased 15 million shares for $215.2 million in cash during the three months ended October 29, 2011 and repurchased 74.3 million shares for $1.2 billion in cash during the nine months ended October 29, 2011. The Company repurchased 3.6 million shares for $60.6 million in cash during the three and nine months ended October 30, 2010. The repurchased shares were retired immediately after the repurchases were completed.</w:t>
      </w:r>
    </w:p>
    <w:p>
      <w:pPr>
        <w:spacing w:after="0" w:line="107"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As of October 29, 2011, the Company had completed share repurchases totaling $1.24 billion under this stock repurchase program, with $258.1 million remaining available for repurchase under the program. Subsequent to the third fiscal quarter and through November 25, 2011, the Company repurchased an additional 8.5 million shares for $119.5 million at an average price per share of $14.10, bringing its total repurchases under the repurchase program to $1.36 billion.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Stock-Based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2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w w:val="96"/>
              </w:rPr>
              <w:t>Three Months Ended</w:t>
            </w:r>
          </w:p>
        </w:tc>
        <w:tc>
          <w:tcPr>
            <w:tcW w:w="140" w:type="dxa"/>
            <w:vAlign w:val="bottom"/>
          </w:tcPr>
          <w:p>
            <w:pPr>
              <w:spacing w:after="0"/>
              <w:rPr>
                <w:sz w:val="14"/>
                <w:szCs w:val="14"/>
                <w:color w:val="auto"/>
              </w:rPr>
            </w:pPr>
          </w:p>
        </w:tc>
        <w:tc>
          <w:tcPr>
            <w:tcW w:w="1720" w:type="dxa"/>
            <w:vAlign w:val="bottom"/>
            <w:gridSpan w:val="5"/>
          </w:tcPr>
          <w:p>
            <w:pPr>
              <w:ind w:left="16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7400" w:type="dxa"/>
            <w:vAlign w:val="bottom"/>
          </w:tcPr>
          <w:p>
            <w:pPr>
              <w:spacing w:after="0"/>
              <w:rPr>
                <w:sz w:val="11"/>
                <w:szCs w:val="11"/>
                <w:color w:val="auto"/>
              </w:rPr>
            </w:pPr>
          </w:p>
        </w:tc>
        <w:tc>
          <w:tcPr>
            <w:tcW w:w="10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October 29,</w:t>
            </w:r>
          </w:p>
        </w:tc>
        <w:tc>
          <w:tcPr>
            <w:tcW w:w="6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October 30,</w:t>
            </w:r>
          </w:p>
        </w:tc>
        <w:tc>
          <w:tcPr>
            <w:tcW w:w="400" w:type="dxa"/>
            <w:vAlign w:val="bottom"/>
          </w:tcPr>
          <w:p>
            <w:pPr>
              <w:spacing w:after="0"/>
              <w:rPr>
                <w:sz w:val="11"/>
                <w:szCs w:val="11"/>
                <w:color w:val="auto"/>
              </w:rPr>
            </w:pPr>
          </w:p>
        </w:tc>
        <w:tc>
          <w:tcPr>
            <w:tcW w:w="6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October 29,</w:t>
            </w:r>
          </w:p>
        </w:tc>
        <w:tc>
          <w:tcPr>
            <w:tcW w:w="4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30,</w:t>
            </w:r>
          </w:p>
        </w:tc>
        <w:tc>
          <w:tcPr>
            <w:tcW w:w="100" w:type="dxa"/>
            <w:vAlign w:val="bottom"/>
          </w:tcPr>
          <w:p>
            <w:pPr>
              <w:spacing w:after="0"/>
              <w:rPr>
                <w:sz w:val="11"/>
                <w:szCs w:val="11"/>
                <w:color w:val="auto"/>
              </w:rPr>
            </w:pPr>
          </w:p>
        </w:tc>
      </w:tr>
      <w:tr>
        <w:trPr>
          <w:trHeight w:val="161"/>
        </w:trPr>
        <w:tc>
          <w:tcPr>
            <w:tcW w:w="7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2011</w:t>
            </w: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2011</w:t>
            </w:r>
          </w:p>
        </w:tc>
        <w:tc>
          <w:tcPr>
            <w:tcW w:w="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Borders>
              <w:bottom w:val="single" w:sz="8" w:color="CCEEFF"/>
            </w:tcBorders>
          </w:tcPr>
          <w:p>
            <w:pPr>
              <w:spacing w:after="0"/>
              <w:rPr>
                <w:sz w:val="14"/>
                <w:szCs w:val="14"/>
                <w:color w:val="auto"/>
              </w:rPr>
            </w:pPr>
          </w:p>
        </w:tc>
      </w:tr>
      <w:tr>
        <w:trPr>
          <w:trHeight w:val="210"/>
        </w:trPr>
        <w:tc>
          <w:tcPr>
            <w:tcW w:w="7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1,940</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1,818</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5,551</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5,746</w:t>
            </w:r>
          </w:p>
        </w:tc>
        <w:tc>
          <w:tcPr>
            <w:tcW w:w="100" w:type="dxa"/>
            <w:vAlign w:val="bottom"/>
            <w:shd w:val="clear" w:color="auto" w:fill="CCEEFF"/>
          </w:tcPr>
          <w:p>
            <w:pPr>
              <w:spacing w:after="0"/>
              <w:rPr>
                <w:sz w:val="18"/>
                <w:szCs w:val="18"/>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18"/>
                <w:szCs w:val="18"/>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21,905</w:t>
            </w:r>
          </w:p>
        </w:tc>
        <w:tc>
          <w:tcPr>
            <w:tcW w:w="140" w:type="dxa"/>
            <w:vAlign w:val="bottom"/>
          </w:tcPr>
          <w:p>
            <w:pPr>
              <w:spacing w:after="0"/>
              <w:rPr>
                <w:sz w:val="18"/>
                <w:szCs w:val="18"/>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19,795</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63,626</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60,735</w:t>
            </w:r>
          </w:p>
        </w:tc>
        <w:tc>
          <w:tcPr>
            <w:tcW w:w="100" w:type="dxa"/>
            <w:vAlign w:val="bottom"/>
          </w:tcPr>
          <w:p>
            <w:pPr>
              <w:spacing w:after="0"/>
              <w:rPr>
                <w:sz w:val="18"/>
                <w:szCs w:val="18"/>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3,402</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3,208</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9,263</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8,778</w:t>
            </w:r>
          </w:p>
        </w:tc>
        <w:tc>
          <w:tcPr>
            <w:tcW w:w="100" w:type="dxa"/>
            <w:vAlign w:val="bottom"/>
            <w:shd w:val="clear" w:color="auto" w:fill="CCEEFF"/>
          </w:tcPr>
          <w:p>
            <w:pPr>
              <w:spacing w:after="0"/>
              <w:rPr>
                <w:sz w:val="18"/>
                <w:szCs w:val="18"/>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Pr>
          <w:p>
            <w:pPr>
              <w:spacing w:after="0"/>
              <w:rPr>
                <w:sz w:val="18"/>
                <w:szCs w:val="18"/>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rPr>
              <w:t>3,364</w:t>
            </w:r>
          </w:p>
        </w:tc>
        <w:tc>
          <w:tcPr>
            <w:tcW w:w="140" w:type="dxa"/>
            <w:vAlign w:val="bottom"/>
          </w:tcPr>
          <w:p>
            <w:pPr>
              <w:spacing w:after="0"/>
              <w:rPr>
                <w:sz w:val="18"/>
                <w:szCs w:val="18"/>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rPr>
              <w:t>4,720</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10,006</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11,867</w:t>
            </w:r>
          </w:p>
        </w:tc>
        <w:tc>
          <w:tcPr>
            <w:tcW w:w="100" w:type="dxa"/>
            <w:vAlign w:val="bottom"/>
          </w:tcPr>
          <w:p>
            <w:pPr>
              <w:spacing w:after="0"/>
              <w:rPr>
                <w:sz w:val="18"/>
                <w:szCs w:val="18"/>
                <w:color w:val="auto"/>
              </w:rPr>
            </w:pPr>
          </w:p>
        </w:tc>
      </w:tr>
      <w:tr>
        <w:trPr>
          <w:trHeight w:val="27"/>
        </w:trPr>
        <w:tc>
          <w:tcPr>
            <w:tcW w:w="7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7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4"/>
              </w:rPr>
              <w:t>30,611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4"/>
              </w:rPr>
              <w:t>29,541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88,446</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87,126</w:t>
            </w:r>
          </w:p>
        </w:tc>
        <w:tc>
          <w:tcPr>
            <w:tcW w:w="100" w:type="dxa"/>
            <w:vAlign w:val="bottom"/>
            <w:shd w:val="clear" w:color="auto" w:fill="CCEEFF"/>
          </w:tcPr>
          <w:p>
            <w:pPr>
              <w:spacing w:after="0"/>
              <w:rPr>
                <w:sz w:val="18"/>
                <w:szCs w:val="18"/>
                <w:color w:val="auto"/>
              </w:rPr>
            </w:pPr>
          </w:p>
        </w:tc>
      </w:tr>
      <w:tr>
        <w:trPr>
          <w:trHeight w:val="20"/>
        </w:trPr>
        <w:tc>
          <w:tcPr>
            <w:tcW w:w="7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Stock-based compensation of $1.5 million was capitalized in inventory as of October 29, 2011 and January 29, 2011.</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jc w:val="both"/>
        <w:ind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equity award on the date of grant using the Black-Scholes option pricing model and of each market-based equity award using a Monte Carlo simulation model:</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Time-based Stock Options</w:t>
      </w:r>
    </w:p>
    <w:p>
      <w:pPr>
        <w:spacing w:after="0" w:line="21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38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0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80" w:type="dxa"/>
            <w:vAlign w:val="bottom"/>
            <w:gridSpan w:val="5"/>
          </w:tcPr>
          <w:p>
            <w:pPr>
              <w:ind w:left="400"/>
              <w:spacing w:after="0"/>
              <w:rPr>
                <w:sz w:val="20"/>
                <w:szCs w:val="20"/>
                <w:color w:val="auto"/>
              </w:rPr>
            </w:pPr>
            <w:r>
              <w:rPr>
                <w:rFonts w:ascii="Arial" w:cs="Arial" w:eastAsia="Arial" w:hAnsi="Arial"/>
                <w:sz w:val="14"/>
                <w:szCs w:val="14"/>
                <w:b w:val="1"/>
                <w:bCs w:val="1"/>
                <w:color w:val="auto"/>
                <w:w w:val="88"/>
              </w:rPr>
              <w:t>Nine Months Ended</w:t>
            </w: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1380" w:type="dxa"/>
            <w:vAlign w:val="bottom"/>
          </w:tcPr>
          <w:p>
            <w:pPr>
              <w:spacing w:after="0"/>
              <w:rPr>
                <w:sz w:val="11"/>
                <w:szCs w:val="11"/>
                <w:color w:val="auto"/>
              </w:rPr>
            </w:pPr>
          </w:p>
        </w:tc>
        <w:tc>
          <w:tcPr>
            <w:tcW w:w="3820" w:type="dxa"/>
            <w:vAlign w:val="bottom"/>
          </w:tcPr>
          <w:p>
            <w:pPr>
              <w:spacing w:after="0"/>
              <w:rPr>
                <w:sz w:val="11"/>
                <w:szCs w:val="11"/>
                <w:color w:val="auto"/>
              </w:rPr>
            </w:pPr>
          </w:p>
        </w:tc>
        <w:tc>
          <w:tcPr>
            <w:tcW w:w="14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4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460" w:type="dxa"/>
            <w:vAlign w:val="bottom"/>
            <w:tcBorders>
              <w:top w:val="single" w:sz="8" w:color="auto"/>
            </w:tcBorders>
            <w:gridSpan w:val="5"/>
          </w:tcPr>
          <w:p>
            <w:pPr>
              <w:jc w:val="center"/>
              <w:ind w:right="800"/>
              <w:spacing w:after="0" w:line="129" w:lineRule="exact"/>
              <w:rPr>
                <w:sz w:val="20"/>
                <w:szCs w:val="20"/>
                <w:color w:val="auto"/>
              </w:rPr>
            </w:pPr>
            <w:r>
              <w:rPr>
                <w:rFonts w:ascii="Arial" w:cs="Arial" w:eastAsia="Arial" w:hAnsi="Arial"/>
                <w:sz w:val="14"/>
                <w:szCs w:val="14"/>
                <w:b w:val="1"/>
                <w:bCs w:val="1"/>
                <w:color w:val="auto"/>
                <w:w w:val="85"/>
              </w:rPr>
              <w:t>October 29,</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200" w:type="dxa"/>
            <w:vAlign w:val="bottom"/>
          </w:tcPr>
          <w:p>
            <w:pPr>
              <w:spacing w:after="0"/>
              <w:rPr>
                <w:sz w:val="11"/>
                <w:szCs w:val="11"/>
                <w:color w:val="auto"/>
              </w:rPr>
            </w:pPr>
          </w:p>
        </w:tc>
      </w:tr>
      <w:tr>
        <w:trPr>
          <w:trHeight w:val="161"/>
        </w:trPr>
        <w:tc>
          <w:tcPr>
            <w:tcW w:w="1380" w:type="dxa"/>
            <w:vAlign w:val="bottom"/>
            <w:tcBorders>
              <w:bottom w:val="single" w:sz="8" w:color="CCEEFF"/>
            </w:tcBorders>
          </w:tcPr>
          <w:p>
            <w:pPr>
              <w:spacing w:after="0"/>
              <w:rPr>
                <w:sz w:val="14"/>
                <w:szCs w:val="14"/>
                <w:color w:val="auto"/>
              </w:rPr>
            </w:pPr>
          </w:p>
        </w:tc>
        <w:tc>
          <w:tcPr>
            <w:tcW w:w="38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w w:val="96"/>
              </w:rPr>
              <w:t>2011</w:t>
            </w:r>
          </w:p>
        </w:tc>
        <w:tc>
          <w:tcPr>
            <w:tcW w:w="8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40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
              <w:spacing w:after="0"/>
              <w:rPr>
                <w:sz w:val="20"/>
                <w:szCs w:val="20"/>
                <w:color w:val="auto"/>
              </w:rPr>
            </w:pPr>
            <w:r>
              <w:rPr>
                <w:rFonts w:ascii="Arial" w:cs="Arial" w:eastAsia="Arial" w:hAnsi="Arial"/>
                <w:sz w:val="14"/>
                <w:szCs w:val="14"/>
                <w:b w:val="1"/>
                <w:bCs w:val="1"/>
                <w:color w:val="auto"/>
                <w:w w:val="83"/>
              </w:rPr>
              <w:t>2011</w:t>
            </w:r>
          </w:p>
        </w:tc>
        <w:tc>
          <w:tcPr>
            <w:tcW w:w="1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83"/>
              </w:rPr>
              <w:t>2010</w:t>
            </w:r>
          </w:p>
        </w:tc>
        <w:tc>
          <w:tcPr>
            <w:tcW w:w="200" w:type="dxa"/>
            <w:vAlign w:val="bottom"/>
            <w:tcBorders>
              <w:bottom w:val="single" w:sz="8" w:color="CCEEFF"/>
            </w:tcBorders>
          </w:tcPr>
          <w:p>
            <w:pPr>
              <w:spacing w:after="0"/>
              <w:rPr>
                <w:sz w:val="14"/>
                <w:szCs w:val="14"/>
                <w:color w:val="auto"/>
              </w:rPr>
            </w:pPr>
          </w:p>
        </w:tc>
      </w:tr>
      <w:tr>
        <w:trPr>
          <w:trHeight w:val="210"/>
        </w:trPr>
        <w:tc>
          <w:tcPr>
            <w:tcW w:w="520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Estimated fair value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w:t>
            </w:r>
          </w:p>
        </w:tc>
        <w:tc>
          <w:tcPr>
            <w:tcW w:w="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7.40</w:t>
            </w:r>
          </w:p>
        </w:tc>
        <w:tc>
          <w:tcPr>
            <w:tcW w:w="4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9.34</w:t>
            </w:r>
          </w:p>
        </w:tc>
        <w:tc>
          <w:tcPr>
            <w:tcW w:w="200" w:type="dxa"/>
            <w:vAlign w:val="bottom"/>
            <w:shd w:val="clear" w:color="auto" w:fill="CCEEFF"/>
          </w:tcPr>
          <w:p>
            <w:pPr>
              <w:spacing w:after="0"/>
              <w:rPr>
                <w:sz w:val="18"/>
                <w:szCs w:val="18"/>
                <w:color w:val="auto"/>
              </w:rPr>
            </w:pPr>
          </w:p>
        </w:tc>
      </w:tr>
      <w:tr>
        <w:trPr>
          <w:trHeight w:val="216"/>
        </w:trPr>
        <w:tc>
          <w:tcPr>
            <w:tcW w:w="5200" w:type="dxa"/>
            <w:vAlign w:val="bottom"/>
            <w:gridSpan w:val="2"/>
          </w:tcPr>
          <w:p>
            <w:pPr>
              <w:spacing w:after="0"/>
              <w:rPr>
                <w:sz w:val="20"/>
                <w:szCs w:val="20"/>
                <w:color w:val="auto"/>
              </w:rPr>
            </w:pPr>
            <w:r>
              <w:rPr>
                <w:rFonts w:ascii="Arial" w:cs="Arial" w:eastAsia="Arial" w:hAnsi="Arial"/>
                <w:sz w:val="18"/>
                <w:szCs w:val="18"/>
                <w:color w:val="auto"/>
              </w:rPr>
              <w:t>Volatility</w:t>
            </w:r>
          </w:p>
        </w:tc>
        <w:tc>
          <w:tcPr>
            <w:tcW w:w="160" w:type="dxa"/>
            <w:vAlign w:val="bottom"/>
          </w:tcPr>
          <w:p>
            <w:pPr>
              <w:spacing w:after="0"/>
              <w:rPr>
                <w:sz w:val="18"/>
                <w:szCs w:val="18"/>
                <w:color w:val="auto"/>
              </w:rPr>
            </w:pPr>
          </w:p>
        </w:tc>
        <w:tc>
          <w:tcPr>
            <w:tcW w:w="1320" w:type="dxa"/>
            <w:vAlign w:val="bottom"/>
            <w:gridSpan w:val="2"/>
          </w:tcPr>
          <w:p>
            <w:pPr>
              <w:jc w:val="right"/>
              <w:ind w:right="660"/>
              <w:spacing w:after="0"/>
              <w:rPr>
                <w:sz w:val="20"/>
                <w:szCs w:val="20"/>
                <w:color w:val="auto"/>
              </w:rPr>
            </w:pPr>
            <w:r>
              <w:rPr>
                <w:rFonts w:ascii="Arial" w:cs="Arial" w:eastAsia="Arial" w:hAnsi="Arial"/>
                <w:sz w:val="18"/>
                <w:szCs w:val="18"/>
                <w:color w:val="auto"/>
              </w:rPr>
              <w:t>49%</w:t>
            </w:r>
          </w:p>
        </w:tc>
        <w:tc>
          <w:tcPr>
            <w:tcW w:w="14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53%</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3"/>
          </w:tcPr>
          <w:p>
            <w:pPr>
              <w:jc w:val="right"/>
              <w:ind w:right="160"/>
              <w:spacing w:after="0"/>
              <w:rPr>
                <w:sz w:val="20"/>
                <w:szCs w:val="20"/>
                <w:color w:val="auto"/>
              </w:rPr>
            </w:pPr>
            <w:r>
              <w:rPr>
                <w:rFonts w:ascii="Arial" w:cs="Arial" w:eastAsia="Arial" w:hAnsi="Arial"/>
                <w:sz w:val="18"/>
                <w:szCs w:val="18"/>
                <w:color w:val="auto"/>
              </w:rPr>
              <w:t>43%</w:t>
            </w: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53%</w:t>
            </w:r>
          </w:p>
        </w:tc>
      </w:tr>
      <w:tr>
        <w:trPr>
          <w:trHeight w:val="216"/>
        </w:trPr>
        <w:tc>
          <w:tcPr>
            <w:tcW w:w="5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4.8</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4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4.8</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200" w:type="dxa"/>
            <w:vAlign w:val="bottom"/>
            <w:shd w:val="clear" w:color="auto" w:fill="CCEEFF"/>
          </w:tcPr>
          <w:p>
            <w:pPr>
              <w:spacing w:after="0"/>
              <w:rPr>
                <w:sz w:val="18"/>
                <w:szCs w:val="18"/>
                <w:color w:val="auto"/>
              </w:rPr>
            </w:pPr>
          </w:p>
        </w:tc>
      </w:tr>
      <w:tr>
        <w:trPr>
          <w:trHeight w:val="216"/>
        </w:trPr>
        <w:tc>
          <w:tcPr>
            <w:tcW w:w="5200" w:type="dxa"/>
            <w:vAlign w:val="bottom"/>
            <w:gridSpan w:val="2"/>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tcPr>
          <w:p>
            <w:pPr>
              <w:spacing w:after="0"/>
              <w:rPr>
                <w:sz w:val="18"/>
                <w:szCs w:val="18"/>
                <w:color w:val="auto"/>
              </w:rPr>
            </w:pPr>
          </w:p>
        </w:tc>
        <w:tc>
          <w:tcPr>
            <w:tcW w:w="1320" w:type="dxa"/>
            <w:vAlign w:val="bottom"/>
            <w:gridSpan w:val="2"/>
          </w:tcPr>
          <w:p>
            <w:pPr>
              <w:jc w:val="right"/>
              <w:ind w:right="660"/>
              <w:spacing w:after="0"/>
              <w:rPr>
                <w:sz w:val="20"/>
                <w:szCs w:val="20"/>
                <w:color w:val="auto"/>
              </w:rPr>
            </w:pPr>
            <w:r>
              <w:rPr>
                <w:rFonts w:ascii="Arial" w:cs="Arial" w:eastAsia="Arial" w:hAnsi="Arial"/>
                <w:sz w:val="18"/>
                <w:szCs w:val="18"/>
                <w:color w:val="auto"/>
              </w:rPr>
              <w:t>1.0%</w:t>
            </w:r>
          </w:p>
        </w:tc>
        <w:tc>
          <w:tcPr>
            <w:tcW w:w="14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1.4%</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3"/>
          </w:tcPr>
          <w:p>
            <w:pPr>
              <w:jc w:val="right"/>
              <w:ind w:right="160"/>
              <w:spacing w:after="0"/>
              <w:rPr>
                <w:sz w:val="20"/>
                <w:szCs w:val="20"/>
                <w:color w:val="auto"/>
              </w:rPr>
            </w:pPr>
            <w:r>
              <w:rPr>
                <w:rFonts w:ascii="Arial" w:cs="Arial" w:eastAsia="Arial" w:hAnsi="Arial"/>
                <w:sz w:val="18"/>
                <w:szCs w:val="18"/>
                <w:color w:val="auto"/>
              </w:rPr>
              <w:t>2.0%</w:t>
            </w: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2.2%</w:t>
            </w:r>
          </w:p>
        </w:tc>
      </w:tr>
      <w:tr>
        <w:trPr>
          <w:trHeight w:val="216"/>
        </w:trPr>
        <w:tc>
          <w:tcPr>
            <w:tcW w:w="5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1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8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380" w:type="dxa"/>
            <w:vAlign w:val="bottom"/>
            <w:gridSpan w:val="4"/>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r>
        <w:trPr>
          <w:trHeight w:val="457"/>
        </w:trPr>
        <w:tc>
          <w:tcPr>
            <w:tcW w:w="5200" w:type="dxa"/>
            <w:vAlign w:val="bottom"/>
            <w:gridSpan w:val="2"/>
          </w:tcPr>
          <w:p>
            <w:pPr>
              <w:spacing w:after="0"/>
              <w:rPr>
                <w:sz w:val="20"/>
                <w:szCs w:val="20"/>
                <w:color w:val="auto"/>
              </w:rPr>
            </w:pPr>
            <w:r>
              <w:rPr>
                <w:rFonts w:ascii="Arial" w:cs="Arial" w:eastAsia="Arial" w:hAnsi="Arial"/>
                <w:sz w:val="18"/>
                <w:szCs w:val="18"/>
                <w:b w:val="1"/>
                <w:bCs w:val="1"/>
                <w:color w:val="auto"/>
              </w:rPr>
              <w:t>Market-based Stock Options</w:t>
            </w: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340"/>
        </w:trPr>
        <w:tc>
          <w:tcPr>
            <w:tcW w:w="1380" w:type="dxa"/>
            <w:vAlign w:val="bottom"/>
          </w:tcPr>
          <w:p>
            <w:pPr>
              <w:spacing w:after="0"/>
              <w:rPr>
                <w:sz w:val="24"/>
                <w:szCs w:val="24"/>
                <w:color w:val="auto"/>
              </w:rPr>
            </w:pPr>
          </w:p>
        </w:tc>
        <w:tc>
          <w:tcPr>
            <w:tcW w:w="38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60" w:type="dxa"/>
            <w:vAlign w:val="bottom"/>
            <w:gridSpan w:val="5"/>
          </w:tcPr>
          <w:p>
            <w:pPr>
              <w:jc w:val="center"/>
              <w:ind w:right="860"/>
              <w:spacing w:after="0"/>
              <w:rPr>
                <w:sz w:val="20"/>
                <w:szCs w:val="20"/>
                <w:color w:val="auto"/>
              </w:rPr>
            </w:pPr>
            <w:r>
              <w:rPr>
                <w:rFonts w:ascii="Arial" w:cs="Arial" w:eastAsia="Arial" w:hAnsi="Arial"/>
                <w:sz w:val="14"/>
                <w:szCs w:val="14"/>
                <w:b w:val="1"/>
                <w:bCs w:val="1"/>
                <w:color w:val="auto"/>
                <w:w w:val="89"/>
              </w:rPr>
              <w:t>Three and</w:t>
            </w: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49"/>
        </w:trPr>
        <w:tc>
          <w:tcPr>
            <w:tcW w:w="1380" w:type="dxa"/>
            <w:vAlign w:val="bottom"/>
          </w:tcPr>
          <w:p>
            <w:pPr>
              <w:spacing w:after="0"/>
              <w:rPr>
                <w:sz w:val="12"/>
                <w:szCs w:val="12"/>
                <w:color w:val="auto"/>
              </w:rPr>
            </w:pPr>
          </w:p>
        </w:tc>
        <w:tc>
          <w:tcPr>
            <w:tcW w:w="38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380" w:type="dxa"/>
            <w:vAlign w:val="bottom"/>
            <w:gridSpan w:val="4"/>
          </w:tcPr>
          <w:p>
            <w:pPr>
              <w:jc w:val="center"/>
              <w:ind w:right="900"/>
              <w:spacing w:after="0" w:line="149" w:lineRule="exact"/>
              <w:rPr>
                <w:sz w:val="20"/>
                <w:szCs w:val="20"/>
                <w:color w:val="auto"/>
              </w:rPr>
            </w:pPr>
            <w:r>
              <w:rPr>
                <w:rFonts w:ascii="Arial" w:cs="Arial" w:eastAsia="Arial" w:hAnsi="Arial"/>
                <w:sz w:val="14"/>
                <w:szCs w:val="14"/>
                <w:b w:val="1"/>
                <w:bCs w:val="1"/>
                <w:color w:val="auto"/>
                <w:w w:val="92"/>
              </w:rPr>
              <w:t>Nine</w:t>
            </w:r>
          </w:p>
        </w:tc>
        <w:tc>
          <w:tcPr>
            <w:tcW w:w="2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r>
      <w:tr>
        <w:trPr>
          <w:trHeight w:val="149"/>
        </w:trPr>
        <w:tc>
          <w:tcPr>
            <w:tcW w:w="1380" w:type="dxa"/>
            <w:vAlign w:val="bottom"/>
          </w:tcPr>
          <w:p>
            <w:pPr>
              <w:spacing w:after="0"/>
              <w:rPr>
                <w:sz w:val="12"/>
                <w:szCs w:val="12"/>
                <w:color w:val="auto"/>
              </w:rPr>
            </w:pPr>
          </w:p>
        </w:tc>
        <w:tc>
          <w:tcPr>
            <w:tcW w:w="38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380" w:type="dxa"/>
            <w:vAlign w:val="bottom"/>
            <w:gridSpan w:val="4"/>
          </w:tcPr>
          <w:p>
            <w:pPr>
              <w:jc w:val="center"/>
              <w:ind w:right="900"/>
              <w:spacing w:after="0" w:line="149" w:lineRule="exact"/>
              <w:rPr>
                <w:sz w:val="20"/>
                <w:szCs w:val="20"/>
                <w:color w:val="auto"/>
              </w:rPr>
            </w:pPr>
            <w:r>
              <w:rPr>
                <w:rFonts w:ascii="Arial" w:cs="Arial" w:eastAsia="Arial" w:hAnsi="Arial"/>
                <w:sz w:val="14"/>
                <w:szCs w:val="14"/>
                <w:b w:val="1"/>
                <w:bCs w:val="1"/>
                <w:color w:val="auto"/>
                <w:w w:val="88"/>
              </w:rPr>
              <w:t>Months</w:t>
            </w:r>
          </w:p>
        </w:tc>
        <w:tc>
          <w:tcPr>
            <w:tcW w:w="2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r>
      <w:tr>
        <w:trPr>
          <w:trHeight w:val="161"/>
        </w:trPr>
        <w:tc>
          <w:tcPr>
            <w:tcW w:w="138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380" w:type="dxa"/>
            <w:vAlign w:val="bottom"/>
            <w:gridSpan w:val="4"/>
          </w:tcPr>
          <w:p>
            <w:pPr>
              <w:jc w:val="center"/>
              <w:ind w:right="920"/>
              <w:spacing w:after="0"/>
              <w:rPr>
                <w:sz w:val="20"/>
                <w:szCs w:val="20"/>
                <w:color w:val="auto"/>
              </w:rPr>
            </w:pPr>
            <w:r>
              <w:rPr>
                <w:rFonts w:ascii="Arial" w:cs="Arial" w:eastAsia="Arial" w:hAnsi="Arial"/>
                <w:sz w:val="14"/>
                <w:szCs w:val="14"/>
                <w:b w:val="1"/>
                <w:bCs w:val="1"/>
                <w:color w:val="auto"/>
                <w:w w:val="88"/>
              </w:rPr>
              <w:t>Ended</w:t>
            </w:r>
          </w:p>
        </w:tc>
        <w:tc>
          <w:tcPr>
            <w:tcW w:w="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1380" w:type="dxa"/>
            <w:vAlign w:val="bottom"/>
          </w:tcPr>
          <w:p>
            <w:pPr>
              <w:spacing w:after="0"/>
              <w:rPr>
                <w:sz w:val="11"/>
                <w:szCs w:val="11"/>
                <w:color w:val="auto"/>
              </w:rPr>
            </w:pPr>
          </w:p>
        </w:tc>
        <w:tc>
          <w:tcPr>
            <w:tcW w:w="38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20" w:type="dxa"/>
            <w:vAlign w:val="bottom"/>
            <w:tcBorders>
              <w:top w:val="single" w:sz="8" w:color="auto"/>
            </w:tcBorders>
            <w:gridSpan w:val="4"/>
          </w:tcPr>
          <w:p>
            <w:pPr>
              <w:jc w:val="center"/>
              <w:spacing w:after="0" w:line="129" w:lineRule="exact"/>
              <w:rPr>
                <w:sz w:val="20"/>
                <w:szCs w:val="20"/>
                <w:color w:val="auto"/>
              </w:rPr>
            </w:pPr>
            <w:r>
              <w:rPr>
                <w:rFonts w:ascii="Arial" w:cs="Arial" w:eastAsia="Arial" w:hAnsi="Arial"/>
                <w:sz w:val="14"/>
                <w:szCs w:val="14"/>
                <w:b w:val="1"/>
                <w:bCs w:val="1"/>
                <w:color w:val="auto"/>
                <w:w w:val="88"/>
              </w:rPr>
              <w:t>October 29,</w:t>
            </w:r>
          </w:p>
        </w:tc>
        <w:tc>
          <w:tcPr>
            <w:tcW w:w="680" w:type="dxa"/>
            <w:vAlign w:val="bottom"/>
            <w:gridSpan w:val="2"/>
          </w:tcPr>
          <w:p>
            <w:pPr>
              <w:spacing w:after="0"/>
              <w:rPr>
                <w:sz w:val="11"/>
                <w:szCs w:val="11"/>
                <w:color w:val="auto"/>
              </w:rPr>
            </w:pPr>
          </w:p>
        </w:tc>
        <w:tc>
          <w:tcPr>
            <w:tcW w:w="2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1380" w:type="dxa"/>
            <w:vAlign w:val="bottom"/>
          </w:tcPr>
          <w:p>
            <w:pPr>
              <w:spacing w:after="0"/>
              <w:rPr>
                <w:sz w:val="14"/>
                <w:szCs w:val="14"/>
                <w:color w:val="auto"/>
              </w:rPr>
            </w:pPr>
          </w:p>
        </w:tc>
        <w:tc>
          <w:tcPr>
            <w:tcW w:w="38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80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41"/>
              <w:spacing w:after="0"/>
              <w:rPr>
                <w:sz w:val="20"/>
                <w:szCs w:val="20"/>
                <w:color w:val="auto"/>
              </w:rPr>
            </w:pPr>
            <w:r>
              <w:rPr>
                <w:rFonts w:ascii="Arial" w:cs="Arial" w:eastAsia="Arial" w:hAnsi="Arial"/>
                <w:sz w:val="14"/>
                <w:szCs w:val="14"/>
                <w:b w:val="1"/>
                <w:bCs w:val="1"/>
                <w:color w:val="auto"/>
                <w:w w:val="83"/>
              </w:rPr>
              <w:t>2011</w:t>
            </w:r>
          </w:p>
        </w:tc>
        <w:tc>
          <w:tcPr>
            <w:tcW w:w="120" w:type="dxa"/>
            <w:vAlign w:val="bottom"/>
            <w:tcBorders>
              <w:bottom w:val="single" w:sz="8" w:color="auto"/>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210"/>
        </w:trPr>
        <w:tc>
          <w:tcPr>
            <w:tcW w:w="1380" w:type="dxa"/>
            <w:vAlign w:val="bottom"/>
          </w:tcPr>
          <w:p>
            <w:pPr>
              <w:spacing w:after="0"/>
              <w:rPr>
                <w:sz w:val="18"/>
                <w:szCs w:val="18"/>
                <w:color w:val="auto"/>
              </w:rPr>
            </w:pPr>
          </w:p>
        </w:tc>
        <w:tc>
          <w:tcPr>
            <w:tcW w:w="38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Estimated fair value</w:t>
            </w: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5.08</w:t>
            </w:r>
          </w:p>
        </w:tc>
        <w:tc>
          <w:tcPr>
            <w:tcW w:w="200" w:type="dxa"/>
            <w:vAlign w:val="bottom"/>
            <w:shd w:val="clear" w:color="auto" w:fill="CCEEFF"/>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1380" w:type="dxa"/>
            <w:vAlign w:val="bottom"/>
          </w:tcPr>
          <w:p>
            <w:pPr>
              <w:spacing w:after="0"/>
              <w:rPr>
                <w:sz w:val="18"/>
                <w:szCs w:val="18"/>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Expected Volatility</w:t>
            </w:r>
          </w:p>
        </w:tc>
        <w:tc>
          <w:tcPr>
            <w:tcW w:w="1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42%</w:t>
            </w: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138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380" w:type="dxa"/>
            <w:vAlign w:val="bottom"/>
            <w:gridSpan w:val="6"/>
            <w:shd w:val="clear" w:color="auto" w:fill="CCEEFF"/>
          </w:tcPr>
          <w:p>
            <w:pPr>
              <w:jc w:val="right"/>
              <w:ind w:right="60"/>
              <w:spacing w:after="0"/>
              <w:rPr>
                <w:sz w:val="20"/>
                <w:szCs w:val="20"/>
                <w:color w:val="auto"/>
              </w:rPr>
            </w:pPr>
            <w:r>
              <w:rPr>
                <w:rFonts w:ascii="Arial" w:cs="Arial" w:eastAsia="Arial" w:hAnsi="Arial"/>
                <w:sz w:val="18"/>
                <w:szCs w:val="18"/>
                <w:color w:val="auto"/>
              </w:rPr>
              <w:t>0.85 - 3.59 %</w:t>
            </w: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1380" w:type="dxa"/>
            <w:vAlign w:val="bottom"/>
          </w:tcPr>
          <w:p>
            <w:pPr>
              <w:spacing w:after="0"/>
              <w:rPr>
                <w:sz w:val="19"/>
                <w:szCs w:val="19"/>
                <w:color w:val="auto"/>
              </w:rPr>
            </w:pPr>
          </w:p>
        </w:tc>
        <w:tc>
          <w:tcPr>
            <w:tcW w:w="3820" w:type="dxa"/>
            <w:vAlign w:val="bottom"/>
          </w:tcPr>
          <w:p>
            <w:pPr>
              <w:spacing w:after="0"/>
              <w:rPr>
                <w:sz w:val="20"/>
                <w:szCs w:val="20"/>
                <w:color w:val="auto"/>
              </w:rPr>
            </w:pPr>
            <w:r>
              <w:rPr>
                <w:rFonts w:ascii="Arial" w:cs="Arial" w:eastAsia="Arial" w:hAnsi="Arial"/>
                <w:sz w:val="18"/>
                <w:szCs w:val="18"/>
                <w:color w:val="auto"/>
              </w:rPr>
              <w:t>Dividend yield</w:t>
            </w:r>
          </w:p>
        </w:tc>
        <w:tc>
          <w:tcPr>
            <w:tcW w:w="1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The fair value of each market-based option award is estimated on the date of grant using a Monte Carlo simulation model that uses the assumptions noted in the above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of options granted of 2.66 years was derived from the output of the valuation model and represents the period of time that options granted are expected to be outstanding.</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Employee Stock Purchase Plan</w:t>
      </w:r>
    </w:p>
    <w:p>
      <w:pPr>
        <w:spacing w:after="0" w:line="213"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50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56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w w:val="97"/>
              </w:rPr>
              <w:t>Three and Nine Months Ended</w:t>
            </w:r>
          </w:p>
        </w:tc>
      </w:tr>
      <w:tr>
        <w:trPr>
          <w:trHeight w:val="129"/>
        </w:trPr>
        <w:tc>
          <w:tcPr>
            <w:tcW w:w="5040" w:type="dxa"/>
            <w:vAlign w:val="bottom"/>
          </w:tcPr>
          <w:p>
            <w:pPr>
              <w:spacing w:after="0"/>
              <w:rPr>
                <w:sz w:val="11"/>
                <w:szCs w:val="11"/>
                <w:color w:val="auto"/>
              </w:rPr>
            </w:pPr>
          </w:p>
        </w:tc>
        <w:tc>
          <w:tcPr>
            <w:tcW w:w="1740" w:type="dxa"/>
            <w:vAlign w:val="bottom"/>
            <w:tcBorders>
              <w:top w:val="single" w:sz="8" w:color="auto"/>
            </w:tcBorders>
            <w:gridSpan w:val="3"/>
          </w:tcPr>
          <w:p>
            <w:pPr>
              <w:jc w:val="right"/>
              <w:ind w:right="1040"/>
              <w:spacing w:after="0" w:line="129" w:lineRule="exact"/>
              <w:rPr>
                <w:sz w:val="20"/>
                <w:szCs w:val="20"/>
                <w:color w:val="auto"/>
              </w:rPr>
            </w:pPr>
            <w:r>
              <w:rPr>
                <w:rFonts w:ascii="Arial" w:cs="Arial" w:eastAsia="Arial" w:hAnsi="Arial"/>
                <w:sz w:val="14"/>
                <w:szCs w:val="14"/>
                <w:b w:val="1"/>
                <w:bCs w:val="1"/>
                <w:color w:val="auto"/>
                <w:w w:val="88"/>
              </w:rPr>
              <w:t>October 29,</w:t>
            </w:r>
          </w:p>
        </w:tc>
        <w:tc>
          <w:tcPr>
            <w:tcW w:w="7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October 30,</w:t>
            </w:r>
          </w:p>
        </w:tc>
        <w:tc>
          <w:tcPr>
            <w:tcW w:w="200" w:type="dxa"/>
            <w:vAlign w:val="bottom"/>
          </w:tcPr>
          <w:p>
            <w:pPr>
              <w:spacing w:after="0"/>
              <w:rPr>
                <w:sz w:val="11"/>
                <w:szCs w:val="11"/>
                <w:color w:val="auto"/>
              </w:rPr>
            </w:pPr>
          </w:p>
        </w:tc>
      </w:tr>
      <w:tr>
        <w:trPr>
          <w:trHeight w:val="161"/>
        </w:trPr>
        <w:tc>
          <w:tcPr>
            <w:tcW w:w="50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78"/>
              <w:spacing w:after="0"/>
              <w:rPr>
                <w:sz w:val="20"/>
                <w:szCs w:val="20"/>
                <w:color w:val="auto"/>
              </w:rPr>
            </w:pPr>
            <w:r>
              <w:rPr>
                <w:rFonts w:ascii="Arial" w:cs="Arial" w:eastAsia="Arial" w:hAnsi="Arial"/>
                <w:sz w:val="14"/>
                <w:szCs w:val="14"/>
                <w:b w:val="1"/>
                <w:bCs w:val="1"/>
                <w:color w:val="auto"/>
              </w:rPr>
              <w:t>2011</w:t>
            </w:r>
          </w:p>
        </w:tc>
        <w:tc>
          <w:tcPr>
            <w:tcW w:w="9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76"/>
              <w:spacing w:after="0"/>
              <w:rPr>
                <w:sz w:val="20"/>
                <w:szCs w:val="20"/>
                <w:color w:val="auto"/>
              </w:rPr>
            </w:pPr>
            <w:r>
              <w:rPr>
                <w:rFonts w:ascii="Arial" w:cs="Arial" w:eastAsia="Arial" w:hAnsi="Arial"/>
                <w:sz w:val="14"/>
                <w:szCs w:val="14"/>
                <w:b w:val="1"/>
                <w:bCs w:val="1"/>
                <w:color w:val="auto"/>
              </w:rPr>
              <w:t>2010</w:t>
            </w:r>
          </w:p>
        </w:tc>
        <w:tc>
          <w:tcPr>
            <w:tcW w:w="200" w:type="dxa"/>
            <w:vAlign w:val="bottom"/>
            <w:tcBorders>
              <w:bottom w:val="single" w:sz="8" w:color="CCEEFF"/>
            </w:tcBorders>
          </w:tcPr>
          <w:p>
            <w:pPr>
              <w:spacing w:after="0"/>
              <w:rPr>
                <w:sz w:val="14"/>
                <w:szCs w:val="14"/>
                <w:color w:val="auto"/>
              </w:rPr>
            </w:pPr>
          </w:p>
        </w:tc>
      </w:tr>
      <w:tr>
        <w:trPr>
          <w:trHeight w:val="210"/>
        </w:trPr>
        <w:tc>
          <w:tcPr>
            <w:tcW w:w="50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Estimated fair value</w:t>
            </w:r>
          </w:p>
        </w:tc>
        <w:tc>
          <w:tcPr>
            <w:tcW w:w="160" w:type="dxa"/>
            <w:vAlign w:val="bottom"/>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4.09</w:t>
            </w:r>
          </w:p>
        </w:tc>
        <w:tc>
          <w:tcPr>
            <w:tcW w:w="98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w:t>
            </w:r>
          </w:p>
        </w:tc>
        <w:tc>
          <w:tcPr>
            <w:tcW w:w="200" w:type="dxa"/>
            <w:vAlign w:val="bottom"/>
            <w:shd w:val="clear" w:color="auto" w:fill="CCEEFF"/>
          </w:tcPr>
          <w:p>
            <w:pPr>
              <w:spacing w:after="0"/>
              <w:rPr>
                <w:sz w:val="18"/>
                <w:szCs w:val="18"/>
                <w:color w:val="auto"/>
              </w:rPr>
            </w:pPr>
          </w:p>
        </w:tc>
      </w:tr>
      <w:tr>
        <w:trPr>
          <w:trHeight w:val="216"/>
        </w:trPr>
        <w:tc>
          <w:tcPr>
            <w:tcW w:w="5040" w:type="dxa"/>
            <w:vAlign w:val="bottom"/>
          </w:tcPr>
          <w:p>
            <w:pPr>
              <w:spacing w:after="0"/>
              <w:rPr>
                <w:sz w:val="20"/>
                <w:szCs w:val="20"/>
                <w:color w:val="auto"/>
              </w:rPr>
            </w:pPr>
            <w:r>
              <w:rPr>
                <w:rFonts w:ascii="Arial" w:cs="Arial" w:eastAsia="Arial" w:hAnsi="Arial"/>
                <w:sz w:val="18"/>
                <w:szCs w:val="18"/>
                <w:color w:val="auto"/>
              </w:rPr>
              <w:t>Volatility</w:t>
            </w:r>
          </w:p>
        </w:tc>
        <w:tc>
          <w:tcPr>
            <w:tcW w:w="160" w:type="dxa"/>
            <w:vAlign w:val="bottom"/>
          </w:tcPr>
          <w:p>
            <w:pPr>
              <w:spacing w:after="0"/>
              <w:rPr>
                <w:sz w:val="18"/>
                <w:szCs w:val="18"/>
                <w:color w:val="auto"/>
              </w:rPr>
            </w:pPr>
          </w:p>
        </w:tc>
        <w:tc>
          <w:tcPr>
            <w:tcW w:w="1580" w:type="dxa"/>
            <w:vAlign w:val="bottom"/>
            <w:gridSpan w:val="2"/>
          </w:tcPr>
          <w:p>
            <w:pPr>
              <w:jc w:val="right"/>
              <w:ind w:right="840"/>
              <w:spacing w:after="0"/>
              <w:rPr>
                <w:sz w:val="20"/>
                <w:szCs w:val="20"/>
                <w:color w:val="auto"/>
              </w:rPr>
            </w:pPr>
            <w:r>
              <w:rPr>
                <w:rFonts w:ascii="Arial" w:cs="Arial" w:eastAsia="Arial" w:hAnsi="Arial"/>
                <w:sz w:val="18"/>
                <w:szCs w:val="18"/>
                <w:color w:val="auto"/>
              </w:rPr>
              <w:t>46%</w:t>
            </w:r>
          </w:p>
        </w:tc>
        <w:tc>
          <w:tcPr>
            <w:tcW w:w="16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53%</w:t>
            </w:r>
          </w:p>
        </w:tc>
      </w:tr>
      <w:tr>
        <w:trPr>
          <w:trHeight w:val="216"/>
        </w:trPr>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00" w:type="dxa"/>
            <w:vAlign w:val="bottom"/>
            <w:shd w:val="clear" w:color="auto" w:fill="CCEEFF"/>
          </w:tcPr>
          <w:p>
            <w:pPr>
              <w:spacing w:after="0"/>
              <w:rPr>
                <w:sz w:val="18"/>
                <w:szCs w:val="18"/>
                <w:color w:val="auto"/>
              </w:rPr>
            </w:pPr>
          </w:p>
        </w:tc>
      </w:tr>
      <w:tr>
        <w:trPr>
          <w:trHeight w:val="216"/>
        </w:trPr>
        <w:tc>
          <w:tcPr>
            <w:tcW w:w="504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tcPr>
          <w:p>
            <w:pPr>
              <w:spacing w:after="0"/>
              <w:rPr>
                <w:sz w:val="18"/>
                <w:szCs w:val="18"/>
                <w:color w:val="auto"/>
              </w:rPr>
            </w:pPr>
          </w:p>
        </w:tc>
        <w:tc>
          <w:tcPr>
            <w:tcW w:w="1580" w:type="dxa"/>
            <w:vAlign w:val="bottom"/>
            <w:gridSpan w:val="2"/>
          </w:tcPr>
          <w:p>
            <w:pPr>
              <w:jc w:val="right"/>
              <w:ind w:right="840"/>
              <w:spacing w:after="0"/>
              <w:rPr>
                <w:sz w:val="20"/>
                <w:szCs w:val="20"/>
                <w:color w:val="auto"/>
              </w:rPr>
            </w:pPr>
            <w:r>
              <w:rPr>
                <w:rFonts w:ascii="Arial" w:cs="Arial" w:eastAsia="Arial" w:hAnsi="Arial"/>
                <w:sz w:val="18"/>
                <w:szCs w:val="18"/>
                <w:color w:val="auto"/>
              </w:rPr>
              <w:t>0.2%</w:t>
            </w:r>
          </w:p>
        </w:tc>
        <w:tc>
          <w:tcPr>
            <w:tcW w:w="16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r>
      <w:tr>
        <w:trPr>
          <w:trHeight w:val="216"/>
        </w:trPr>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16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r>
    </w:tbl>
    <w:p>
      <w:pPr>
        <w:spacing w:after="0" w:line="154"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The expected volatility for awards granted during the three and nine months ended October 29, 2011 is based on an equally weighted combination of historical stock price volatility and implied volatility derived from traded options on the Company’s stock in the marketplace. The expected volatility for awards granted during the three and nine months ended October 30, 2010 is based solely on historical stock price volatility. The calculation of expected volatility for previous periods was also based solely on historical stock price volatility. The Company believes that the combination of historical volatility and implied volatility provides a better estimate of future stock price volatility.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Income Tax</w:t>
      </w:r>
    </w:p>
    <w:p>
      <w:pPr>
        <w:spacing w:after="0" w:line="96" w:lineRule="exact"/>
        <w:rPr>
          <w:sz w:val="20"/>
          <w:szCs w:val="20"/>
          <w:color w:val="auto"/>
        </w:rPr>
      </w:pPr>
    </w:p>
    <w:p>
      <w:pPr>
        <w:jc w:val="both"/>
        <w:ind w:right="180" w:firstLine="456"/>
        <w:spacing w:after="0" w:line="256" w:lineRule="auto"/>
        <w:rPr>
          <w:sz w:val="20"/>
          <w:szCs w:val="20"/>
          <w:color w:val="auto"/>
        </w:rPr>
      </w:pPr>
      <w:r>
        <w:rPr>
          <w:rFonts w:ascii="Arial" w:cs="Arial" w:eastAsia="Arial" w:hAnsi="Arial"/>
          <w:sz w:val="18"/>
          <w:szCs w:val="18"/>
          <w:color w:val="auto"/>
        </w:rPr>
        <w:t>During the three months ended October 29, 2011 and October 30, 2010, the Company’s effective tax rate was an income tax provision of 2.0% and 0.6%, respectively. During the nine months ended October 29, 2011 and October 30, 2010, the Company’s effective tax rate was an income tax provision of 1.7% and 0.4%, respectively. The income tax provision for these periods was affected by non-tax-deductible expenses such as stock-based compensation expense and the amortization of acquired intangibles.</w:t>
      </w:r>
    </w:p>
    <w:p>
      <w:pPr>
        <w:spacing w:after="0" w:line="14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During the three months ended October 29, 2011, the provision for income taxes consisted of the current income tax liability of $6.0 million, and $0.8 million consisting mostly of a tax provision-to-tax return adjustment. These amounts were partially offset by a net reduction of $2.8 million in unrecognized tax benefits. The reduction in unrecognized tax benefits was driven by $4.6 million due to expiration of the statute of limitations in a non-U.S. jurisdiction, offset by new unrecognized tax benefits of $1.8 million due to current year estimates. During the three months ended October 30, 2010, the provision for income taxes was impacted by the current income tax liability of $5.4 million, a reduction of unrecognized tax benefits for $2.0 million due to the expiration of the statute of limitations in a non-U.S. jurisdiction, an increase in unrecognized tax benefits of $1.9 million due to current year estimates, $3.4 million income tax benefit due to release of valuation allowance from the completion of an audit, $1.8 million benefit for a ruling denial related to our supply chain structure and a $1.5 million increase in a U.S. subsidiary due the defeat of a state proposition.</w:t>
      </w:r>
    </w:p>
    <w:p>
      <w:pPr>
        <w:sectPr>
          <w:pgSz w:w="11900" w:h="16838" w:orient="portrait"/>
          <w:cols w:equalWidth="0" w:num="1">
            <w:col w:w="11420"/>
          </w:cols>
          <w:pgMar w:left="240" w:top="459" w:right="239" w:bottom="1440" w:gutter="0" w:footer="0" w:header="0"/>
        </w:sectPr>
      </w:pP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20</w:t>
      </w:r>
    </w:p>
    <w:p>
      <w:pPr>
        <w:sectPr>
          <w:pgSz w:w="11900" w:h="16838" w:orient="portrait"/>
          <w:cols w:equalWidth="0" w:num="1">
            <w:col w:w="11420"/>
          </w:cols>
          <w:pgMar w:left="240" w:top="459" w:right="239" w:bottom="1440" w:gutter="0" w:footer="0" w:header="0"/>
          <w:type w:val="continuous"/>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During the nine months ended October 29, 2011, the provision for income taxes consisted of the current income tax liability of $14.3 million, a reduction of unrecognized tax benefits of $11.5 million due to the expiration of the statute of limitations in multiple jurisdictions, an increase in unrecognized tax benefits of $5.5 million, $0.8 million consisting mostly of a tax provision-to-tax return adjustment and a settlement of a non-U.S. audit for $0.2 million. During the nine months ended October 30, 2010, the provision for income taxes was impacted by the current income tax liability of $12.5 million, a reduction of unrecognized tax benefits of $10.7 million due to the expiration of the statute of limitations in multiple jurisdictions, an increase in unrecognized tax benefits of $5.4 million dollars, a decrease in deferred tax asset of $1.5 million related to employee stock options for a non-U.S. subsidiary, $1.0 million withholding tax on the disposition of an investment, $3.4 million income tax benefit due to release of valuation allowance from the completion of an audit, $1.8 million benefit for a ruling denial related to our supply chain structure and a $1.5 million increase in a U.S. subsidiary due to the defeat of a state proposition.</w:t>
      </w:r>
    </w:p>
    <w:p>
      <w:pPr>
        <w:spacing w:after="0" w:line="118"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potential settlement with tax authorities and the expiration of applicable statutes of limitations. However, the amount cannot be reasonably estimated as the company will have negotiations with various tax authorities throughout the year.</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20"/>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We make a number of forward-looking statements that relate to future periods and include statements relating to our anticipation that the rate of new orders and shipments may vary significantly from quarter to quarter; our expectations regarding industry trends; our expectations regarding the impact of the flooding in Thailand; our expectations regarding our inventory levels; our expectations regarding the amount of our future sales in Asia; our expectations regarding TD handset growth in China; our expectations regarding competition; our expectations relating to the protection of our intellectual property; our expectations regarding the amount of customer concentration in the future; our plans and expectations regarding our auction rate securities; our expectations regarding acquisitions, investments, strategic alliances and joint ventures; our expectations regarding net revenue, cost of goods sold as a percentage of revenue and operating expenses for the fourth quarter ending January 28, 2012 compared with the third quarter ended October 29, 2011; our expectations regarding the impact of legal proceedings and claims; our expectations regarding the adequacy of our capital resources, capital expenditures, investment requirements and commitments to meet our capital needs for the next 12 months; our ability to attract and retain highly skilled personnel; our expectations regarding the growth in business and operations; our plan regarding forward exchange contracts and the effect of foreign exchange rates; our expectations regarding unrecognized tax benefits;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and the impact of seasonality on demand;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and mobile and wireless markets, which are highly cyclical; the impact of the flooding in Thailand; our ability to successfully compete in the markets in which we serve;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lengthy and expensive product sales cycles;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(“SOC”) devices leveraging our extensive technology portfolio of intellectual property in the areas of analog, mixed-signal, digital signal processing and embedded ARM-based microprocessor integrated circuits. We also develop platforms that we define as integrated hardware and software that incorporate digital computing technologies designed and configured to provide an optimized computing solution compared to individual components. Our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1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60"/>
          </w:cols>
          <w:pgMar w:left="240" w:top="459" w:right="29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An increasing number of our products are being incorporated into consumer electronics products, including smartphones, printers, gaming devices and tablets, which are subject to significant seasonality and fluctuations in demand. Due to holiday and back to school buying trends, we expect these seasonal demand patterns generally will negatively impact our results in the first and fourth quarter and positively impact our results in the second and third quarter of our fiscal years.</w:t>
      </w:r>
    </w:p>
    <w:p>
      <w:pPr>
        <w:spacing w:after="0" w:line="143"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A portion of our sales have historically been made on the basis of purchase orders rather than long-term agreements.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98" w:lineRule="exact"/>
        <w:rPr>
          <w:sz w:val="20"/>
          <w:szCs w:val="20"/>
          <w:color w:val="auto"/>
        </w:rPr>
      </w:pPr>
    </w:p>
    <w:p>
      <w:pPr>
        <w:jc w:val="both"/>
        <w:ind w:right="60" w:firstLine="456"/>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2012 and fiscal 2011 are comprised of 52-week periods. In this Quarterly Report on Form 10-Q, we refer to the fiscal year ended January 30, 2010 as fiscal 2010, the fiscal year ended January 29, 2011 as fiscal 2011 and the fiscal year ending January 28, 2012 as fiscal 2012.</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4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29, 2011.</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During the three months ended October 29, 2011, our net revenue grew six percent sequentially, with growth driven by our mobile and wireless end markets, primarily as a result of the continued adoption of the TD mobile standard in China. During our third fiscal quarter, we also recorded our first revenues related to the products designed into customers’ WCDMA handsets targeted at several of the emerging markets around the world. We believe that these two areas represent significant growth opportunities for us. Although our storage business was impacted in our third fiscal quarter and will continue to be impacted for the next several quarters by the floods that occurred throughout parts of Thailand, we feel we are very well positioned in these markets for the long term.</w:t>
      </w:r>
    </w:p>
    <w:p>
      <w:pPr>
        <w:spacing w:after="0" w:line="1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have strong market share of the HDD industry, and have executed well in our SSD development, and therefore we believe we are well positioned regardless of the future industry changes. Fiscal 2012 has been challenging, not only for us, but also for the entire semiconductor industry. Even through these difficult times, we have been extremely focused on developing new products which have led to a significant number of new design wins. We are just starting to see the benefits of the investments we have made. With respect to our cellular product offerings, a year ago, we had just one customer with a few products. Today, we have multiple customers ramping handsets with our products. This in itself is a significant transformation for us in a short timeframe. In storage, we have continued to gain market share over the last 12 months and we believe the impact of the floods in Thailand are likely to accelerate the move to advanced HDD technologies, such as 500G per platter, where we are the clear leader. We also expect to double our SSD revenues in our fourth fiscal quarter as compared to the year ago period. In networking, we have won many additional designs with new products and platforms such as PON and 10G. We expect to deliver more new products like these in existing and new markets in the coming year.</w:t>
      </w:r>
    </w:p>
    <w:p>
      <w:pPr>
        <w:spacing w:after="0" w:line="12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As a sign of our continued confidence in the business, during the three months ended October 29, 2011, we repurchased and retired an additional 15 million common shares under our share repurchase program. Under the program, over the past five quarters, we have repurchased and retired over 79 million shares, or approximately 12%, of our outstanding common shares.</w:t>
      </w:r>
    </w:p>
    <w:p>
      <w:pPr>
        <w:spacing w:after="0" w:line="14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As we look forward to the three months ending January 28, 2012, we will clearly have to deal with the significant impacts of the flooding in Thailand. We also expect to continue to face challenges to our gross margins. First, gold prices have increased dramatically over the past two years, and the surcharges paid to our assembly vendors have risen as a result. While we are in the process of transitioning our designs to copper instead of gold, this will take some time. Secondly, wafer price discounts have been less than normal and have not kept pace with the price discounts we provide to our customers. Thirdly, we are now bringing to market more products at more expensive new process nodes resulting in a temporary impact to gross margins. Finally, we are also expecting an increase in sales of some lower-margin products especially in high-volume end markets, which is lowering our overall gross margin.</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22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w w:val="92"/>
              </w:rPr>
              <w:t>Three Months Ended</w:t>
            </w:r>
          </w:p>
        </w:tc>
        <w:tc>
          <w:tcPr>
            <w:tcW w:w="240" w:type="dxa"/>
            <w:vAlign w:val="bottom"/>
          </w:tcPr>
          <w:p>
            <w:pPr>
              <w:spacing w:after="0"/>
              <w:rPr>
                <w:sz w:val="14"/>
                <w:szCs w:val="14"/>
                <w:color w:val="auto"/>
              </w:rPr>
            </w:pPr>
          </w:p>
        </w:tc>
        <w:tc>
          <w:tcPr>
            <w:tcW w:w="1760" w:type="dxa"/>
            <w:vAlign w:val="bottom"/>
            <w:gridSpan w:val="5"/>
          </w:tcPr>
          <w:p>
            <w:pPr>
              <w:ind w:left="460"/>
              <w:spacing w:after="0"/>
              <w:rPr>
                <w:sz w:val="20"/>
                <w:szCs w:val="20"/>
                <w:color w:val="auto"/>
              </w:rPr>
            </w:pPr>
            <w:r>
              <w:rPr>
                <w:rFonts w:ascii="Arial" w:cs="Arial" w:eastAsia="Arial" w:hAnsi="Arial"/>
                <w:sz w:val="14"/>
                <w:szCs w:val="14"/>
                <w:b w:val="1"/>
                <w:bCs w:val="1"/>
                <w:color w:val="auto"/>
                <w:w w:val="97"/>
              </w:rPr>
              <w:t>Nine Months Ended</w:t>
            </w:r>
          </w:p>
        </w:tc>
        <w:tc>
          <w:tcPr>
            <w:tcW w:w="3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9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20" w:type="dxa"/>
            <w:vAlign w:val="bottom"/>
            <w:tcBorders>
              <w:top w:val="single" w:sz="8" w:color="auto"/>
            </w:tcBorders>
            <w:gridSpan w:val="4"/>
          </w:tcPr>
          <w:p>
            <w:pPr>
              <w:jc w:val="center"/>
              <w:ind w:right="720"/>
              <w:spacing w:after="0" w:line="129" w:lineRule="exact"/>
              <w:rPr>
                <w:sz w:val="20"/>
                <w:szCs w:val="20"/>
                <w:color w:val="auto"/>
              </w:rPr>
            </w:pPr>
            <w:r>
              <w:rPr>
                <w:rFonts w:ascii="Arial" w:cs="Arial" w:eastAsia="Arial" w:hAnsi="Arial"/>
                <w:sz w:val="14"/>
                <w:szCs w:val="14"/>
                <w:b w:val="1"/>
                <w:bCs w:val="1"/>
                <w:color w:val="auto"/>
                <w:w w:val="85"/>
              </w:rPr>
              <w:t>October 29,</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30,</w:t>
            </w:r>
          </w:p>
        </w:tc>
        <w:tc>
          <w:tcPr>
            <w:tcW w:w="5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180"/>
              <w:spacing w:after="0" w:line="129" w:lineRule="exact"/>
              <w:rPr>
                <w:sz w:val="20"/>
                <w:szCs w:val="20"/>
                <w:color w:val="auto"/>
              </w:rPr>
            </w:pPr>
            <w:r>
              <w:rPr>
                <w:rFonts w:ascii="Arial" w:cs="Arial" w:eastAsia="Arial" w:hAnsi="Arial"/>
                <w:sz w:val="14"/>
                <w:szCs w:val="14"/>
                <w:b w:val="1"/>
                <w:bCs w:val="1"/>
                <w:color w:val="auto"/>
                <w:w w:val="85"/>
              </w:rPr>
              <w:t>October 29,</w:t>
            </w:r>
          </w:p>
        </w:tc>
        <w:tc>
          <w:tcPr>
            <w:tcW w:w="5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3"/>
          </w:tcPr>
          <w:p>
            <w:pPr>
              <w:jc w:val="right"/>
              <w:spacing w:after="0" w:line="129" w:lineRule="exact"/>
              <w:rPr>
                <w:sz w:val="20"/>
                <w:szCs w:val="20"/>
                <w:color w:val="auto"/>
              </w:rPr>
            </w:pPr>
            <w:r>
              <w:rPr>
                <w:rFonts w:ascii="Arial" w:cs="Arial" w:eastAsia="Arial" w:hAnsi="Arial"/>
                <w:sz w:val="14"/>
                <w:szCs w:val="14"/>
                <w:b w:val="1"/>
                <w:bCs w:val="1"/>
                <w:color w:val="auto"/>
                <w:w w:val="85"/>
              </w:rPr>
              <w:t>October 30,</w:t>
            </w:r>
          </w:p>
        </w:tc>
        <w:tc>
          <w:tcPr>
            <w:tcW w:w="400" w:type="dxa"/>
            <w:vAlign w:val="bottom"/>
            <w:gridSpan w:val="2"/>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92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gridSpan w:val="2"/>
          </w:tcPr>
          <w:p>
            <w:pPr>
              <w:spacing w:after="0"/>
              <w:rPr>
                <w:sz w:val="14"/>
                <w:szCs w:val="14"/>
                <w:color w:val="auto"/>
              </w:rPr>
            </w:pPr>
          </w:p>
        </w:tc>
        <w:tc>
          <w:tcPr>
            <w:tcW w:w="680" w:type="dxa"/>
            <w:vAlign w:val="bottom"/>
            <w:tcBorders>
              <w:bottom w:val="single" w:sz="8" w:color="auto"/>
            </w:tcBorders>
            <w:gridSpan w:val="2"/>
          </w:tcPr>
          <w:p>
            <w:pPr>
              <w:jc w:val="right"/>
              <w:ind w:right="116"/>
              <w:spacing w:after="0"/>
              <w:rPr>
                <w:sz w:val="20"/>
                <w:szCs w:val="20"/>
                <w:color w:val="auto"/>
              </w:rPr>
            </w:pPr>
            <w:r>
              <w:rPr>
                <w:rFonts w:ascii="Arial" w:cs="Arial" w:eastAsia="Arial" w:hAnsi="Arial"/>
                <w:sz w:val="14"/>
                <w:szCs w:val="14"/>
                <w:b w:val="1"/>
                <w:bCs w:val="1"/>
                <w:color w:val="auto"/>
              </w:rPr>
              <w:t>2011</w:t>
            </w:r>
          </w:p>
        </w:tc>
        <w:tc>
          <w:tcPr>
            <w:tcW w:w="70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66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2010</w:t>
            </w:r>
          </w:p>
        </w:tc>
        <w:tc>
          <w:tcPr>
            <w:tcW w:w="5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48"/>
              <w:spacing w:after="0"/>
              <w:rPr>
                <w:sz w:val="20"/>
                <w:szCs w:val="20"/>
                <w:color w:val="auto"/>
              </w:rPr>
            </w:pPr>
            <w:r>
              <w:rPr>
                <w:rFonts w:ascii="Arial" w:cs="Arial" w:eastAsia="Arial" w:hAnsi="Arial"/>
                <w:sz w:val="14"/>
                <w:szCs w:val="14"/>
                <w:b w:val="1"/>
                <w:bCs w:val="1"/>
                <w:color w:val="auto"/>
              </w:rPr>
              <w:t>2011</w:t>
            </w:r>
          </w:p>
        </w:tc>
        <w:tc>
          <w:tcPr>
            <w:tcW w:w="18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3"/>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200" w:type="dxa"/>
            <w:vAlign w:val="bottom"/>
            <w:tcBorders>
              <w:bottom w:val="single" w:sz="8" w:color="CCEEFF"/>
            </w:tcBorders>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9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38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100.0%</w:t>
            </w:r>
          </w:p>
        </w:tc>
        <w:tc>
          <w:tcPr>
            <w:tcW w:w="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100.0%</w:t>
            </w:r>
          </w:p>
        </w:tc>
        <w:tc>
          <w:tcPr>
            <w:tcW w:w="24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100.0%</w:t>
            </w:r>
          </w:p>
        </w:tc>
        <w:tc>
          <w:tcPr>
            <w:tcW w:w="54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w w:val="85"/>
              </w:rPr>
              <w:t>43.4</w:t>
            </w:r>
          </w:p>
        </w:tc>
        <w:tc>
          <w:tcPr>
            <w:tcW w:w="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40.7</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42.4</w:t>
            </w:r>
          </w:p>
        </w:tc>
        <w:tc>
          <w:tcPr>
            <w:tcW w:w="1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40.6</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2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20" w:type="dxa"/>
            <w:vAlign w:val="bottom"/>
            <w:gridSpan w:val="2"/>
          </w:tcPr>
          <w:p>
            <w:pPr>
              <w:jc w:val="right"/>
              <w:ind w:right="700"/>
              <w:spacing w:after="0"/>
              <w:rPr>
                <w:sz w:val="20"/>
                <w:szCs w:val="20"/>
                <w:color w:val="auto"/>
              </w:rPr>
            </w:pPr>
            <w:r>
              <w:rPr>
                <w:rFonts w:ascii="Arial" w:cs="Arial" w:eastAsia="Arial" w:hAnsi="Arial"/>
                <w:sz w:val="18"/>
                <w:szCs w:val="18"/>
                <w:color w:val="auto"/>
                <w:w w:val="85"/>
              </w:rPr>
              <w:t>28.0</w:t>
            </w:r>
          </w:p>
        </w:tc>
        <w:tc>
          <w:tcPr>
            <w:tcW w:w="40" w:type="dxa"/>
            <w:vAlign w:val="bottom"/>
          </w:tcPr>
          <w:p>
            <w:pPr>
              <w:spacing w:after="0"/>
              <w:rPr>
                <w:sz w:val="18"/>
                <w:szCs w:val="18"/>
                <w:color w:val="auto"/>
              </w:rPr>
            </w:pPr>
          </w:p>
        </w:tc>
        <w:tc>
          <w:tcPr>
            <w:tcW w:w="1160" w:type="dxa"/>
            <w:vAlign w:val="bottom"/>
            <w:gridSpan w:val="2"/>
          </w:tcPr>
          <w:p>
            <w:pPr>
              <w:jc w:val="right"/>
              <w:ind w:right="500"/>
              <w:spacing w:after="0"/>
              <w:rPr>
                <w:sz w:val="20"/>
                <w:szCs w:val="20"/>
                <w:color w:val="auto"/>
              </w:rPr>
            </w:pPr>
            <w:r>
              <w:rPr>
                <w:rFonts w:ascii="Arial" w:cs="Arial" w:eastAsia="Arial" w:hAnsi="Arial"/>
                <w:sz w:val="18"/>
                <w:szCs w:val="18"/>
                <w:color w:val="auto"/>
              </w:rPr>
              <w:t>22.8</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28.6</w:t>
            </w: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85"/>
              </w:rPr>
              <w:t>24.6</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4.3</w:t>
            </w:r>
          </w:p>
        </w:tc>
        <w:tc>
          <w:tcPr>
            <w:tcW w:w="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4.1</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1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2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20" w:type="dxa"/>
            <w:vAlign w:val="bottom"/>
            <w:gridSpan w:val="2"/>
          </w:tcPr>
          <w:p>
            <w:pPr>
              <w:jc w:val="right"/>
              <w:ind w:right="700"/>
              <w:spacing w:after="0"/>
              <w:rPr>
                <w:sz w:val="20"/>
                <w:szCs w:val="20"/>
                <w:color w:val="auto"/>
              </w:rPr>
            </w:pPr>
            <w:r>
              <w:rPr>
                <w:rFonts w:ascii="Arial" w:cs="Arial" w:eastAsia="Arial" w:hAnsi="Arial"/>
                <w:sz w:val="18"/>
                <w:szCs w:val="18"/>
                <w:color w:val="auto"/>
              </w:rPr>
              <w:t>3.0</w:t>
            </w:r>
          </w:p>
        </w:tc>
        <w:tc>
          <w:tcPr>
            <w:tcW w:w="40" w:type="dxa"/>
            <w:vAlign w:val="bottom"/>
          </w:tcPr>
          <w:p>
            <w:pPr>
              <w:spacing w:after="0"/>
              <w:rPr>
                <w:sz w:val="18"/>
                <w:szCs w:val="18"/>
                <w:color w:val="auto"/>
              </w:rPr>
            </w:pPr>
          </w:p>
        </w:tc>
        <w:tc>
          <w:tcPr>
            <w:tcW w:w="1160" w:type="dxa"/>
            <w:vAlign w:val="bottom"/>
            <w:gridSpan w:val="2"/>
          </w:tcPr>
          <w:p>
            <w:pPr>
              <w:jc w:val="right"/>
              <w:ind w:right="500"/>
              <w:spacing w:after="0"/>
              <w:rPr>
                <w:sz w:val="20"/>
                <w:szCs w:val="20"/>
                <w:color w:val="auto"/>
              </w:rPr>
            </w:pPr>
            <w:r>
              <w:rPr>
                <w:rFonts w:ascii="Arial" w:cs="Arial" w:eastAsia="Arial" w:hAnsi="Arial"/>
                <w:sz w:val="18"/>
                <w:szCs w:val="18"/>
                <w:color w:val="auto"/>
              </w:rPr>
              <w:t>3.1</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2.9</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of acquired intangible assets</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1.2</w:t>
            </w:r>
          </w:p>
        </w:tc>
        <w:tc>
          <w:tcPr>
            <w:tcW w:w="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2.3</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1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920" w:type="dxa"/>
            <w:vAlign w:val="bottom"/>
            <w:vMerge w:val="restart"/>
          </w:tcPr>
          <w:p>
            <w:pPr>
              <w:ind w:left="880"/>
              <w:spacing w:after="0"/>
              <w:rPr>
                <w:sz w:val="20"/>
                <w:szCs w:val="20"/>
                <w:color w:val="auto"/>
              </w:rPr>
            </w:pPr>
            <w:r>
              <w:rPr>
                <w:rFonts w:ascii="Arial" w:cs="Arial" w:eastAsia="Arial" w:hAnsi="Arial"/>
                <w:sz w:val="18"/>
                <w:szCs w:val="18"/>
                <w:color w:val="auto"/>
              </w:rPr>
              <w:t>Total operating costs and expenses</w:t>
            </w: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492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20" w:type="dxa"/>
            <w:vAlign w:val="bottom"/>
            <w:gridSpan w:val="2"/>
          </w:tcPr>
          <w:p>
            <w:pPr>
              <w:jc w:val="right"/>
              <w:ind w:right="700"/>
              <w:spacing w:after="0"/>
              <w:rPr>
                <w:sz w:val="20"/>
                <w:szCs w:val="20"/>
                <w:color w:val="auto"/>
              </w:rPr>
            </w:pPr>
            <w:r>
              <w:rPr>
                <w:rFonts w:ascii="Arial" w:cs="Arial" w:eastAsia="Arial" w:hAnsi="Arial"/>
                <w:sz w:val="18"/>
                <w:szCs w:val="18"/>
                <w:color w:val="auto"/>
                <w:w w:val="85"/>
              </w:rPr>
              <w:t>79.9</w:t>
            </w:r>
          </w:p>
        </w:tc>
        <w:tc>
          <w:tcPr>
            <w:tcW w:w="40" w:type="dxa"/>
            <w:vAlign w:val="bottom"/>
          </w:tcPr>
          <w:p>
            <w:pPr>
              <w:spacing w:after="0"/>
              <w:rPr>
                <w:sz w:val="19"/>
                <w:szCs w:val="19"/>
                <w:color w:val="auto"/>
              </w:rPr>
            </w:pPr>
          </w:p>
        </w:tc>
        <w:tc>
          <w:tcPr>
            <w:tcW w:w="1160" w:type="dxa"/>
            <w:vAlign w:val="bottom"/>
            <w:gridSpan w:val="2"/>
          </w:tcPr>
          <w:p>
            <w:pPr>
              <w:jc w:val="right"/>
              <w:ind w:right="500"/>
              <w:spacing w:after="0"/>
              <w:rPr>
                <w:sz w:val="20"/>
                <w:szCs w:val="20"/>
                <w:color w:val="auto"/>
              </w:rPr>
            </w:pPr>
            <w:r>
              <w:rPr>
                <w:rFonts w:ascii="Arial" w:cs="Arial" w:eastAsia="Arial" w:hAnsi="Arial"/>
                <w:sz w:val="18"/>
                <w:szCs w:val="18"/>
                <w:color w:val="auto"/>
              </w:rPr>
              <w:t>73.0</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79.8</w:t>
            </w:r>
          </w:p>
        </w:tc>
        <w:tc>
          <w:tcPr>
            <w:tcW w:w="1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85"/>
              </w:rPr>
              <w:t>74.7</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460" w:type="dxa"/>
            <w:vAlign w:val="bottom"/>
            <w:vMerge w:val="restart"/>
          </w:tcPr>
          <w:p>
            <w:pPr>
              <w:spacing w:after="0"/>
              <w:rPr>
                <w:sz w:val="2"/>
                <w:szCs w:val="2"/>
                <w:color w:val="auto"/>
              </w:rPr>
            </w:pPr>
          </w:p>
        </w:tc>
        <w:tc>
          <w:tcPr>
            <w:tcW w:w="4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54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w w:val="85"/>
              </w:rPr>
              <w:t>20.1</w:t>
            </w:r>
          </w:p>
        </w:tc>
        <w:tc>
          <w:tcPr>
            <w:tcW w:w="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27.0</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20.2</w:t>
            </w:r>
          </w:p>
        </w:tc>
        <w:tc>
          <w:tcPr>
            <w:tcW w:w="1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25.3</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20" w:type="dxa"/>
            <w:vAlign w:val="bottom"/>
            <w:gridSpan w:val="2"/>
          </w:tcPr>
          <w:p>
            <w:pPr>
              <w:jc w:val="right"/>
              <w:ind w:right="700"/>
              <w:spacing w:after="0"/>
              <w:rPr>
                <w:sz w:val="20"/>
                <w:szCs w:val="20"/>
                <w:color w:val="auto"/>
              </w:rPr>
            </w:pPr>
            <w:r>
              <w:rPr>
                <w:rFonts w:ascii="Arial" w:cs="Arial" w:eastAsia="Arial" w:hAnsi="Arial"/>
                <w:sz w:val="18"/>
                <w:szCs w:val="18"/>
                <w:color w:val="auto"/>
              </w:rPr>
              <w:t>0.9</w:t>
            </w:r>
          </w:p>
        </w:tc>
        <w:tc>
          <w:tcPr>
            <w:tcW w:w="40" w:type="dxa"/>
            <w:vAlign w:val="bottom"/>
          </w:tcPr>
          <w:p>
            <w:pPr>
              <w:spacing w:after="0"/>
              <w:rPr>
                <w:sz w:val="18"/>
                <w:szCs w:val="18"/>
                <w:color w:val="auto"/>
              </w:rPr>
            </w:pP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(0.2)</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20" w:type="dxa"/>
            <w:vAlign w:val="bottom"/>
            <w:gridSpan w:val="2"/>
          </w:tcPr>
          <w:p>
            <w:pPr>
              <w:jc w:val="right"/>
              <w:ind w:right="140"/>
              <w:spacing w:after="0"/>
              <w:rPr>
                <w:sz w:val="20"/>
                <w:szCs w:val="20"/>
                <w:color w:val="auto"/>
              </w:rPr>
            </w:pPr>
            <w:r>
              <w:rPr>
                <w:rFonts w:ascii="Arial" w:cs="Arial" w:eastAsia="Arial" w:hAnsi="Arial"/>
                <w:sz w:val="18"/>
                <w:szCs w:val="18"/>
                <w:color w:val="auto"/>
                <w:w w:val="97"/>
              </w:rPr>
              <w:t>(0.0)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4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54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w w:val="85"/>
              </w:rPr>
              <w:t>21.0</w:t>
            </w:r>
          </w:p>
        </w:tc>
        <w:tc>
          <w:tcPr>
            <w:tcW w:w="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26.8</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20.5</w:t>
            </w:r>
          </w:p>
        </w:tc>
        <w:tc>
          <w:tcPr>
            <w:tcW w:w="1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25.3</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9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20" w:type="dxa"/>
            <w:vAlign w:val="bottom"/>
            <w:gridSpan w:val="2"/>
          </w:tcPr>
          <w:p>
            <w:pPr>
              <w:jc w:val="right"/>
              <w:ind w:right="700"/>
              <w:spacing w:after="0"/>
              <w:rPr>
                <w:sz w:val="20"/>
                <w:szCs w:val="20"/>
                <w:color w:val="auto"/>
              </w:rPr>
            </w:pPr>
            <w:r>
              <w:rPr>
                <w:rFonts w:ascii="Arial" w:cs="Arial" w:eastAsia="Arial" w:hAnsi="Arial"/>
                <w:sz w:val="18"/>
                <w:szCs w:val="18"/>
                <w:color w:val="auto"/>
              </w:rPr>
              <w:t>0.5</w:t>
            </w:r>
          </w:p>
        </w:tc>
        <w:tc>
          <w:tcPr>
            <w:tcW w:w="40" w:type="dxa"/>
            <w:vAlign w:val="bottom"/>
          </w:tcPr>
          <w:p>
            <w:pPr>
              <w:spacing w:after="0"/>
              <w:rPr>
                <w:sz w:val="18"/>
                <w:szCs w:val="18"/>
                <w:color w:val="auto"/>
              </w:rPr>
            </w:pPr>
          </w:p>
        </w:tc>
        <w:tc>
          <w:tcPr>
            <w:tcW w:w="1160" w:type="dxa"/>
            <w:vAlign w:val="bottom"/>
            <w:gridSpan w:val="2"/>
          </w:tcPr>
          <w:p>
            <w:pPr>
              <w:jc w:val="right"/>
              <w:ind w:right="500"/>
              <w:spacing w:after="0"/>
              <w:rPr>
                <w:sz w:val="20"/>
                <w:szCs w:val="20"/>
                <w:color w:val="auto"/>
              </w:rPr>
            </w:pPr>
            <w:r>
              <w:rPr>
                <w:rFonts w:ascii="Arial" w:cs="Arial" w:eastAsia="Arial" w:hAnsi="Arial"/>
                <w:sz w:val="18"/>
                <w:szCs w:val="18"/>
                <w:color w:val="auto"/>
              </w:rPr>
              <w:t>0.2</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4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2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54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90"/>
              </w:rPr>
              <w:t>20.5%</w:t>
            </w:r>
          </w:p>
        </w:tc>
        <w:tc>
          <w:tcPr>
            <w:tcW w:w="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26.6%</w:t>
            </w:r>
          </w:p>
        </w:tc>
        <w:tc>
          <w:tcPr>
            <w:tcW w:w="11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20.2%</w:t>
            </w:r>
          </w:p>
        </w:tc>
        <w:tc>
          <w:tcPr>
            <w:tcW w:w="5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25.2%</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b w:val="1"/>
                <w:bCs w:val="1"/>
                <w:color w:val="auto"/>
                <w:w w:val="90"/>
              </w:rPr>
              <w:t>Three and Nine months Ended October 29, 2011 and October 30, 2010</w:t>
            </w: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380" w:type="dxa"/>
            <w:vAlign w:val="bottom"/>
            <w:gridSpan w:val="2"/>
            <w:vMerge w:val="continue"/>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380" w:type="dxa"/>
            <w:vAlign w:val="bottom"/>
            <w:gridSpan w:val="2"/>
          </w:tcPr>
          <w:p>
            <w:pPr>
              <w:ind w:left="240"/>
              <w:spacing w:after="0"/>
              <w:rPr>
                <w:sz w:val="20"/>
                <w:szCs w:val="20"/>
                <w:color w:val="auto"/>
              </w:rPr>
            </w:pPr>
            <w:r>
              <w:rPr>
                <w:rFonts w:ascii="Arial" w:cs="Arial" w:eastAsia="Arial" w:hAnsi="Arial"/>
                <w:sz w:val="18"/>
                <w:szCs w:val="18"/>
                <w:i w:val="1"/>
                <w:iCs w:val="1"/>
                <w:color w:val="auto"/>
              </w:rPr>
              <w:t>Net Revenue</w:t>
            </w: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49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80" w:type="dxa"/>
            <w:vAlign w:val="bottom"/>
            <w:gridSpan w:val="5"/>
          </w:tcPr>
          <w:p>
            <w:pPr>
              <w:ind w:left="260"/>
              <w:spacing w:after="0"/>
              <w:rPr>
                <w:sz w:val="20"/>
                <w:szCs w:val="20"/>
                <w:color w:val="auto"/>
              </w:rPr>
            </w:pPr>
            <w:r>
              <w:rPr>
                <w:rFonts w:ascii="Arial" w:cs="Arial" w:eastAsia="Arial" w:hAnsi="Arial"/>
                <w:sz w:val="14"/>
                <w:szCs w:val="14"/>
                <w:b w:val="1"/>
                <w:bCs w:val="1"/>
                <w:color w:val="auto"/>
              </w:rPr>
              <w:t>Three Months Ended</w:t>
            </w:r>
          </w:p>
        </w:tc>
        <w:tc>
          <w:tcPr>
            <w:tcW w:w="660" w:type="dxa"/>
            <w:vAlign w:val="bottom"/>
            <w:vMerge w:val="restart"/>
          </w:tcPr>
          <w:p>
            <w:pPr>
              <w:jc w:val="right"/>
              <w:ind w:right="38"/>
              <w:spacing w:after="0"/>
              <w:rPr>
                <w:sz w:val="20"/>
                <w:szCs w:val="20"/>
                <w:color w:val="auto"/>
              </w:rPr>
            </w:pPr>
            <w:r>
              <w:rPr>
                <w:rFonts w:ascii="Arial" w:cs="Arial" w:eastAsia="Arial" w:hAnsi="Arial"/>
                <w:sz w:val="14"/>
                <w:szCs w:val="14"/>
                <w:b w:val="1"/>
                <w:bCs w:val="1"/>
                <w:color w:val="auto"/>
              </w:rPr>
              <w:t>%</w:t>
            </w: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760" w:type="dxa"/>
            <w:vAlign w:val="bottom"/>
            <w:gridSpan w:val="5"/>
          </w:tcPr>
          <w:p>
            <w:pPr>
              <w:ind w:left="180"/>
              <w:spacing w:after="0"/>
              <w:rPr>
                <w:sz w:val="20"/>
                <w:szCs w:val="20"/>
                <w:color w:val="auto"/>
              </w:rPr>
            </w:pPr>
            <w:r>
              <w:rPr>
                <w:rFonts w:ascii="Arial" w:cs="Arial" w:eastAsia="Arial" w:hAnsi="Arial"/>
                <w:sz w:val="14"/>
                <w:szCs w:val="14"/>
                <w:b w:val="1"/>
                <w:bCs w:val="1"/>
                <w:color w:val="auto"/>
              </w:rPr>
              <w:t>Nine Months Ended</w:t>
            </w:r>
          </w:p>
        </w:tc>
        <w:tc>
          <w:tcPr>
            <w:tcW w:w="720" w:type="dxa"/>
            <w:vAlign w:val="bottom"/>
            <w:gridSpan w:val="3"/>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9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October 29,</w:t>
            </w:r>
          </w:p>
        </w:tc>
        <w:tc>
          <w:tcPr>
            <w:tcW w:w="1020" w:type="dxa"/>
            <w:vAlign w:val="bottom"/>
            <w:tcBorders>
              <w:top w:val="single" w:sz="8" w:color="auto"/>
            </w:tcBorders>
            <w:gridSpan w:val="2"/>
          </w:tcPr>
          <w:p>
            <w:pPr>
              <w:jc w:val="right"/>
              <w:ind w:right="20"/>
              <w:spacing w:after="0" w:line="129" w:lineRule="exact"/>
              <w:rPr>
                <w:sz w:val="20"/>
                <w:szCs w:val="20"/>
                <w:color w:val="auto"/>
              </w:rPr>
            </w:pPr>
            <w:r>
              <w:rPr>
                <w:rFonts w:ascii="Arial" w:cs="Arial" w:eastAsia="Arial" w:hAnsi="Arial"/>
                <w:sz w:val="14"/>
                <w:szCs w:val="14"/>
                <w:b w:val="1"/>
                <w:bCs w:val="1"/>
                <w:color w:val="auto"/>
              </w:rPr>
              <w:t>October 30,</w:t>
            </w:r>
          </w:p>
        </w:tc>
        <w:tc>
          <w:tcPr>
            <w:tcW w:w="40" w:type="dxa"/>
            <w:vAlign w:val="bottom"/>
          </w:tcPr>
          <w:p>
            <w:pPr>
              <w:spacing w:after="0"/>
              <w:rPr>
                <w:sz w:val="11"/>
                <w:szCs w:val="11"/>
                <w:color w:val="auto"/>
              </w:rPr>
            </w:pPr>
          </w:p>
        </w:tc>
        <w:tc>
          <w:tcPr>
            <w:tcW w:w="660" w:type="dxa"/>
            <w:vAlign w:val="bottom"/>
            <w:vMerge w:val="continue"/>
          </w:tcPr>
          <w:p>
            <w:pPr>
              <w:spacing w:after="0"/>
              <w:rPr>
                <w:sz w:val="11"/>
                <w:szCs w:val="11"/>
                <w:color w:val="auto"/>
              </w:rPr>
            </w:pPr>
          </w:p>
        </w:tc>
        <w:tc>
          <w:tcPr>
            <w:tcW w:w="500" w:type="dxa"/>
            <w:vAlign w:val="bottom"/>
          </w:tcPr>
          <w:p>
            <w:pPr>
              <w:spacing w:after="0"/>
              <w:rPr>
                <w:sz w:val="11"/>
                <w:szCs w:val="11"/>
                <w:color w:val="auto"/>
              </w:rPr>
            </w:pPr>
          </w:p>
        </w:tc>
        <w:tc>
          <w:tcPr>
            <w:tcW w:w="1100" w:type="dxa"/>
            <w:vAlign w:val="bottom"/>
            <w:tcBorders>
              <w:top w:val="single" w:sz="8" w:color="auto"/>
            </w:tcBorders>
            <w:gridSpan w:val="3"/>
          </w:tcPr>
          <w:p>
            <w:pPr>
              <w:jc w:val="right"/>
              <w:ind w:right="340"/>
              <w:spacing w:after="0" w:line="129" w:lineRule="exact"/>
              <w:rPr>
                <w:sz w:val="20"/>
                <w:szCs w:val="20"/>
                <w:color w:val="auto"/>
              </w:rPr>
            </w:pPr>
            <w:r>
              <w:rPr>
                <w:rFonts w:ascii="Arial" w:cs="Arial" w:eastAsia="Arial" w:hAnsi="Arial"/>
                <w:sz w:val="14"/>
                <w:szCs w:val="14"/>
                <w:b w:val="1"/>
                <w:bCs w:val="1"/>
                <w:color w:val="auto"/>
                <w:w w:val="96"/>
              </w:rPr>
              <w:t>October 29,</w:t>
            </w:r>
          </w:p>
        </w:tc>
        <w:tc>
          <w:tcPr>
            <w:tcW w:w="88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w w:val="96"/>
              </w:rPr>
              <w:t>October 30,</w:t>
            </w:r>
          </w:p>
        </w:tc>
        <w:tc>
          <w:tcPr>
            <w:tcW w:w="20" w:type="dxa"/>
            <w:vAlign w:val="bottom"/>
          </w:tcPr>
          <w:p>
            <w:pPr>
              <w:spacing w:after="0"/>
              <w:rPr>
                <w:sz w:val="11"/>
                <w:szCs w:val="11"/>
                <w:color w:val="auto"/>
              </w:rPr>
            </w:pPr>
          </w:p>
        </w:tc>
        <w:tc>
          <w:tcPr>
            <w:tcW w:w="720" w:type="dxa"/>
            <w:vAlign w:val="bottom"/>
            <w:gridSpan w:val="3"/>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920" w:type="dxa"/>
            <w:vAlign w:val="bottom"/>
          </w:tcPr>
          <w:p>
            <w:pPr>
              <w:spacing w:after="0"/>
              <w:rPr>
                <w:sz w:val="14"/>
                <w:szCs w:val="14"/>
                <w:color w:val="auto"/>
              </w:rPr>
            </w:pPr>
          </w:p>
        </w:tc>
        <w:tc>
          <w:tcPr>
            <w:tcW w:w="840" w:type="dxa"/>
            <w:vAlign w:val="bottom"/>
            <w:gridSpan w:val="3"/>
          </w:tcPr>
          <w:p>
            <w:pPr>
              <w:jc w:val="right"/>
              <w:ind w:right="146"/>
              <w:spacing w:after="0"/>
              <w:rPr>
                <w:sz w:val="20"/>
                <w:szCs w:val="20"/>
                <w:color w:val="auto"/>
              </w:rPr>
            </w:pPr>
            <w:r>
              <w:rPr>
                <w:rFonts w:ascii="Arial" w:cs="Arial" w:eastAsia="Arial" w:hAnsi="Arial"/>
                <w:sz w:val="14"/>
                <w:szCs w:val="14"/>
                <w:b w:val="1"/>
                <w:bCs w:val="1"/>
                <w:color w:val="auto"/>
              </w:rPr>
              <w:t>2011</w:t>
            </w:r>
          </w:p>
        </w:tc>
        <w:tc>
          <w:tcPr>
            <w:tcW w:w="102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2010</w:t>
            </w:r>
          </w:p>
        </w:tc>
        <w:tc>
          <w:tcPr>
            <w:tcW w:w="40" w:type="dxa"/>
            <w:vAlign w:val="bottom"/>
          </w:tcPr>
          <w:p>
            <w:pPr>
              <w:spacing w:after="0"/>
              <w:rPr>
                <w:sz w:val="14"/>
                <w:szCs w:val="14"/>
                <w:color w:val="auto"/>
              </w:rPr>
            </w:pPr>
          </w:p>
        </w:tc>
        <w:tc>
          <w:tcPr>
            <w:tcW w:w="11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Change</w:t>
            </w:r>
          </w:p>
        </w:tc>
        <w:tc>
          <w:tcPr>
            <w:tcW w:w="920" w:type="dxa"/>
            <w:vAlign w:val="bottom"/>
            <w:gridSpan w:val="2"/>
          </w:tcPr>
          <w:p>
            <w:pPr>
              <w:jc w:val="right"/>
              <w:ind w:right="288"/>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880" w:type="dxa"/>
            <w:vAlign w:val="bottom"/>
            <w:gridSpan w:val="2"/>
          </w:tcPr>
          <w:p>
            <w:pPr>
              <w:jc w:val="right"/>
              <w:ind w:right="206"/>
              <w:spacing w:after="0"/>
              <w:rPr>
                <w:sz w:val="20"/>
                <w:szCs w:val="20"/>
                <w:color w:val="auto"/>
              </w:rPr>
            </w:pPr>
            <w:r>
              <w:rPr>
                <w:rFonts w:ascii="Arial" w:cs="Arial" w:eastAsia="Arial" w:hAnsi="Arial"/>
                <w:sz w:val="14"/>
                <w:szCs w:val="14"/>
                <w:b w:val="1"/>
                <w:bCs w:val="1"/>
                <w:color w:val="auto"/>
              </w:rPr>
              <w:t>2010</w:t>
            </w:r>
          </w:p>
        </w:tc>
        <w:tc>
          <w:tcPr>
            <w:tcW w:w="20" w:type="dxa"/>
            <w:vAlign w:val="bottom"/>
          </w:tcPr>
          <w:p>
            <w:pPr>
              <w:spacing w:after="0"/>
              <w:rPr>
                <w:sz w:val="14"/>
                <w:szCs w:val="14"/>
                <w:color w:val="auto"/>
              </w:rPr>
            </w:pPr>
          </w:p>
        </w:tc>
        <w:tc>
          <w:tcPr>
            <w:tcW w:w="980" w:type="dxa"/>
            <w:vAlign w:val="bottom"/>
            <w:gridSpan w:val="4"/>
          </w:tcPr>
          <w:p>
            <w:pPr>
              <w:ind w:left="28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49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40" w:type="dxa"/>
            <w:vAlign w:val="bottom"/>
            <w:tcBorders>
              <w:top w:val="single" w:sz="8" w:color="auto"/>
            </w:tcBorders>
          </w:tcPr>
          <w:p>
            <w:pPr>
              <w:spacing w:after="0"/>
              <w:rPr>
                <w:sz w:val="12"/>
                <w:szCs w:val="12"/>
                <w:color w:val="auto"/>
              </w:rPr>
            </w:pPr>
          </w:p>
        </w:tc>
        <w:tc>
          <w:tcPr>
            <w:tcW w:w="2260" w:type="dxa"/>
            <w:vAlign w:val="bottom"/>
            <w:tcBorders>
              <w:top w:val="single" w:sz="8" w:color="auto"/>
            </w:tcBorders>
            <w:gridSpan w:val="5"/>
          </w:tcPr>
          <w:p>
            <w:pPr>
              <w:jc w:val="right"/>
              <w:ind w:right="240"/>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54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2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8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$ 950,417</w:t>
            </w:r>
          </w:p>
        </w:tc>
        <w:tc>
          <w:tcPr>
            <w:tcW w:w="10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$ 959,327</w:t>
            </w: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(0.9)%</w:t>
            </w:r>
          </w:p>
        </w:tc>
        <w:tc>
          <w:tcPr>
            <w:tcW w:w="92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w w:val="86"/>
              </w:rPr>
              <w:t>$ 2,650,339</w:t>
            </w:r>
          </w:p>
        </w:tc>
        <w:tc>
          <w:tcPr>
            <w:tcW w:w="18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90"/>
              </w:rPr>
              <w:t>$ 2,711,380</w:t>
            </w:r>
          </w:p>
        </w:tc>
        <w:tc>
          <w:tcPr>
            <w:tcW w:w="980" w:type="dxa"/>
            <w:vAlign w:val="bottom"/>
            <w:gridSpan w:val="4"/>
            <w:shd w:val="clear" w:color="auto" w:fill="CCEEFF"/>
          </w:tcPr>
          <w:p>
            <w:pPr>
              <w:ind w:left="440"/>
              <w:spacing w:after="0"/>
              <w:rPr>
                <w:sz w:val="20"/>
                <w:szCs w:val="20"/>
                <w:color w:val="auto"/>
              </w:rPr>
            </w:pPr>
            <w:r>
              <w:rPr>
                <w:rFonts w:ascii="Arial" w:cs="Arial" w:eastAsia="Arial" w:hAnsi="Arial"/>
                <w:sz w:val="18"/>
                <w:szCs w:val="18"/>
                <w:color w:val="auto"/>
                <w:w w:val="98"/>
              </w:rPr>
              <w:t>(2.3)%</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Net revenue during the three months ended October 29, 2011 declined slightly compared to the three months ended October 30, 2010. Lower revenue in our mobile and wireless end markets was mostly offset by higher revenue in our storage end market. Within our mobile and wireless end markets, the decline was driven by product shift at our leading mobile handset customer to more 2G and 2.5G devices addressing several of the emerging markets around the world, which has impacted the demand for our 3G solutions. This decline was partially offset by the ramp of our mobile SOC products for the TD handset market in China, which were introduced during the first quarter of this fiscal year and have ramped up over the course of the year. Within our storage end markets, our revenue increased as a result of the both a significant new customer that has ramped up over the last year along with existing customers gaining market share versus their competition. These increases were partially offset by the transition of the enterprise drive business at an existing customer to a competitor and the initial impacts of the flooding in Thailand, which has impacted the supply chain for some of our significant customers. Within our networking end markets, our revenue increased moderately as demand increased with our largest customer along with the ramp of our PON products during the current year.</w:t>
      </w:r>
    </w:p>
    <w:p>
      <w:pPr>
        <w:spacing w:after="0" w:line="120"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Net revenue during the nine months ended October 29, 2011 declined by 2% compared to the nine months ended October 30, 2010, driven by our mobile and wireless end markets, which were negatively impacted by the product shift at our largest mobile customer partially offset by the ramp up of our products for the TD market in China.</w:t>
      </w:r>
    </w:p>
    <w:p>
      <w:pPr>
        <w:spacing w:after="0" w:line="140" w:lineRule="exact"/>
        <w:rPr>
          <w:sz w:val="20"/>
          <w:szCs w:val="20"/>
          <w:color w:val="auto"/>
        </w:rPr>
      </w:pPr>
    </w:p>
    <w:p>
      <w:pPr>
        <w:ind w:right="480" w:firstLine="456"/>
        <w:spacing w:after="0" w:line="332" w:lineRule="auto"/>
        <w:rPr>
          <w:sz w:val="20"/>
          <w:szCs w:val="20"/>
          <w:color w:val="auto"/>
        </w:rPr>
      </w:pPr>
      <w:r>
        <w:rPr>
          <w:rFonts w:ascii="Arial" w:cs="Arial" w:eastAsia="Arial" w:hAnsi="Arial"/>
          <w:sz w:val="16"/>
          <w:szCs w:val="16"/>
          <w:color w:val="auto"/>
        </w:rPr>
        <w:t>We currently expect overall net revenue for the three months ending January 28, 2012 to decline significantly as compared to the three months ended October 29, 2011 largely driven by the impact of the floods in Thailand on our hard drive business and seasonality in our consumer businesses.</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No distributors accounted for more than 10% of our net revenue for the three and nine months ended October 29, 2011 and October 30, 2010. The following table sets forth revenue attributable to end customers comprising 10% or more of our net revenue for the periods indicated:</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2920" w:type="dxa"/>
            <w:vAlign w:val="bottom"/>
            <w:gridSpan w:val="4"/>
          </w:tcPr>
          <w:p>
            <w:pPr>
              <w:jc w:val="right"/>
              <w:ind w:right="1240"/>
              <w:spacing w:after="0"/>
              <w:rPr>
                <w:sz w:val="20"/>
                <w:szCs w:val="20"/>
                <w:color w:val="auto"/>
              </w:rPr>
            </w:pPr>
            <w:r>
              <w:rPr>
                <w:rFonts w:ascii="Arial" w:cs="Arial" w:eastAsia="Arial" w:hAnsi="Arial"/>
                <w:sz w:val="14"/>
                <w:szCs w:val="14"/>
                <w:b w:val="1"/>
                <w:bCs w:val="1"/>
                <w:color w:val="auto"/>
              </w:rPr>
              <w:t>Three Months Ended</w:t>
            </w:r>
          </w:p>
        </w:tc>
        <w:tc>
          <w:tcPr>
            <w:tcW w:w="2340" w:type="dxa"/>
            <w:vAlign w:val="bottom"/>
            <w:gridSpan w:val="4"/>
          </w:tcPr>
          <w:p>
            <w:pPr>
              <w:jc w:val="right"/>
              <w:ind w:right="7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5560" w:type="dxa"/>
            <w:vAlign w:val="bottom"/>
          </w:tcPr>
          <w:p>
            <w:pPr>
              <w:spacing w:after="0"/>
              <w:rPr>
                <w:sz w:val="11"/>
                <w:szCs w:val="11"/>
                <w:color w:val="auto"/>
              </w:rPr>
            </w:pPr>
          </w:p>
        </w:tc>
        <w:tc>
          <w:tcPr>
            <w:tcW w:w="1460" w:type="dxa"/>
            <w:vAlign w:val="bottom"/>
            <w:tcBorders>
              <w:top w:val="single" w:sz="8" w:color="auto"/>
            </w:tcBorders>
            <w:gridSpan w:val="2"/>
          </w:tcPr>
          <w:p>
            <w:pPr>
              <w:jc w:val="right"/>
              <w:ind w:right="780"/>
              <w:spacing w:after="0" w:line="129" w:lineRule="exact"/>
              <w:rPr>
                <w:sz w:val="20"/>
                <w:szCs w:val="20"/>
                <w:color w:val="auto"/>
              </w:rPr>
            </w:pPr>
            <w:r>
              <w:rPr>
                <w:rFonts w:ascii="Arial" w:cs="Arial" w:eastAsia="Arial" w:hAnsi="Arial"/>
                <w:sz w:val="14"/>
                <w:szCs w:val="14"/>
                <w:b w:val="1"/>
                <w:bCs w:val="1"/>
                <w:color w:val="auto"/>
                <w:w w:val="85"/>
              </w:rPr>
              <w:t>October 29,</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30,</w:t>
            </w:r>
          </w:p>
        </w:tc>
        <w:tc>
          <w:tcPr>
            <w:tcW w:w="780" w:type="dxa"/>
            <w:vAlign w:val="bottom"/>
          </w:tcPr>
          <w:p>
            <w:pPr>
              <w:spacing w:after="0"/>
              <w:rPr>
                <w:sz w:val="11"/>
                <w:szCs w:val="11"/>
                <w:color w:val="auto"/>
              </w:rPr>
            </w:pPr>
          </w:p>
        </w:tc>
        <w:tc>
          <w:tcPr>
            <w:tcW w:w="1460" w:type="dxa"/>
            <w:vAlign w:val="bottom"/>
            <w:tcBorders>
              <w:top w:val="single" w:sz="8" w:color="auto"/>
            </w:tcBorders>
            <w:gridSpan w:val="2"/>
          </w:tcPr>
          <w:p>
            <w:pPr>
              <w:jc w:val="right"/>
              <w:ind w:right="780"/>
              <w:spacing w:after="0" w:line="129" w:lineRule="exact"/>
              <w:rPr>
                <w:sz w:val="20"/>
                <w:szCs w:val="20"/>
                <w:color w:val="auto"/>
              </w:rPr>
            </w:pPr>
            <w:r>
              <w:rPr>
                <w:rFonts w:ascii="Arial" w:cs="Arial" w:eastAsia="Arial" w:hAnsi="Arial"/>
                <w:sz w:val="14"/>
                <w:szCs w:val="14"/>
                <w:b w:val="1"/>
                <w:bCs w:val="1"/>
                <w:color w:val="auto"/>
                <w:w w:val="85"/>
              </w:rPr>
              <w:t>October 29,</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30,</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6240" w:type="dxa"/>
            <w:vAlign w:val="bottom"/>
            <w:gridSpan w:val="2"/>
          </w:tcPr>
          <w:p>
            <w:pPr>
              <w:jc w:val="right"/>
              <w:ind w:right="126"/>
              <w:spacing w:after="0" w:line="148" w:lineRule="exact"/>
              <w:rPr>
                <w:sz w:val="20"/>
                <w:szCs w:val="20"/>
                <w:color w:val="auto"/>
              </w:rPr>
            </w:pPr>
            <w:r>
              <w:rPr>
                <w:rFonts w:ascii="Arial" w:cs="Arial" w:eastAsia="Arial" w:hAnsi="Arial"/>
                <w:sz w:val="14"/>
                <w:szCs w:val="14"/>
                <w:b w:val="1"/>
                <w:bCs w:val="1"/>
                <w:color w:val="auto"/>
              </w:rPr>
              <w:t>2011</w:t>
            </w:r>
          </w:p>
        </w:tc>
        <w:tc>
          <w:tcPr>
            <w:tcW w:w="780" w:type="dxa"/>
            <w:vAlign w:val="bottom"/>
          </w:tcPr>
          <w:p>
            <w:pPr>
              <w:spacing w:after="0"/>
              <w:rPr>
                <w:sz w:val="12"/>
                <w:szCs w:val="12"/>
                <w:color w:val="auto"/>
              </w:rPr>
            </w:pPr>
          </w:p>
        </w:tc>
        <w:tc>
          <w:tcPr>
            <w:tcW w:w="680" w:type="dxa"/>
            <w:vAlign w:val="bottom"/>
          </w:tcPr>
          <w:p>
            <w:pPr>
              <w:jc w:val="right"/>
              <w:ind w:right="122"/>
              <w:spacing w:after="0" w:line="148" w:lineRule="exact"/>
              <w:rPr>
                <w:sz w:val="20"/>
                <w:szCs w:val="20"/>
                <w:color w:val="auto"/>
              </w:rPr>
            </w:pPr>
            <w:r>
              <w:rPr>
                <w:rFonts w:ascii="Arial" w:cs="Arial" w:eastAsia="Arial" w:hAnsi="Arial"/>
                <w:sz w:val="14"/>
                <w:szCs w:val="14"/>
                <w:b w:val="1"/>
                <w:bCs w:val="1"/>
                <w:color w:val="auto"/>
              </w:rPr>
              <w:t>2010</w:t>
            </w:r>
          </w:p>
        </w:tc>
        <w:tc>
          <w:tcPr>
            <w:tcW w:w="780" w:type="dxa"/>
            <w:vAlign w:val="bottom"/>
          </w:tcPr>
          <w:p>
            <w:pPr>
              <w:spacing w:after="0"/>
              <w:rPr>
                <w:sz w:val="12"/>
                <w:szCs w:val="12"/>
                <w:color w:val="auto"/>
              </w:rPr>
            </w:pPr>
          </w:p>
        </w:tc>
        <w:tc>
          <w:tcPr>
            <w:tcW w:w="680" w:type="dxa"/>
            <w:vAlign w:val="bottom"/>
          </w:tcPr>
          <w:p>
            <w:pPr>
              <w:jc w:val="right"/>
              <w:ind w:right="124"/>
              <w:spacing w:after="0" w:line="148" w:lineRule="exact"/>
              <w:rPr>
                <w:sz w:val="20"/>
                <w:szCs w:val="20"/>
                <w:color w:val="auto"/>
              </w:rPr>
            </w:pPr>
            <w:r>
              <w:rPr>
                <w:rFonts w:ascii="Arial" w:cs="Arial" w:eastAsia="Arial" w:hAnsi="Arial"/>
                <w:sz w:val="14"/>
                <w:szCs w:val="14"/>
                <w:b w:val="1"/>
                <w:bCs w:val="1"/>
                <w:color w:val="auto"/>
              </w:rPr>
              <w:t>2011</w:t>
            </w:r>
          </w:p>
        </w:tc>
        <w:tc>
          <w:tcPr>
            <w:tcW w:w="780" w:type="dxa"/>
            <w:vAlign w:val="bottom"/>
          </w:tcPr>
          <w:p>
            <w:pPr>
              <w:spacing w:after="0"/>
              <w:rPr>
                <w:sz w:val="12"/>
                <w:szCs w:val="12"/>
                <w:color w:val="auto"/>
              </w:rPr>
            </w:pPr>
          </w:p>
        </w:tc>
        <w:tc>
          <w:tcPr>
            <w:tcW w:w="680" w:type="dxa"/>
            <w:vAlign w:val="bottom"/>
          </w:tcPr>
          <w:p>
            <w:pPr>
              <w:jc w:val="right"/>
              <w:ind w:right="122"/>
              <w:spacing w:after="0" w:line="148" w:lineRule="exact"/>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6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A</w:t>
            </w:r>
          </w:p>
        </w:tc>
        <w:tc>
          <w:tcPr>
            <w:tcW w:w="5560" w:type="dxa"/>
            <w:vAlign w:val="bottom"/>
            <w:vMerge w:val="restart"/>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780" w:type="dxa"/>
            <w:vAlign w:val="bottom"/>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780" w:type="dxa"/>
            <w:vAlign w:val="bottom"/>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780" w:type="dxa"/>
            <w:vAlign w:val="bottom"/>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600" w:type="dxa"/>
            <w:vAlign w:val="bottom"/>
            <w:vMerge w:val="continue"/>
            <w:shd w:val="clear" w:color="auto" w:fill="CCEEFF"/>
          </w:tcPr>
          <w:p>
            <w:pPr>
              <w:spacing w:after="0"/>
              <w:rPr>
                <w:sz w:val="17"/>
                <w:szCs w:val="17"/>
                <w:color w:val="auto"/>
              </w:rPr>
            </w:pPr>
          </w:p>
        </w:tc>
        <w:tc>
          <w:tcPr>
            <w:tcW w:w="5560" w:type="dxa"/>
            <w:vAlign w:val="bottom"/>
            <w:vMerge w:val="continue"/>
            <w:shd w:val="clear" w:color="auto" w:fill="CCEEFF"/>
          </w:tcPr>
          <w:p>
            <w:pPr>
              <w:spacing w:after="0"/>
              <w:rPr>
                <w:sz w:val="17"/>
                <w:szCs w:val="17"/>
                <w:color w:val="auto"/>
              </w:rPr>
            </w:pPr>
          </w:p>
        </w:tc>
        <w:tc>
          <w:tcPr>
            <w:tcW w:w="1460" w:type="dxa"/>
            <w:vAlign w:val="bottom"/>
            <w:gridSpan w:val="2"/>
            <w:shd w:val="clear" w:color="auto" w:fill="CCEEFF"/>
          </w:tcPr>
          <w:p>
            <w:pPr>
              <w:jc w:val="right"/>
              <w:ind w:right="640"/>
              <w:spacing w:after="0" w:line="203" w:lineRule="exact"/>
              <w:rPr>
                <w:sz w:val="20"/>
                <w:szCs w:val="20"/>
                <w:color w:val="auto"/>
              </w:rPr>
            </w:pPr>
            <w:r>
              <w:rPr>
                <w:rFonts w:ascii="Arial" w:cs="Arial" w:eastAsia="Arial" w:hAnsi="Arial"/>
                <w:sz w:val="18"/>
                <w:szCs w:val="18"/>
                <w:color w:val="auto"/>
              </w:rPr>
              <w:t>21%</w:t>
            </w:r>
          </w:p>
        </w:tc>
        <w:tc>
          <w:tcPr>
            <w:tcW w:w="1460" w:type="dxa"/>
            <w:vAlign w:val="bottom"/>
            <w:gridSpan w:val="2"/>
            <w:shd w:val="clear" w:color="auto" w:fill="CCEEFF"/>
          </w:tcPr>
          <w:p>
            <w:pPr>
              <w:jc w:val="right"/>
              <w:ind w:right="640"/>
              <w:spacing w:after="0" w:line="203" w:lineRule="exact"/>
              <w:rPr>
                <w:sz w:val="20"/>
                <w:szCs w:val="20"/>
                <w:color w:val="auto"/>
              </w:rPr>
            </w:pPr>
            <w:r>
              <w:rPr>
                <w:rFonts w:ascii="Arial" w:cs="Arial" w:eastAsia="Arial" w:hAnsi="Arial"/>
                <w:sz w:val="18"/>
                <w:szCs w:val="18"/>
                <w:color w:val="auto"/>
              </w:rPr>
              <w:t>20%</w:t>
            </w:r>
          </w:p>
        </w:tc>
        <w:tc>
          <w:tcPr>
            <w:tcW w:w="1460" w:type="dxa"/>
            <w:vAlign w:val="bottom"/>
            <w:gridSpan w:val="2"/>
            <w:shd w:val="clear" w:color="auto" w:fill="CCEEFF"/>
          </w:tcPr>
          <w:p>
            <w:pPr>
              <w:jc w:val="right"/>
              <w:ind w:right="640"/>
              <w:spacing w:after="0" w:line="203" w:lineRule="exact"/>
              <w:rPr>
                <w:sz w:val="20"/>
                <w:szCs w:val="20"/>
                <w:color w:val="auto"/>
              </w:rPr>
            </w:pPr>
            <w:r>
              <w:rPr>
                <w:rFonts w:ascii="Arial" w:cs="Arial" w:eastAsia="Arial" w:hAnsi="Arial"/>
                <w:sz w:val="18"/>
                <w:szCs w:val="18"/>
                <w:color w:val="auto"/>
              </w:rPr>
              <w:t>21%</w:t>
            </w:r>
          </w:p>
        </w:tc>
        <w:tc>
          <w:tcPr>
            <w:tcW w:w="88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22"/>
        </w:trPr>
        <w:tc>
          <w:tcPr>
            <w:tcW w:w="600" w:type="dxa"/>
            <w:vAlign w:val="bottom"/>
          </w:tcPr>
          <w:p>
            <w:pPr>
              <w:spacing w:after="0"/>
              <w:rPr>
                <w:sz w:val="20"/>
                <w:szCs w:val="20"/>
                <w:color w:val="auto"/>
              </w:rPr>
            </w:pPr>
            <w:r>
              <w:rPr>
                <w:rFonts w:ascii="Arial" w:cs="Arial" w:eastAsia="Arial" w:hAnsi="Arial"/>
                <w:sz w:val="18"/>
                <w:szCs w:val="18"/>
                <w:color w:val="auto"/>
              </w:rPr>
              <w:t>B</w:t>
            </w:r>
          </w:p>
        </w:tc>
        <w:tc>
          <w:tcPr>
            <w:tcW w:w="6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spacing w:after="0"/>
              <w:rPr>
                <w:sz w:val="19"/>
                <w:szCs w:val="19"/>
                <w:color w:val="auto"/>
              </w:rPr>
            </w:pPr>
          </w:p>
        </w:tc>
        <w:tc>
          <w:tcPr>
            <w:tcW w:w="1460" w:type="dxa"/>
            <w:vAlign w:val="bottom"/>
            <w:gridSpan w:val="2"/>
          </w:tcPr>
          <w:p>
            <w:pPr>
              <w:jc w:val="right"/>
              <w:ind w:right="640"/>
              <w:spacing w:after="0"/>
              <w:rPr>
                <w:sz w:val="20"/>
                <w:szCs w:val="20"/>
                <w:color w:val="auto"/>
              </w:rPr>
            </w:pPr>
            <w:r>
              <w:rPr>
                <w:rFonts w:ascii="Arial" w:cs="Arial" w:eastAsia="Arial" w:hAnsi="Arial"/>
                <w:sz w:val="18"/>
                <w:szCs w:val="18"/>
                <w:color w:val="auto"/>
              </w:rPr>
              <w:t>18%</w:t>
            </w: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spacing w:after="0"/>
              <w:rPr>
                <w:sz w:val="19"/>
                <w:szCs w:val="19"/>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260" w:firstLine="456"/>
        <w:spacing w:after="0" w:line="323" w:lineRule="auto"/>
        <w:rPr>
          <w:sz w:val="20"/>
          <w:szCs w:val="20"/>
          <w:color w:val="auto"/>
        </w:rPr>
      </w:pPr>
      <w:r>
        <w:rPr>
          <w:rFonts w:ascii="Arial" w:cs="Arial" w:eastAsia="Arial" w:hAnsi="Arial"/>
          <w:sz w:val="15"/>
          <w:szCs w:val="15"/>
          <w:color w:val="auto"/>
        </w:rPr>
        <w:t>Because we sell our products to many OEM manufacturers who have manufacturing operations located in Asia, a significant percentage of our sales are made to customers located outside of the United States. Sales to customers located in Asia represented 90% and 78% of our net revenue for the three months ended October 29, 2011 and October 30, 2010, respectively, and represented 87% and 82% of our net revenue for the nine months ended October 29, 2011 and October 30, 2010, respectively. We expect that a significant portion of our net revenue will continue to be represented by sales to our customers in Asia.</w:t>
      </w:r>
    </w:p>
    <w:p>
      <w:pPr>
        <w:spacing w:after="0" w:line="17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8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1920" w:type="dxa"/>
            <w:vAlign w:val="bottom"/>
            <w:gridSpan w:val="3"/>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vMerge w:val="restart"/>
          </w:tcPr>
          <w:p>
            <w:pPr>
              <w:jc w:val="right"/>
              <w:ind w:right="467"/>
              <w:spacing w:after="0"/>
              <w:rPr>
                <w:sz w:val="20"/>
                <w:szCs w:val="20"/>
                <w:color w:val="auto"/>
              </w:rPr>
            </w:pPr>
            <w:r>
              <w:rPr>
                <w:rFonts w:ascii="Arial" w:cs="Arial" w:eastAsia="Arial" w:hAnsi="Arial"/>
                <w:sz w:val="14"/>
                <w:szCs w:val="14"/>
                <w:b w:val="1"/>
                <w:bCs w:val="1"/>
                <w:color w:val="auto"/>
              </w:rPr>
              <w:t>%</w:t>
            </w:r>
          </w:p>
        </w:tc>
        <w:tc>
          <w:tcPr>
            <w:tcW w:w="224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Nine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380" w:type="dxa"/>
            <w:vAlign w:val="bottom"/>
          </w:tcPr>
          <w:p>
            <w:pPr>
              <w:spacing w:after="0"/>
              <w:rPr>
                <w:sz w:val="11"/>
                <w:szCs w:val="11"/>
                <w:color w:val="auto"/>
              </w:rPr>
            </w:pPr>
          </w:p>
        </w:tc>
        <w:tc>
          <w:tcPr>
            <w:tcW w:w="2080" w:type="dxa"/>
            <w:vAlign w:val="bottom"/>
          </w:tcPr>
          <w:p>
            <w:pPr>
              <w:spacing w:after="0"/>
              <w:rPr>
                <w:sz w:val="11"/>
                <w:szCs w:val="11"/>
                <w:color w:val="auto"/>
              </w:rPr>
            </w:pPr>
          </w:p>
        </w:tc>
        <w:tc>
          <w:tcPr>
            <w:tcW w:w="960" w:type="dxa"/>
            <w:vAlign w:val="bottom"/>
            <w:tcBorders>
              <w:top w:val="single" w:sz="8" w:color="auto"/>
            </w:tcBorders>
          </w:tcPr>
          <w:p>
            <w:pPr>
              <w:jc w:val="right"/>
              <w:ind w:right="21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1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106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93"/>
              </w:rPr>
              <w:t>October 29,</w:t>
            </w:r>
          </w:p>
        </w:tc>
        <w:tc>
          <w:tcPr>
            <w:tcW w:w="9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26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380" w:type="dxa"/>
            <w:vAlign w:val="bottom"/>
          </w:tcPr>
          <w:p>
            <w:pPr>
              <w:spacing w:after="0"/>
              <w:rPr>
                <w:sz w:val="14"/>
                <w:szCs w:val="14"/>
                <w:color w:val="auto"/>
              </w:rPr>
            </w:pPr>
          </w:p>
        </w:tc>
        <w:tc>
          <w:tcPr>
            <w:tcW w:w="304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2011</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160" w:type="dxa"/>
            <w:vAlign w:val="bottom"/>
          </w:tcPr>
          <w:p>
            <w:pPr>
              <w:spacing w:after="0"/>
              <w:rPr>
                <w:sz w:val="14"/>
                <w:szCs w:val="14"/>
                <w:color w:val="auto"/>
              </w:rPr>
            </w:pPr>
          </w:p>
        </w:tc>
        <w:tc>
          <w:tcPr>
            <w:tcW w:w="1040" w:type="dxa"/>
            <w:vAlign w:val="bottom"/>
          </w:tcPr>
          <w:p>
            <w:pPr>
              <w:jc w:val="center"/>
              <w:ind w:right="87"/>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tcPr>
          <w:p>
            <w:pPr>
              <w:jc w:val="right"/>
              <w:ind w:right="444"/>
              <w:spacing w:after="0"/>
              <w:rPr>
                <w:sz w:val="20"/>
                <w:szCs w:val="20"/>
                <w:color w:val="auto"/>
              </w:rPr>
            </w:pPr>
            <w:r>
              <w:rPr>
                <w:rFonts w:ascii="Arial" w:cs="Arial" w:eastAsia="Arial" w:hAnsi="Arial"/>
                <w:sz w:val="14"/>
                <w:szCs w:val="14"/>
                <w:b w:val="1"/>
                <w:bCs w:val="1"/>
                <w:color w:val="auto"/>
              </w:rPr>
              <w:t>2011</w:t>
            </w:r>
          </w:p>
        </w:tc>
        <w:tc>
          <w:tcPr>
            <w:tcW w:w="920" w:type="dxa"/>
            <w:vAlign w:val="bottom"/>
          </w:tcPr>
          <w:p>
            <w:pPr>
              <w:jc w:val="right"/>
              <w:ind w:right="18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76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38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96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2"/>
          </w:tcPr>
          <w:p>
            <w:pPr>
              <w:jc w:val="right"/>
              <w:ind w:right="104"/>
              <w:spacing w:after="0" w:line="142" w:lineRule="exact"/>
              <w:rPr>
                <w:sz w:val="20"/>
                <w:szCs w:val="20"/>
                <w:color w:val="auto"/>
              </w:rPr>
            </w:pPr>
            <w:r>
              <w:rPr>
                <w:rFonts w:ascii="Arial" w:cs="Arial" w:eastAsia="Arial" w:hAnsi="Arial"/>
                <w:sz w:val="14"/>
                <w:szCs w:val="14"/>
                <w:b w:val="1"/>
                <w:bCs w:val="1"/>
                <w:color w:val="auto"/>
                <w:w w:val="83"/>
              </w:rPr>
              <w:t>(in thousands, except percentage)</w:t>
            </w:r>
          </w:p>
        </w:tc>
        <w:tc>
          <w:tcPr>
            <w:tcW w:w="92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3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0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$ 412,100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$390,808</w:t>
            </w:r>
          </w:p>
        </w:tc>
        <w:tc>
          <w:tcPr>
            <w:tcW w:w="160" w:type="dxa"/>
            <w:vAlign w:val="bottom"/>
            <w:shd w:val="clear" w:color="auto" w:fill="CCEEFF"/>
          </w:tcPr>
          <w:p>
            <w:pPr>
              <w:spacing w:after="0"/>
              <w:rPr>
                <w:sz w:val="18"/>
                <w:szCs w:val="18"/>
                <w:color w:val="auto"/>
              </w:rPr>
            </w:pPr>
          </w:p>
        </w:tc>
        <w:tc>
          <w:tcPr>
            <w:tcW w:w="1040" w:type="dxa"/>
            <w:vAlign w:val="bottom"/>
            <w:shd w:val="clear" w:color="auto" w:fill="CCEEFF"/>
          </w:tcPr>
          <w:p>
            <w:pPr>
              <w:jc w:val="right"/>
              <w:ind w:right="167"/>
              <w:spacing w:after="0"/>
              <w:rPr>
                <w:sz w:val="20"/>
                <w:szCs w:val="20"/>
                <w:color w:val="auto"/>
              </w:rPr>
            </w:pPr>
            <w:r>
              <w:rPr>
                <w:rFonts w:ascii="Arial" w:cs="Arial" w:eastAsia="Arial" w:hAnsi="Arial"/>
                <w:sz w:val="18"/>
                <w:szCs w:val="18"/>
                <w:color w:val="auto"/>
              </w:rPr>
              <w:t>5.4%</w:t>
            </w:r>
          </w:p>
        </w:tc>
        <w:tc>
          <w:tcPr>
            <w:tcW w:w="10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$1,124,692</w:t>
            </w: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9"/>
              </w:rPr>
              <w:t>$1,101,475</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22"/>
        </w:trPr>
        <w:tc>
          <w:tcPr>
            <w:tcW w:w="3380" w:type="dxa"/>
            <w:vAlign w:val="bottom"/>
          </w:tcPr>
          <w:p>
            <w:pPr>
              <w:spacing w:after="0"/>
              <w:rPr>
                <w:sz w:val="20"/>
                <w:szCs w:val="20"/>
                <w:color w:val="auto"/>
              </w:rPr>
            </w:pPr>
            <w:r>
              <w:rPr>
                <w:rFonts w:ascii="Arial" w:cs="Arial" w:eastAsia="Arial" w:hAnsi="Arial"/>
                <w:sz w:val="18"/>
                <w:szCs w:val="18"/>
                <w:color w:val="auto"/>
              </w:rPr>
              <w:t>% of net revenue</w:t>
            </w:r>
          </w:p>
        </w:tc>
        <w:tc>
          <w:tcPr>
            <w:tcW w:w="3040" w:type="dxa"/>
            <w:vAlign w:val="bottom"/>
            <w:gridSpan w:val="2"/>
          </w:tcPr>
          <w:p>
            <w:pPr>
              <w:jc w:val="right"/>
              <w:ind w:right="32"/>
              <w:spacing w:after="0"/>
              <w:rPr>
                <w:sz w:val="20"/>
                <w:szCs w:val="20"/>
                <w:color w:val="auto"/>
              </w:rPr>
            </w:pPr>
            <w:r>
              <w:rPr>
                <w:rFonts w:ascii="Arial" w:cs="Arial" w:eastAsia="Arial" w:hAnsi="Arial"/>
                <w:sz w:val="18"/>
                <w:szCs w:val="18"/>
                <w:color w:val="auto"/>
              </w:rPr>
              <w:t>43.4%</w:t>
            </w: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40.7%</w:t>
            </w:r>
          </w:p>
        </w:tc>
        <w:tc>
          <w:tcPr>
            <w:tcW w:w="1040" w:type="dxa"/>
            <w:vAlign w:val="bottom"/>
          </w:tcPr>
          <w:p>
            <w:pPr>
              <w:spacing w:after="0"/>
              <w:rPr>
                <w:sz w:val="19"/>
                <w:szCs w:val="19"/>
                <w:color w:val="auto"/>
              </w:rPr>
            </w:pPr>
          </w:p>
        </w:tc>
        <w:tc>
          <w:tcPr>
            <w:tcW w:w="1060" w:type="dxa"/>
            <w:vAlign w:val="bottom"/>
          </w:tcPr>
          <w:p>
            <w:pPr>
              <w:jc w:val="right"/>
              <w:ind w:right="44"/>
              <w:spacing w:after="0"/>
              <w:rPr>
                <w:sz w:val="20"/>
                <w:szCs w:val="20"/>
                <w:color w:val="auto"/>
              </w:rPr>
            </w:pPr>
            <w:r>
              <w:rPr>
                <w:rFonts w:ascii="Arial" w:cs="Arial" w:eastAsia="Arial" w:hAnsi="Arial"/>
                <w:sz w:val="18"/>
                <w:szCs w:val="18"/>
                <w:color w:val="auto"/>
              </w:rPr>
              <w:t>42.4%</w:t>
            </w: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40.6%</w:t>
            </w: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increase in cost of goods sold as a percentage of net revenue for the three and nine months ended October 29, 2011 compared to the three and nine months ended October 30, 2010 was primarily driven by declines in the average selling prices of our products, which outpaced the cost reductions received from our manufacturing partners, the volume and costs of new product tapeouts in advanced technology nodes, as well as higher commodity costs in the assembly of our products. Specifically, the cost of gold has increased significantly over the past year.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jc w:val="both"/>
        <w:ind w:right="100" w:firstLine="456"/>
        <w:spacing w:after="0" w:line="335" w:lineRule="auto"/>
        <w:rPr>
          <w:sz w:val="20"/>
          <w:szCs w:val="20"/>
          <w:color w:val="auto"/>
        </w:rPr>
      </w:pPr>
      <w:r>
        <w:rPr>
          <w:rFonts w:ascii="Arial" w:cs="Arial" w:eastAsia="Arial" w:hAnsi="Arial"/>
          <w:sz w:val="15"/>
          <w:szCs w:val="15"/>
          <w:color w:val="auto"/>
        </w:rPr>
        <w:t>We currently expect cost of goods sold as a percentage of net revenue for the three months ending January 28, 2012 to be higher than for the three months ended October 29, 2011. High commodity prices, especially gold, continues to pose challenges to our gross margin in the near-term. We have undertaken various measures such as moving to copper wiring and using multiple foundries to help mitigate the impact to our gross margin but these measures will take some time.</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2060" w:type="dxa"/>
            <w:vAlign w:val="bottom"/>
            <w:gridSpan w:val="3"/>
          </w:tcPr>
          <w:p>
            <w:pPr>
              <w:jc w:val="right"/>
              <w:ind w:right="472"/>
              <w:spacing w:after="0"/>
              <w:rPr>
                <w:sz w:val="20"/>
                <w:szCs w:val="20"/>
                <w:color w:val="auto"/>
              </w:rPr>
            </w:pPr>
            <w:r>
              <w:rPr>
                <w:rFonts w:ascii="Arial" w:cs="Arial" w:eastAsia="Arial" w:hAnsi="Arial"/>
                <w:sz w:val="14"/>
                <w:szCs w:val="14"/>
                <w:b w:val="1"/>
                <w:bCs w:val="1"/>
                <w:color w:val="auto"/>
              </w:rPr>
              <w:t>Three Months Ended</w:t>
            </w:r>
          </w:p>
        </w:tc>
        <w:tc>
          <w:tcPr>
            <w:tcW w:w="84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0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Nine Months Ended</w:t>
            </w:r>
          </w:p>
        </w:tc>
        <w:tc>
          <w:tcPr>
            <w:tcW w:w="5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00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8"/>
              </w:rPr>
              <w:t>October 29,</w:t>
            </w:r>
          </w:p>
        </w:tc>
        <w:tc>
          <w:tcPr>
            <w:tcW w:w="7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8"/>
              </w:rPr>
              <w:t>October 30,</w:t>
            </w:r>
          </w:p>
        </w:tc>
        <w:tc>
          <w:tcPr>
            <w:tcW w:w="280" w:type="dxa"/>
            <w:vAlign w:val="bottom"/>
          </w:tcPr>
          <w:p>
            <w:pPr>
              <w:spacing w:after="0"/>
              <w:rPr>
                <w:sz w:val="11"/>
                <w:szCs w:val="11"/>
                <w:color w:val="auto"/>
              </w:rPr>
            </w:pPr>
          </w:p>
        </w:tc>
        <w:tc>
          <w:tcPr>
            <w:tcW w:w="84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19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286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2011</w:t>
            </w:r>
          </w:p>
        </w:tc>
        <w:tc>
          <w:tcPr>
            <w:tcW w:w="78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840" w:type="dxa"/>
            <w:vAlign w:val="bottom"/>
          </w:tcPr>
          <w:p>
            <w:pPr>
              <w:ind w:left="120"/>
              <w:spacing w:after="0"/>
              <w:rPr>
                <w:sz w:val="20"/>
                <w:szCs w:val="20"/>
                <w:color w:val="auto"/>
              </w:rPr>
            </w:pPr>
            <w:r>
              <w:rPr>
                <w:rFonts w:ascii="Arial" w:cs="Arial" w:eastAsia="Arial" w:hAnsi="Arial"/>
                <w:sz w:val="14"/>
                <w:szCs w:val="14"/>
                <w:b w:val="1"/>
                <w:bCs w:val="1"/>
                <w:color w:val="auto"/>
              </w:rPr>
              <w:t>Change</w:t>
            </w:r>
          </w:p>
        </w:tc>
        <w:tc>
          <w:tcPr>
            <w:tcW w:w="106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2011</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78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4"/>
          </w:tcPr>
          <w:p>
            <w:pPr>
              <w:jc w:val="right"/>
              <w:ind w:right="132"/>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8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$ 266,255</w:t>
            </w:r>
          </w:p>
        </w:tc>
        <w:tc>
          <w:tcPr>
            <w:tcW w:w="10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$218,420</w:t>
            </w:r>
          </w:p>
        </w:tc>
        <w:tc>
          <w:tcPr>
            <w:tcW w:w="840" w:type="dxa"/>
            <w:vAlign w:val="bottom"/>
            <w:shd w:val="clear" w:color="auto" w:fill="CCEEFF"/>
          </w:tcPr>
          <w:p>
            <w:pPr>
              <w:ind w:left="260"/>
              <w:spacing w:after="0"/>
              <w:rPr>
                <w:sz w:val="20"/>
                <w:szCs w:val="20"/>
                <w:color w:val="auto"/>
              </w:rPr>
            </w:pPr>
            <w:r>
              <w:rPr>
                <w:rFonts w:ascii="Arial" w:cs="Arial" w:eastAsia="Arial" w:hAnsi="Arial"/>
                <w:sz w:val="18"/>
                <w:szCs w:val="18"/>
                <w:color w:val="auto"/>
              </w:rPr>
              <w:t>21.9%</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$758,396</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$665,742</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3"/>
              </w:rPr>
              <w:t>13.9%</w:t>
            </w:r>
          </w:p>
        </w:tc>
        <w:tc>
          <w:tcPr>
            <w:tcW w:w="0" w:type="dxa"/>
            <w:vAlign w:val="bottom"/>
          </w:tcPr>
          <w:p>
            <w:pPr>
              <w:spacing w:after="0"/>
              <w:rPr>
                <w:sz w:val="1"/>
                <w:szCs w:val="1"/>
                <w:color w:val="auto"/>
              </w:rPr>
            </w:pPr>
          </w:p>
        </w:tc>
      </w:tr>
      <w:tr>
        <w:trPr>
          <w:trHeight w:val="222"/>
        </w:trPr>
        <w:tc>
          <w:tcPr>
            <w:tcW w:w="3760" w:type="dxa"/>
            <w:vAlign w:val="bottom"/>
          </w:tcPr>
          <w:p>
            <w:pPr>
              <w:spacing w:after="0"/>
              <w:rPr>
                <w:sz w:val="20"/>
                <w:szCs w:val="20"/>
                <w:color w:val="auto"/>
              </w:rPr>
            </w:pPr>
            <w:r>
              <w:rPr>
                <w:rFonts w:ascii="Arial" w:cs="Arial" w:eastAsia="Arial" w:hAnsi="Arial"/>
                <w:sz w:val="18"/>
                <w:szCs w:val="18"/>
                <w:color w:val="auto"/>
              </w:rPr>
              <w:t>% of net revenue</w:t>
            </w:r>
          </w:p>
        </w:tc>
        <w:tc>
          <w:tcPr>
            <w:tcW w:w="2860" w:type="dxa"/>
            <w:vAlign w:val="bottom"/>
            <w:gridSpan w:val="2"/>
          </w:tcPr>
          <w:p>
            <w:pPr>
              <w:jc w:val="right"/>
              <w:ind w:right="72"/>
              <w:spacing w:after="0"/>
              <w:rPr>
                <w:sz w:val="20"/>
                <w:szCs w:val="20"/>
                <w:color w:val="auto"/>
              </w:rPr>
            </w:pPr>
            <w:r>
              <w:rPr>
                <w:rFonts w:ascii="Arial" w:cs="Arial" w:eastAsia="Arial" w:hAnsi="Arial"/>
                <w:sz w:val="18"/>
                <w:szCs w:val="18"/>
                <w:color w:val="auto"/>
              </w:rPr>
              <w:t>28.0%</w:t>
            </w: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22.8%</w:t>
            </w:r>
          </w:p>
        </w:tc>
        <w:tc>
          <w:tcPr>
            <w:tcW w:w="84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28.6%</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24.6%</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The increase in research and development expense for the three months ended October 29, 2011 compared to the three months ended October 30, 2010 of $47.8 million was primarily due to a $36.7 million increase in personnel-related costs as a result of increased headcount, contractor services and other professional services, and a $2.1 million increase in stock-based compensation expenses. The three months ended October 29, 2011 also included $4.2 million in assessments related to payroll taxes in certain jurisdictions. This is in addition to a $8.0 million increase in various other research and development expenses to support our larger organization. The overall increase was partially offset by a $3.2 million decrease in depreciation expense.</w:t>
      </w:r>
    </w:p>
    <w:p>
      <w:pPr>
        <w:spacing w:after="0" w:line="116" w:lineRule="exact"/>
        <w:rPr>
          <w:sz w:val="20"/>
          <w:szCs w:val="20"/>
          <w:color w:val="auto"/>
        </w:rPr>
      </w:pPr>
    </w:p>
    <w:p>
      <w:pPr>
        <w:ind w:right="260" w:firstLine="456"/>
        <w:spacing w:after="0" w:line="255" w:lineRule="auto"/>
        <w:rPr>
          <w:sz w:val="20"/>
          <w:szCs w:val="20"/>
          <w:color w:val="auto"/>
        </w:rPr>
      </w:pPr>
      <w:r>
        <w:rPr>
          <w:rFonts w:ascii="Arial" w:cs="Arial" w:eastAsia="Arial" w:hAnsi="Arial"/>
          <w:sz w:val="18"/>
          <w:szCs w:val="18"/>
          <w:color w:val="auto"/>
        </w:rPr>
        <w:t>The increase in research and development expense for the nine months ended October 29, 2011 compared to the nine months ended October 30, 2010 of $92.7 million was primarily due to a $82.0 million increase in personnel-related costs as a result of increased headcount, contractor services, and other professional services, and a $4.8 million increase in the cost of intellectual property licenses. This is in addition to a $12.1 million increase in various other research and development expenses to support our larger organization. The overall increase was partially offset by a $6.2 million decrease in depreciation expense.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We currently expect that research and development expense for the three months ending January 28, 2012 will decrease slightly from the level of expense reported for the three months ended October 29, 2011.</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60" w:type="dxa"/>
            <w:vAlign w:val="bottom"/>
          </w:tcPr>
          <w:p>
            <w:pPr>
              <w:spacing w:after="0"/>
              <w:rPr>
                <w:sz w:val="14"/>
                <w:szCs w:val="14"/>
                <w:color w:val="auto"/>
              </w:rPr>
            </w:pPr>
          </w:p>
        </w:tc>
        <w:tc>
          <w:tcPr>
            <w:tcW w:w="200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Three Months Ended</w:t>
            </w:r>
          </w:p>
        </w:tc>
        <w:tc>
          <w:tcPr>
            <w:tcW w:w="1060" w:type="dxa"/>
            <w:vAlign w:val="bottom"/>
            <w:vMerge w:val="restart"/>
          </w:tcPr>
          <w:p>
            <w:pPr>
              <w:jc w:val="right"/>
              <w:ind w:right="407"/>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2120" w:type="dxa"/>
            <w:vAlign w:val="bottom"/>
            <w:gridSpan w:val="3"/>
          </w:tcPr>
          <w:p>
            <w:pPr>
              <w:jc w:val="right"/>
              <w:ind w:right="640"/>
              <w:spacing w:after="0"/>
              <w:rPr>
                <w:sz w:val="20"/>
                <w:szCs w:val="20"/>
                <w:color w:val="auto"/>
              </w:rPr>
            </w:pPr>
            <w:r>
              <w:rPr>
                <w:rFonts w:ascii="Arial" w:cs="Arial" w:eastAsia="Arial" w:hAnsi="Arial"/>
                <w:sz w:val="14"/>
                <w:szCs w:val="14"/>
                <w:b w:val="1"/>
                <w:bCs w:val="1"/>
                <w:color w:val="auto"/>
              </w:rPr>
              <w:t>Nine Months Ended</w:t>
            </w:r>
          </w:p>
        </w:tc>
        <w:tc>
          <w:tcPr>
            <w:tcW w:w="62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260" w:type="dxa"/>
            <w:vAlign w:val="bottom"/>
          </w:tcPr>
          <w:p>
            <w:pPr>
              <w:spacing w:after="0"/>
              <w:rPr>
                <w:sz w:val="11"/>
                <w:szCs w:val="11"/>
                <w:color w:val="auto"/>
              </w:rPr>
            </w:pPr>
          </w:p>
        </w:tc>
        <w:tc>
          <w:tcPr>
            <w:tcW w:w="9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180" w:type="dxa"/>
            <w:vAlign w:val="bottom"/>
          </w:tcPr>
          <w:p>
            <w:pPr>
              <w:spacing w:after="0"/>
              <w:rPr>
                <w:sz w:val="11"/>
                <w:szCs w:val="11"/>
                <w:color w:val="auto"/>
              </w:rPr>
            </w:pPr>
          </w:p>
        </w:tc>
        <w:tc>
          <w:tcPr>
            <w:tcW w:w="106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3"/>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30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60" w:type="dxa"/>
            <w:vAlign w:val="bottom"/>
          </w:tcPr>
          <w:p>
            <w:pPr>
              <w:spacing w:after="0"/>
              <w:rPr>
                <w:sz w:val="14"/>
                <w:szCs w:val="14"/>
                <w:color w:val="auto"/>
              </w:rPr>
            </w:pPr>
          </w:p>
        </w:tc>
        <w:tc>
          <w:tcPr>
            <w:tcW w:w="980" w:type="dxa"/>
            <w:vAlign w:val="bottom"/>
          </w:tcPr>
          <w:p>
            <w:pPr>
              <w:jc w:val="right"/>
              <w:ind w:right="424"/>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1060" w:type="dxa"/>
            <w:vAlign w:val="bottom"/>
          </w:tcPr>
          <w:p>
            <w:pPr>
              <w:jc w:val="center"/>
              <w:spacing w:after="0"/>
              <w:rPr>
                <w:sz w:val="20"/>
                <w:szCs w:val="20"/>
                <w:color w:val="auto"/>
              </w:rPr>
            </w:pPr>
            <w:r>
              <w:rPr>
                <w:rFonts w:ascii="Arial" w:cs="Arial" w:eastAsia="Arial" w:hAnsi="Arial"/>
                <w:sz w:val="14"/>
                <w:szCs w:val="14"/>
                <w:b w:val="1"/>
                <w:bCs w:val="1"/>
                <w:color w:val="auto"/>
                <w:w w:val="85"/>
              </w:rPr>
              <w:t>Change</w:t>
            </w:r>
          </w:p>
        </w:tc>
        <w:tc>
          <w:tcPr>
            <w:tcW w:w="114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82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26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00" w:type="dxa"/>
            <w:vAlign w:val="bottom"/>
            <w:tcBorders>
              <w:top w:val="single" w:sz="8" w:color="auto"/>
            </w:tcBorders>
            <w:gridSpan w:val="3"/>
          </w:tcPr>
          <w:p>
            <w:pPr>
              <w:jc w:val="right"/>
              <w:ind w:right="19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9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4"/>
              </w:rPr>
              <w:t>$ 40,500</w:t>
            </w:r>
          </w:p>
        </w:tc>
        <w:tc>
          <w:tcPr>
            <w:tcW w:w="10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$ 39,751</w:t>
            </w:r>
          </w:p>
        </w:tc>
        <w:tc>
          <w:tcPr>
            <w:tcW w:w="1060" w:type="dxa"/>
            <w:vAlign w:val="bottom"/>
            <w:shd w:val="clear" w:color="auto" w:fill="CCEEFF"/>
          </w:tcPr>
          <w:p>
            <w:pPr>
              <w:jc w:val="right"/>
              <w:ind w:right="107"/>
              <w:spacing w:after="0"/>
              <w:rPr>
                <w:sz w:val="20"/>
                <w:szCs w:val="20"/>
                <w:color w:val="auto"/>
              </w:rPr>
            </w:pPr>
            <w:r>
              <w:rPr>
                <w:rFonts w:ascii="Arial" w:cs="Arial" w:eastAsia="Arial" w:hAnsi="Arial"/>
                <w:sz w:val="18"/>
                <w:szCs w:val="18"/>
                <w:color w:val="auto"/>
              </w:rPr>
              <w:t>1.9%</w:t>
            </w:r>
          </w:p>
        </w:tc>
        <w:tc>
          <w:tcPr>
            <w:tcW w:w="114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$ 119,042</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$ 115,037</w:t>
            </w: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22"/>
        </w:trPr>
        <w:tc>
          <w:tcPr>
            <w:tcW w:w="526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tcPr>
          <w:p>
            <w:pPr>
              <w:jc w:val="right"/>
              <w:ind w:right="84"/>
              <w:spacing w:after="0"/>
              <w:rPr>
                <w:sz w:val="20"/>
                <w:szCs w:val="20"/>
                <w:color w:val="auto"/>
              </w:rPr>
            </w:pPr>
            <w:r>
              <w:rPr>
                <w:rFonts w:ascii="Arial" w:cs="Arial" w:eastAsia="Arial" w:hAnsi="Arial"/>
                <w:sz w:val="18"/>
                <w:szCs w:val="18"/>
                <w:color w:val="auto"/>
              </w:rPr>
              <w:t>4.3%</w:t>
            </w: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4.1%</w:t>
            </w:r>
          </w:p>
        </w:tc>
        <w:tc>
          <w:tcPr>
            <w:tcW w:w="1060" w:type="dxa"/>
            <w:vAlign w:val="bottom"/>
          </w:tcPr>
          <w:p>
            <w:pPr>
              <w:spacing w:after="0"/>
              <w:rPr>
                <w:sz w:val="19"/>
                <w:szCs w:val="19"/>
                <w:color w:val="auto"/>
              </w:rPr>
            </w:pPr>
          </w:p>
        </w:tc>
        <w:tc>
          <w:tcPr>
            <w:tcW w:w="1140" w:type="dxa"/>
            <w:vAlign w:val="bottom"/>
            <w:gridSpan w:val="2"/>
          </w:tcPr>
          <w:p>
            <w:pPr>
              <w:jc w:val="right"/>
              <w:ind w:right="92"/>
              <w:spacing w:after="0"/>
              <w:rPr>
                <w:sz w:val="20"/>
                <w:szCs w:val="20"/>
                <w:color w:val="auto"/>
              </w:rPr>
            </w:pPr>
            <w:r>
              <w:rPr>
                <w:rFonts w:ascii="Arial" w:cs="Arial" w:eastAsia="Arial" w:hAnsi="Arial"/>
                <w:sz w:val="18"/>
                <w:szCs w:val="18"/>
                <w:color w:val="auto"/>
              </w:rPr>
              <w:t>4.5%</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4.2%</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Selling and marketing expense for the three months ended October 29, 2011 increased slightly compared to the three months ended October 30, 2010. This included a $1.9 million increase in contractor services and other professional services, partially offset by lower general selling and marketing expenses, such as trade show and public relations expenses.</w:t>
      </w:r>
    </w:p>
    <w:p>
      <w:pPr>
        <w:spacing w:after="0" w:line="140"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The increase in selling and marketing expense for the nine months ended October 29, 2011 compared to the nine months ended October 30, 2010 of $4.0 million was primarily due to a $7.2 million increase in personnel-related costs, primarily driven by contractor services and other professional services. The increase was partially offset by a $3.1 million decrease in general selling and marketing expense, such as trade show and public relations expenses.</w:t>
      </w:r>
    </w:p>
    <w:p>
      <w:pPr>
        <w:spacing w:after="0" w:line="107"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We currently expect that selling and marketing expense for the three months ending January 28, 2012 will be approximately flat from the level of expense reported for the three months ended October 29, 2011.</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980" w:type="dxa"/>
            <w:vAlign w:val="bottom"/>
            <w:gridSpan w:val="3"/>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4"/>
                <w:szCs w:val="14"/>
                <w:color w:val="auto"/>
              </w:rPr>
            </w:pPr>
          </w:p>
        </w:tc>
        <w:tc>
          <w:tcPr>
            <w:tcW w:w="212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60" w:type="dxa"/>
            <w:vAlign w:val="bottom"/>
          </w:tcPr>
          <w:p>
            <w:pPr>
              <w:spacing w:after="0"/>
              <w:rPr>
                <w:sz w:val="11"/>
                <w:szCs w:val="11"/>
                <w:color w:val="auto"/>
              </w:rPr>
            </w:pPr>
          </w:p>
        </w:tc>
        <w:tc>
          <w:tcPr>
            <w:tcW w:w="166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16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60" w:type="dxa"/>
            <w:vAlign w:val="bottom"/>
          </w:tcPr>
          <w:p>
            <w:pPr>
              <w:spacing w:after="0"/>
              <w:rPr>
                <w:sz w:val="14"/>
                <w:szCs w:val="14"/>
                <w:color w:val="auto"/>
              </w:rPr>
            </w:pPr>
          </w:p>
        </w:tc>
        <w:tc>
          <w:tcPr>
            <w:tcW w:w="264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jc w:val="right"/>
              <w:ind w:right="142"/>
              <w:spacing w:after="0"/>
              <w:rPr>
                <w:sz w:val="20"/>
                <w:szCs w:val="20"/>
                <w:color w:val="auto"/>
              </w:rPr>
            </w:pPr>
            <w:r>
              <w:rPr>
                <w:rFonts w:ascii="Arial" w:cs="Arial" w:eastAsia="Arial" w:hAnsi="Arial"/>
                <w:sz w:val="14"/>
                <w:szCs w:val="14"/>
                <w:b w:val="1"/>
                <w:bCs w:val="1"/>
                <w:color w:val="auto"/>
              </w:rPr>
              <w:t>2010</w:t>
            </w:r>
          </w:p>
        </w:tc>
        <w:tc>
          <w:tcPr>
            <w:tcW w:w="160" w:type="dxa"/>
            <w:vAlign w:val="bottom"/>
          </w:tcPr>
          <w:p>
            <w:pPr>
              <w:spacing w:after="0"/>
              <w:rPr>
                <w:sz w:val="14"/>
                <w:szCs w:val="14"/>
                <w:color w:val="auto"/>
              </w:rPr>
            </w:pPr>
          </w:p>
        </w:tc>
        <w:tc>
          <w:tcPr>
            <w:tcW w:w="1100" w:type="dxa"/>
            <w:vAlign w:val="bottom"/>
          </w:tcPr>
          <w:p>
            <w:pPr>
              <w:ind w:left="300"/>
              <w:spacing w:after="0"/>
              <w:rPr>
                <w:sz w:val="20"/>
                <w:szCs w:val="20"/>
                <w:color w:val="auto"/>
              </w:rPr>
            </w:pPr>
            <w:r>
              <w:rPr>
                <w:rFonts w:ascii="Arial" w:cs="Arial" w:eastAsia="Arial" w:hAnsi="Arial"/>
                <w:sz w:val="14"/>
                <w:szCs w:val="14"/>
                <w:b w:val="1"/>
                <w:bCs w:val="1"/>
                <w:color w:val="auto"/>
              </w:rPr>
              <w:t>Change</w:t>
            </w:r>
          </w:p>
        </w:tc>
        <w:tc>
          <w:tcPr>
            <w:tcW w:w="112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86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56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3"/>
          </w:tcPr>
          <w:p>
            <w:pPr>
              <w:jc w:val="right"/>
              <w:ind w:right="192"/>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64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$ 29,021</w:t>
            </w: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$ 29,576</w:t>
            </w:r>
          </w:p>
        </w:tc>
        <w:tc>
          <w:tcPr>
            <w:tcW w:w="1100" w:type="dxa"/>
            <w:vAlign w:val="bottom"/>
            <w:shd w:val="clear" w:color="auto" w:fill="CCEEFF"/>
          </w:tcPr>
          <w:p>
            <w:pPr>
              <w:ind w:left="460"/>
              <w:spacing w:after="0"/>
              <w:rPr>
                <w:sz w:val="20"/>
                <w:szCs w:val="20"/>
                <w:color w:val="auto"/>
              </w:rPr>
            </w:pPr>
            <w:r>
              <w:rPr>
                <w:rFonts w:ascii="Arial" w:cs="Arial" w:eastAsia="Arial" w:hAnsi="Arial"/>
                <w:sz w:val="18"/>
                <w:szCs w:val="18"/>
                <w:color w:val="auto"/>
              </w:rPr>
              <w:t>(1.9)%</w:t>
            </w:r>
          </w:p>
        </w:tc>
        <w:tc>
          <w:tcPr>
            <w:tcW w:w="112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$ 77,436</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$ 78,124</w:t>
            </w:r>
          </w:p>
        </w:tc>
        <w:tc>
          <w:tcPr>
            <w:tcW w:w="8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8"/>
              </w:rPr>
              <w:t>(0.9)%</w:t>
            </w:r>
          </w:p>
        </w:tc>
        <w:tc>
          <w:tcPr>
            <w:tcW w:w="0" w:type="dxa"/>
            <w:vAlign w:val="bottom"/>
          </w:tcPr>
          <w:p>
            <w:pPr>
              <w:spacing w:after="0"/>
              <w:rPr>
                <w:sz w:val="1"/>
                <w:szCs w:val="1"/>
                <w:color w:val="auto"/>
              </w:rPr>
            </w:pPr>
          </w:p>
        </w:tc>
      </w:tr>
      <w:tr>
        <w:trPr>
          <w:trHeight w:val="222"/>
        </w:trPr>
        <w:tc>
          <w:tcPr>
            <w:tcW w:w="3560" w:type="dxa"/>
            <w:vAlign w:val="bottom"/>
          </w:tcPr>
          <w:p>
            <w:pPr>
              <w:spacing w:after="0"/>
              <w:rPr>
                <w:sz w:val="20"/>
                <w:szCs w:val="20"/>
                <w:color w:val="auto"/>
              </w:rPr>
            </w:pPr>
            <w:r>
              <w:rPr>
                <w:rFonts w:ascii="Arial" w:cs="Arial" w:eastAsia="Arial" w:hAnsi="Arial"/>
                <w:sz w:val="18"/>
                <w:szCs w:val="18"/>
                <w:color w:val="auto"/>
              </w:rPr>
              <w:t>% of net revenue</w:t>
            </w:r>
          </w:p>
        </w:tc>
        <w:tc>
          <w:tcPr>
            <w:tcW w:w="2640" w:type="dxa"/>
            <w:vAlign w:val="bottom"/>
            <w:gridSpan w:val="2"/>
          </w:tcPr>
          <w:p>
            <w:pPr>
              <w:jc w:val="right"/>
              <w:ind w:right="92"/>
              <w:spacing w:after="0"/>
              <w:rPr>
                <w:sz w:val="20"/>
                <w:szCs w:val="20"/>
                <w:color w:val="auto"/>
              </w:rPr>
            </w:pPr>
            <w:r>
              <w:rPr>
                <w:rFonts w:ascii="Arial" w:cs="Arial" w:eastAsia="Arial" w:hAnsi="Arial"/>
                <w:sz w:val="18"/>
                <w:szCs w:val="18"/>
                <w:color w:val="auto"/>
              </w:rPr>
              <w:t>3.0%</w:t>
            </w: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3.1%</w:t>
            </w:r>
          </w:p>
        </w:tc>
        <w:tc>
          <w:tcPr>
            <w:tcW w:w="1100" w:type="dxa"/>
            <w:vAlign w:val="bottom"/>
          </w:tcPr>
          <w:p>
            <w:pPr>
              <w:spacing w:after="0"/>
              <w:rPr>
                <w:sz w:val="19"/>
                <w:szCs w:val="19"/>
                <w:color w:val="auto"/>
              </w:rPr>
            </w:pPr>
          </w:p>
        </w:tc>
        <w:tc>
          <w:tcPr>
            <w:tcW w:w="1120" w:type="dxa"/>
            <w:vAlign w:val="bottom"/>
            <w:gridSpan w:val="2"/>
          </w:tcPr>
          <w:p>
            <w:pPr>
              <w:jc w:val="right"/>
              <w:ind w:right="72"/>
              <w:spacing w:after="0"/>
              <w:rPr>
                <w:sz w:val="20"/>
                <w:szCs w:val="20"/>
                <w:color w:val="auto"/>
              </w:rPr>
            </w:pPr>
            <w:r>
              <w:rPr>
                <w:rFonts w:ascii="Arial" w:cs="Arial" w:eastAsia="Arial" w:hAnsi="Arial"/>
                <w:sz w:val="18"/>
                <w:szCs w:val="18"/>
                <w:color w:val="auto"/>
              </w:rPr>
              <w:t>2.9%</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2.9%</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General and administrative expense for the three months ended October 29, 2011 decreased slightly compared to the three months ended October 30, 2010. This included a $4.5 million decrease in legal expenses, primarily due to the conclusion of a legal case in the prior fiscal year, and a $1.4 million decrease in stock-based compensation, primarily due to adjustments recorded on certain grants connected to performance targets that we no longer expect to be achieved. Partially offsetting the decrease were expenses related to legal settlements.</w:t>
      </w:r>
    </w:p>
    <w:p>
      <w:pPr>
        <w:spacing w:after="0" w:line="143"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General and administrative expense for the nine months ended October 29, 2011 decreased slightly compared to the nine months ended October 30, 2010. This included a $2.7 million decrease in legal expenses, primarily due to the conclusion of a legal case in the prior fiscal year, and a $1.9 million decrease in stock-based compensation, primarily due to adjustments recorded on certain grants connected to performance targets that we no longer expect to be achieved. Partially offsetting the decrease were expenses related to legal settlements.</w:t>
      </w:r>
    </w:p>
    <w:p>
      <w:pPr>
        <w:spacing w:after="0" w:line="143"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for the three months ending January 28, 2012 will be essentially flat from the level of expense reported for the three months ended October 29, 2011.</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980" w:type="dxa"/>
            <w:vAlign w:val="bottom"/>
            <w:gridSpan w:val="3"/>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vMerge w:val="restart"/>
          </w:tcPr>
          <w:p>
            <w:pPr>
              <w:jc w:val="right"/>
              <w:ind w:right="447"/>
              <w:spacing w:after="0"/>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4"/>
                <w:szCs w:val="14"/>
                <w:color w:val="auto"/>
              </w:rPr>
            </w:pPr>
          </w:p>
        </w:tc>
        <w:tc>
          <w:tcPr>
            <w:tcW w:w="212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16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00" w:type="dxa"/>
            <w:vAlign w:val="bottom"/>
          </w:tcPr>
          <w:p>
            <w:pPr>
              <w:spacing w:after="0"/>
              <w:rPr>
                <w:sz w:val="14"/>
                <w:szCs w:val="14"/>
                <w:color w:val="auto"/>
              </w:rPr>
            </w:pPr>
          </w:p>
        </w:tc>
        <w:tc>
          <w:tcPr>
            <w:tcW w:w="210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jc w:val="right"/>
              <w:ind w:right="142"/>
              <w:spacing w:after="0"/>
              <w:rPr>
                <w:sz w:val="20"/>
                <w:szCs w:val="20"/>
                <w:color w:val="auto"/>
              </w:rPr>
            </w:pPr>
            <w:r>
              <w:rPr>
                <w:rFonts w:ascii="Arial" w:cs="Arial" w:eastAsia="Arial" w:hAnsi="Arial"/>
                <w:sz w:val="14"/>
                <w:szCs w:val="14"/>
                <w:b w:val="1"/>
                <w:bCs w:val="1"/>
                <w:color w:val="auto"/>
              </w:rPr>
              <w:t>2010</w:t>
            </w:r>
          </w:p>
        </w:tc>
        <w:tc>
          <w:tcPr>
            <w:tcW w:w="160" w:type="dxa"/>
            <w:vAlign w:val="bottom"/>
          </w:tcPr>
          <w:p>
            <w:pPr>
              <w:spacing w:after="0"/>
              <w:rPr>
                <w:sz w:val="14"/>
                <w:szCs w:val="14"/>
                <w:color w:val="auto"/>
              </w:rPr>
            </w:pP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85"/>
              </w:rPr>
              <w:t>Change</w:t>
            </w:r>
          </w:p>
        </w:tc>
        <w:tc>
          <w:tcPr>
            <w:tcW w:w="112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3"/>
          </w:tcPr>
          <w:p>
            <w:pPr>
              <w:jc w:val="right"/>
              <w:ind w:right="192"/>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10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11,155</w:t>
            </w: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$ 21,770</w:t>
            </w:r>
          </w:p>
        </w:tc>
        <w:tc>
          <w:tcPr>
            <w:tcW w:w="1100" w:type="dxa"/>
            <w:vAlign w:val="bottom"/>
            <w:shd w:val="clear" w:color="auto" w:fill="CCEEFF"/>
          </w:tcPr>
          <w:p>
            <w:pPr>
              <w:jc w:val="right"/>
              <w:ind w:right="87"/>
              <w:spacing w:after="0"/>
              <w:rPr>
                <w:sz w:val="20"/>
                <w:szCs w:val="20"/>
                <w:color w:val="auto"/>
              </w:rPr>
            </w:pPr>
            <w:r>
              <w:rPr>
                <w:rFonts w:ascii="Arial" w:cs="Arial" w:eastAsia="Arial" w:hAnsi="Arial"/>
                <w:sz w:val="18"/>
                <w:szCs w:val="18"/>
                <w:color w:val="auto"/>
              </w:rPr>
              <w:t>(48.8)%</w:t>
            </w:r>
          </w:p>
        </w:tc>
        <w:tc>
          <w:tcPr>
            <w:tcW w:w="112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$ 36,634</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$ 65,533</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(44.1)%</w:t>
            </w:r>
          </w:p>
        </w:tc>
        <w:tc>
          <w:tcPr>
            <w:tcW w:w="0" w:type="dxa"/>
            <w:vAlign w:val="bottom"/>
          </w:tcPr>
          <w:p>
            <w:pPr>
              <w:spacing w:after="0"/>
              <w:rPr>
                <w:sz w:val="1"/>
                <w:szCs w:val="1"/>
                <w:color w:val="auto"/>
              </w:rPr>
            </w:pPr>
          </w:p>
        </w:tc>
      </w:tr>
      <w:tr>
        <w:trPr>
          <w:trHeight w:val="222"/>
        </w:trPr>
        <w:tc>
          <w:tcPr>
            <w:tcW w:w="4100" w:type="dxa"/>
            <w:vAlign w:val="bottom"/>
          </w:tcPr>
          <w:p>
            <w:pPr>
              <w:spacing w:after="0"/>
              <w:rPr>
                <w:sz w:val="20"/>
                <w:szCs w:val="20"/>
                <w:color w:val="auto"/>
              </w:rPr>
            </w:pPr>
            <w:r>
              <w:rPr>
                <w:rFonts w:ascii="Arial" w:cs="Arial" w:eastAsia="Arial" w:hAnsi="Arial"/>
                <w:sz w:val="18"/>
                <w:szCs w:val="18"/>
                <w:color w:val="auto"/>
              </w:rPr>
              <w:t>% of net revenue</w:t>
            </w:r>
          </w:p>
        </w:tc>
        <w:tc>
          <w:tcPr>
            <w:tcW w:w="2100" w:type="dxa"/>
            <w:vAlign w:val="bottom"/>
            <w:gridSpan w:val="2"/>
          </w:tcPr>
          <w:p>
            <w:pPr>
              <w:jc w:val="right"/>
              <w:ind w:right="92"/>
              <w:spacing w:after="0"/>
              <w:rPr>
                <w:sz w:val="20"/>
                <w:szCs w:val="20"/>
                <w:color w:val="auto"/>
              </w:rPr>
            </w:pPr>
            <w:r>
              <w:rPr>
                <w:rFonts w:ascii="Arial" w:cs="Arial" w:eastAsia="Arial" w:hAnsi="Arial"/>
                <w:sz w:val="18"/>
                <w:szCs w:val="18"/>
                <w:color w:val="auto"/>
              </w:rPr>
              <w:t>1.2%</w:t>
            </w: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2.3%</w:t>
            </w:r>
          </w:p>
        </w:tc>
        <w:tc>
          <w:tcPr>
            <w:tcW w:w="1100" w:type="dxa"/>
            <w:vAlign w:val="bottom"/>
          </w:tcPr>
          <w:p>
            <w:pPr>
              <w:spacing w:after="0"/>
              <w:rPr>
                <w:sz w:val="19"/>
                <w:szCs w:val="19"/>
                <w:color w:val="auto"/>
              </w:rPr>
            </w:pPr>
          </w:p>
        </w:tc>
        <w:tc>
          <w:tcPr>
            <w:tcW w:w="1120" w:type="dxa"/>
            <w:vAlign w:val="bottom"/>
            <w:gridSpan w:val="2"/>
          </w:tcPr>
          <w:p>
            <w:pPr>
              <w:jc w:val="right"/>
              <w:ind w:right="72"/>
              <w:spacing w:after="0"/>
              <w:rPr>
                <w:sz w:val="20"/>
                <w:szCs w:val="20"/>
                <w:color w:val="auto"/>
              </w:rPr>
            </w:pPr>
            <w:r>
              <w:rPr>
                <w:rFonts w:ascii="Arial" w:cs="Arial" w:eastAsia="Arial" w:hAnsi="Arial"/>
                <w:sz w:val="18"/>
                <w:szCs w:val="18"/>
                <w:color w:val="auto"/>
              </w:rPr>
              <w:t>1.4%</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2.4%</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decrease in amortization of acquired intangible assets for the three and nine months ended October 29, 2011 compared to the three and nine months ended October 30, 2010 was due to intangible assets from certain acquisitions becoming fully amortized.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Income (expense),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4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060" w:type="dxa"/>
            <w:vAlign w:val="bottom"/>
            <w:gridSpan w:val="3"/>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vMerge w:val="restart"/>
          </w:tcPr>
          <w:p>
            <w:pPr>
              <w:jc w:val="right"/>
              <w:ind w:right="467"/>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216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Nine Months Ended</w:t>
            </w:r>
          </w:p>
        </w:tc>
        <w:tc>
          <w:tcPr>
            <w:tcW w:w="64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9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26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3"/>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36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940" w:type="dxa"/>
            <w:vAlign w:val="bottom"/>
          </w:tcPr>
          <w:p>
            <w:pPr>
              <w:spacing w:after="0"/>
              <w:rPr>
                <w:sz w:val="14"/>
                <w:szCs w:val="14"/>
                <w:color w:val="auto"/>
              </w:rPr>
            </w:pPr>
          </w:p>
        </w:tc>
        <w:tc>
          <w:tcPr>
            <w:tcW w:w="208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2011</w:t>
            </w:r>
          </w:p>
        </w:tc>
        <w:tc>
          <w:tcPr>
            <w:tcW w:w="8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1100" w:type="dxa"/>
            <w:vAlign w:val="bottom"/>
          </w:tcPr>
          <w:p>
            <w:pPr>
              <w:jc w:val="center"/>
              <w:ind w:right="27"/>
              <w:spacing w:after="0"/>
              <w:rPr>
                <w:sz w:val="20"/>
                <w:szCs w:val="20"/>
                <w:color w:val="auto"/>
              </w:rPr>
            </w:pPr>
            <w:r>
              <w:rPr>
                <w:rFonts w:ascii="Arial" w:cs="Arial" w:eastAsia="Arial" w:hAnsi="Arial"/>
                <w:sz w:val="14"/>
                <w:szCs w:val="14"/>
                <w:b w:val="1"/>
                <w:bCs w:val="1"/>
                <w:color w:val="auto"/>
                <w:w w:val="85"/>
              </w:rPr>
              <w:t>Change</w:t>
            </w:r>
          </w:p>
        </w:tc>
        <w:tc>
          <w:tcPr>
            <w:tcW w:w="112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jc w:val="right"/>
              <w:ind w:right="142"/>
              <w:spacing w:after="0"/>
              <w:rPr>
                <w:sz w:val="20"/>
                <w:szCs w:val="20"/>
                <w:color w:val="auto"/>
              </w:rPr>
            </w:pPr>
            <w:r>
              <w:rPr>
                <w:rFonts w:ascii="Arial" w:cs="Arial" w:eastAsia="Arial" w:hAnsi="Arial"/>
                <w:sz w:val="14"/>
                <w:szCs w:val="14"/>
                <w:b w:val="1"/>
                <w:bCs w:val="1"/>
                <w:color w:val="auto"/>
              </w:rPr>
              <w:t>2010</w:t>
            </w:r>
          </w:p>
        </w:tc>
        <w:tc>
          <w:tcPr>
            <w:tcW w:w="360" w:type="dxa"/>
            <w:vAlign w:val="bottom"/>
          </w:tcPr>
          <w:p>
            <w:pPr>
              <w:spacing w:after="0"/>
              <w:rPr>
                <w:sz w:val="14"/>
                <w:szCs w:val="14"/>
                <w:color w:val="auto"/>
              </w:rPr>
            </w:pPr>
          </w:p>
        </w:tc>
        <w:tc>
          <w:tcPr>
            <w:tcW w:w="9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9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3"/>
          </w:tcPr>
          <w:p>
            <w:pPr>
              <w:jc w:val="right"/>
              <w:ind w:right="192"/>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84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208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7,729</w:t>
            </w: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  (1,665)</w:t>
            </w:r>
          </w:p>
        </w:tc>
        <w:tc>
          <w:tcPr>
            <w:tcW w:w="1100" w:type="dxa"/>
            <w:vAlign w:val="bottom"/>
            <w:shd w:val="clear" w:color="auto" w:fill="CCEEFF"/>
          </w:tcPr>
          <w:p>
            <w:pPr>
              <w:jc w:val="right"/>
              <w:ind w:right="67"/>
              <w:spacing w:after="0"/>
              <w:rPr>
                <w:sz w:val="20"/>
                <w:szCs w:val="20"/>
                <w:color w:val="auto"/>
              </w:rPr>
            </w:pPr>
            <w:r>
              <w:rPr>
                <w:rFonts w:ascii="Arial" w:cs="Arial" w:eastAsia="Arial" w:hAnsi="Arial"/>
                <w:sz w:val="18"/>
                <w:szCs w:val="18"/>
                <w:color w:val="auto"/>
              </w:rPr>
              <w:t>(564.2)%</w:t>
            </w:r>
          </w:p>
        </w:tc>
        <w:tc>
          <w:tcPr>
            <w:tcW w:w="112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9,575</w:t>
            </w: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  (1,205)</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(894.6)%</w:t>
            </w:r>
          </w:p>
        </w:tc>
        <w:tc>
          <w:tcPr>
            <w:tcW w:w="0" w:type="dxa"/>
            <w:vAlign w:val="bottom"/>
          </w:tcPr>
          <w:p>
            <w:pPr>
              <w:spacing w:after="0"/>
              <w:rPr>
                <w:sz w:val="1"/>
                <w:szCs w:val="1"/>
                <w:color w:val="auto"/>
              </w:rPr>
            </w:pPr>
          </w:p>
        </w:tc>
      </w:tr>
      <w:tr>
        <w:trPr>
          <w:trHeight w:val="222"/>
        </w:trPr>
        <w:tc>
          <w:tcPr>
            <w:tcW w:w="3940" w:type="dxa"/>
            <w:vAlign w:val="bottom"/>
          </w:tcPr>
          <w:p>
            <w:pPr>
              <w:spacing w:after="0"/>
              <w:rPr>
                <w:sz w:val="20"/>
                <w:szCs w:val="20"/>
                <w:color w:val="auto"/>
              </w:rPr>
            </w:pPr>
            <w:r>
              <w:rPr>
                <w:rFonts w:ascii="Arial" w:cs="Arial" w:eastAsia="Arial" w:hAnsi="Arial"/>
                <w:sz w:val="18"/>
                <w:szCs w:val="18"/>
                <w:color w:val="auto"/>
              </w:rPr>
              <w:t>% of net revenue</w:t>
            </w:r>
          </w:p>
        </w:tc>
        <w:tc>
          <w:tcPr>
            <w:tcW w:w="2080" w:type="dxa"/>
            <w:vAlign w:val="bottom"/>
            <w:gridSpan w:val="2"/>
          </w:tcPr>
          <w:p>
            <w:pPr>
              <w:jc w:val="right"/>
              <w:ind w:right="92"/>
              <w:spacing w:after="0"/>
              <w:rPr>
                <w:sz w:val="20"/>
                <w:szCs w:val="20"/>
                <w:color w:val="auto"/>
              </w:rPr>
            </w:pPr>
            <w:r>
              <w:rPr>
                <w:rFonts w:ascii="Arial" w:cs="Arial" w:eastAsia="Arial" w:hAnsi="Arial"/>
                <w:sz w:val="18"/>
                <w:szCs w:val="18"/>
                <w:color w:val="auto"/>
              </w:rPr>
              <w:t>0.9%</w:t>
            </w: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1100" w:type="dxa"/>
            <w:vAlign w:val="bottom"/>
          </w:tcPr>
          <w:p>
            <w:pPr>
              <w:spacing w:after="0"/>
              <w:rPr>
                <w:sz w:val="19"/>
                <w:szCs w:val="19"/>
                <w:color w:val="auto"/>
              </w:rPr>
            </w:pPr>
          </w:p>
        </w:tc>
        <w:tc>
          <w:tcPr>
            <w:tcW w:w="1120" w:type="dxa"/>
            <w:vAlign w:val="bottom"/>
            <w:gridSpan w:val="2"/>
          </w:tcPr>
          <w:p>
            <w:pPr>
              <w:jc w:val="right"/>
              <w:ind w:right="72"/>
              <w:spacing w:after="0"/>
              <w:rPr>
                <w:sz w:val="20"/>
                <w:szCs w:val="20"/>
                <w:color w:val="auto"/>
              </w:rPr>
            </w:pPr>
            <w:r>
              <w:rPr>
                <w:rFonts w:ascii="Arial" w:cs="Arial" w:eastAsia="Arial" w:hAnsi="Arial"/>
                <w:sz w:val="18"/>
                <w:szCs w:val="18"/>
                <w:color w:val="auto"/>
              </w:rPr>
              <w:t>0.3%</w:t>
            </w: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(0.0)%</w:t>
            </w: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The increase in interest and other income (expense), net, for the three months ended October 29, 2011 compared to the three months ended October 30, 2010 was primarily due to revaluation of our foreign currency denominated tax reserves. This was partially offset by losses from write-downs of equity investments.</w:t>
      </w:r>
    </w:p>
    <w:p>
      <w:pPr>
        <w:spacing w:after="0" w:line="14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increase in interest and other income (expense), net, for the nine months ended October 29, 2011 compared to the nine months ended October 30, 2010 was primarily due to higher interest income on our investments due to a higher rate of return, gains from sales of investments, and lower currency translation losses during the nine months ended October 29, 2011.</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980" w:type="dxa"/>
            <w:vAlign w:val="bottom"/>
            <w:gridSpan w:val="3"/>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vMerge w:val="restart"/>
          </w:tcPr>
          <w:p>
            <w:pPr>
              <w:jc w:val="right"/>
              <w:ind w:right="547"/>
              <w:spacing w:after="0"/>
              <w:rPr>
                <w:sz w:val="20"/>
                <w:szCs w:val="20"/>
                <w:color w:val="auto"/>
              </w:rPr>
            </w:pPr>
            <w:r>
              <w:rPr>
                <w:rFonts w:ascii="Arial" w:cs="Arial" w:eastAsia="Arial" w:hAnsi="Arial"/>
                <w:sz w:val="14"/>
                <w:szCs w:val="14"/>
                <w:b w:val="1"/>
                <w:bCs w:val="1"/>
                <w:color w:val="auto"/>
              </w:rPr>
              <w:t>%</w:t>
            </w:r>
          </w:p>
        </w:tc>
        <w:tc>
          <w:tcPr>
            <w:tcW w:w="212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62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60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160" w:type="dxa"/>
            <w:vAlign w:val="bottom"/>
          </w:tcPr>
          <w:p>
            <w:pPr>
              <w:spacing w:after="0"/>
              <w:rPr>
                <w:sz w:val="11"/>
                <w:szCs w:val="11"/>
                <w:color w:val="auto"/>
              </w:rPr>
            </w:pPr>
          </w:p>
        </w:tc>
        <w:tc>
          <w:tcPr>
            <w:tcW w:w="1200" w:type="dxa"/>
            <w:vAlign w:val="bottom"/>
            <w:vMerge w:val="continue"/>
          </w:tcPr>
          <w:p>
            <w:pPr>
              <w:spacing w:after="0"/>
              <w:rPr>
                <w:sz w:val="11"/>
                <w:szCs w:val="11"/>
                <w:color w:val="auto"/>
              </w:rPr>
            </w:pPr>
          </w:p>
        </w:tc>
        <w:tc>
          <w:tcPr>
            <w:tcW w:w="9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30,</w:t>
            </w:r>
          </w:p>
        </w:tc>
        <w:tc>
          <w:tcPr>
            <w:tcW w:w="30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600" w:type="dxa"/>
            <w:vAlign w:val="bottom"/>
          </w:tcPr>
          <w:p>
            <w:pPr>
              <w:spacing w:after="0"/>
              <w:rPr>
                <w:sz w:val="14"/>
                <w:szCs w:val="14"/>
                <w:color w:val="auto"/>
              </w:rPr>
            </w:pPr>
          </w:p>
        </w:tc>
        <w:tc>
          <w:tcPr>
            <w:tcW w:w="268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jc w:val="right"/>
              <w:ind w:right="142"/>
              <w:spacing w:after="0"/>
              <w:rPr>
                <w:sz w:val="20"/>
                <w:szCs w:val="20"/>
                <w:color w:val="auto"/>
              </w:rPr>
            </w:pPr>
            <w:r>
              <w:rPr>
                <w:rFonts w:ascii="Arial" w:cs="Arial" w:eastAsia="Arial" w:hAnsi="Arial"/>
                <w:sz w:val="14"/>
                <w:szCs w:val="14"/>
                <w:b w:val="1"/>
                <w:bCs w:val="1"/>
                <w:color w:val="auto"/>
              </w:rPr>
              <w:t>2010</w:t>
            </w:r>
          </w:p>
        </w:tc>
        <w:tc>
          <w:tcPr>
            <w:tcW w:w="160" w:type="dxa"/>
            <w:vAlign w:val="bottom"/>
          </w:tcPr>
          <w:p>
            <w:pPr>
              <w:spacing w:after="0"/>
              <w:rPr>
                <w:sz w:val="14"/>
                <w:szCs w:val="14"/>
                <w:color w:val="auto"/>
              </w:rPr>
            </w:pPr>
          </w:p>
        </w:tc>
        <w:tc>
          <w:tcPr>
            <w:tcW w:w="1200" w:type="dxa"/>
            <w:vAlign w:val="bottom"/>
          </w:tcPr>
          <w:p>
            <w:pPr>
              <w:jc w:val="center"/>
              <w:ind w:right="87"/>
              <w:spacing w:after="0"/>
              <w:rPr>
                <w:sz w:val="20"/>
                <w:szCs w:val="20"/>
                <w:color w:val="auto"/>
              </w:rPr>
            </w:pPr>
            <w:r>
              <w:rPr>
                <w:rFonts w:ascii="Arial" w:cs="Arial" w:eastAsia="Arial" w:hAnsi="Arial"/>
                <w:sz w:val="14"/>
                <w:szCs w:val="14"/>
                <w:b w:val="1"/>
                <w:bCs w:val="1"/>
                <w:color w:val="auto"/>
                <w:w w:val="85"/>
              </w:rPr>
              <w:t>Change</w:t>
            </w:r>
          </w:p>
        </w:tc>
        <w:tc>
          <w:tcPr>
            <w:tcW w:w="980" w:type="dxa"/>
            <w:vAlign w:val="bottom"/>
          </w:tcPr>
          <w:p>
            <w:pPr>
              <w:jc w:val="right"/>
              <w:ind w:right="424"/>
              <w:spacing w:after="0"/>
              <w:rPr>
                <w:sz w:val="20"/>
                <w:szCs w:val="20"/>
                <w:color w:val="auto"/>
              </w:rPr>
            </w:pPr>
            <w:r>
              <w:rPr>
                <w:rFonts w:ascii="Arial" w:cs="Arial" w:eastAsia="Arial" w:hAnsi="Arial"/>
                <w:sz w:val="14"/>
                <w:szCs w:val="14"/>
                <w:b w:val="1"/>
                <w:bCs w:val="1"/>
                <w:color w:val="auto"/>
              </w:rPr>
              <w:t>2011</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82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60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2"/>
          </w:tcPr>
          <w:p>
            <w:pPr>
              <w:jc w:val="right"/>
              <w:ind w:right="164"/>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68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3,994</w:t>
            </w: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  1,605</w:t>
            </w:r>
          </w:p>
        </w:tc>
        <w:tc>
          <w:tcPr>
            <w:tcW w:w="1200" w:type="dxa"/>
            <w:vAlign w:val="bottom"/>
            <w:shd w:val="clear" w:color="auto" w:fill="CCEEFF"/>
          </w:tcPr>
          <w:p>
            <w:pPr>
              <w:jc w:val="right"/>
              <w:ind w:right="227"/>
              <w:spacing w:after="0"/>
              <w:rPr>
                <w:sz w:val="20"/>
                <w:szCs w:val="20"/>
                <w:color w:val="auto"/>
              </w:rPr>
            </w:pPr>
            <w:r>
              <w:rPr>
                <w:rFonts w:ascii="Arial" w:cs="Arial" w:eastAsia="Arial" w:hAnsi="Arial"/>
                <w:sz w:val="18"/>
                <w:szCs w:val="18"/>
                <w:color w:val="auto"/>
              </w:rPr>
              <w:t>148.8%</w:t>
            </w:r>
          </w:p>
        </w:tc>
        <w:tc>
          <w:tcPr>
            <w:tcW w:w="9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rPr>
              <w:t>$  9,340</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2,988</w:t>
            </w:r>
          </w:p>
        </w:tc>
        <w:tc>
          <w:tcPr>
            <w:tcW w:w="3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212.6%</w:t>
            </w:r>
          </w:p>
        </w:tc>
        <w:tc>
          <w:tcPr>
            <w:tcW w:w="0" w:type="dxa"/>
            <w:vAlign w:val="bottom"/>
          </w:tcPr>
          <w:p>
            <w:pPr>
              <w:spacing w:after="0"/>
              <w:rPr>
                <w:sz w:val="1"/>
                <w:szCs w:val="1"/>
                <w:color w:val="auto"/>
              </w:rPr>
            </w:pPr>
          </w:p>
        </w:tc>
      </w:tr>
      <w:tr>
        <w:trPr>
          <w:trHeight w:val="222"/>
        </w:trPr>
        <w:tc>
          <w:tcPr>
            <w:tcW w:w="3600" w:type="dxa"/>
            <w:vAlign w:val="bottom"/>
          </w:tcPr>
          <w:p>
            <w:pPr>
              <w:spacing w:after="0"/>
              <w:rPr>
                <w:sz w:val="20"/>
                <w:szCs w:val="20"/>
                <w:color w:val="auto"/>
              </w:rPr>
            </w:pPr>
            <w:r>
              <w:rPr>
                <w:rFonts w:ascii="Arial" w:cs="Arial" w:eastAsia="Arial" w:hAnsi="Arial"/>
                <w:sz w:val="18"/>
                <w:szCs w:val="18"/>
                <w:color w:val="auto"/>
              </w:rPr>
              <w:t>% of net revenue</w:t>
            </w:r>
          </w:p>
        </w:tc>
        <w:tc>
          <w:tcPr>
            <w:tcW w:w="2680" w:type="dxa"/>
            <w:vAlign w:val="bottom"/>
            <w:gridSpan w:val="2"/>
          </w:tcPr>
          <w:p>
            <w:pPr>
              <w:jc w:val="right"/>
              <w:ind w:right="92"/>
              <w:spacing w:after="0"/>
              <w:rPr>
                <w:sz w:val="20"/>
                <w:szCs w:val="20"/>
                <w:color w:val="auto"/>
              </w:rPr>
            </w:pPr>
            <w:r>
              <w:rPr>
                <w:rFonts w:ascii="Arial" w:cs="Arial" w:eastAsia="Arial" w:hAnsi="Arial"/>
                <w:sz w:val="18"/>
                <w:szCs w:val="18"/>
                <w:color w:val="auto"/>
              </w:rPr>
              <w:t>0.5%</w:t>
            </w: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0.2%</w:t>
            </w:r>
          </w:p>
        </w:tc>
        <w:tc>
          <w:tcPr>
            <w:tcW w:w="1200" w:type="dxa"/>
            <w:vAlign w:val="bottom"/>
          </w:tcPr>
          <w:p>
            <w:pPr>
              <w:spacing w:after="0"/>
              <w:rPr>
                <w:sz w:val="19"/>
                <w:szCs w:val="19"/>
                <w:color w:val="auto"/>
              </w:rPr>
            </w:pPr>
          </w:p>
        </w:tc>
        <w:tc>
          <w:tcPr>
            <w:tcW w:w="980" w:type="dxa"/>
            <w:vAlign w:val="bottom"/>
          </w:tcPr>
          <w:p>
            <w:pPr>
              <w:jc w:val="right"/>
              <w:ind w:right="64"/>
              <w:spacing w:after="0"/>
              <w:rPr>
                <w:sz w:val="20"/>
                <w:szCs w:val="20"/>
                <w:color w:val="auto"/>
              </w:rPr>
            </w:pPr>
            <w:r>
              <w:rPr>
                <w:rFonts w:ascii="Arial" w:cs="Arial" w:eastAsia="Arial" w:hAnsi="Arial"/>
                <w:sz w:val="18"/>
                <w:szCs w:val="18"/>
                <w:color w:val="auto"/>
              </w:rPr>
              <w:t>0.3%</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0.1%</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During the three months ended October 29, 2011 and October 30, 2010, our effective tax rate was an income tax provision of 2.0% and 0.6%, respectively. During the nine months ended October 29, 2011 and October 30, 2010, our effective tax rate was an income tax provision of 1.7% and 0.4%, respectively. The income tax provision for these periods was affected by non-tax-deductible expenses such as stock-based compensation expense and the amortization of acquired intangibles.</w:t>
      </w:r>
    </w:p>
    <w:p>
      <w:pPr>
        <w:spacing w:after="0" w:line="14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During the three months ended October 29, 2011, the provision for income taxes consisted of the current income tax liability of $6.0 million, and $0.8 million consisting mostly of a tax provision-to-tax return adjustment. These amounts were partially offset by a net reduction of $2.8 million in unrecognized tax benefits. The reduction in unrecognized tax benefits was driven by $4.6 million due to expiration of the statute of limitations in a non-U.S. jurisdiction, offset by new unrecognized tax benefits of $1.8 million due to current year estimates. During the three months ended October 30, 2010, the provision for income taxes was impacted by the current income tax liability of $5.4 million, a reduction of unrecognized tax benefits for $2.0 million due to the expiration of the statute of limitations in a non-U.S. jurisdiction, an increase in unrecognized tax benefits of $1.9 million due to current year estimates, $3.4 million income tax benefit due to release of valuation allowance from the completion of an audit, $1.8 million benefit for a ruling denial related to our supply chain structure and a $1.5 million increase in a U.S. subsidiary due the defeat of a state proposition.</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During the nine months ended October 29, 2011, the provision for income taxes consisted of the current income tax liability of $14.3 million, a reduction of unrecognized tax benefits of $11.5 million due to the expiration of the statute of limitations in multiple jurisdictions, an increase in unrecognized tax benefits of $5.5 million, $0.8 million consisting mostly of a tax provision-to-tax return adjustment and a settlement of a non-U.S. audit for $0.2 million. During the nine months ended October 30, 2010, the provision for income taxes was impacted by the current income tax liability of $12.5 million, a reduction of unrecognized tax benefits of $10.7 million due to the expiration of the statute of limitations in multiple jurisdictions, an increase in unrecognized tax benefits of $5.4 million dollars, a decrease in deferred tax asset of $1.5 million related to employee stock options for a non-U.S. subsidiary, $1.0 million withholding tax on the disposition of an investment, $3.4 million income tax benefit due to release of valuation allowance from the completion of an audit, $1.8 million benefit for a ruling denial related to our supply chain structure and a $1.5 million increase in a U.S. subsidiary due to the defeat of a state proposition.</w:t>
      </w:r>
    </w:p>
    <w:p>
      <w:pPr>
        <w:spacing w:after="0" w:line="118"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potential settlement with tax authorities and the expiration of applicable statutes of limitations. However, the amount cannot be reasonably estimated as we will have negotiations with various tax authorities throughout the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Our principal source of liquidity as of October 29, 2011 consisted of approximately $2.4 billion of cash, cash equivalents and short-term investments. We believe that our existing cash, cash equivalents and short term investments, together with cash generated from operations, will be sufficient to cover our working capital needs, capital expenditures, investment requirements and commitments for at least the next 12 months.</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Net cash provided by operating activities was $702.1 million for the nine months ended October 29, 2011. The cash inflows from operations for the nine months ended October 29, 2011 were primarily due to $740.6 million of net income adjusted for non-cash items, offset by changes in assets and liabilities of $38.5 million.</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Significant working capital changes driving cash outflows for the nine months ended October 29, 2011 included an increase in inventory of $64.5 million. Working capital changes driving cash inflows included an increase in accounts payable of $23.4 million and a decrease in prepaid expenses and other current assets of $14.8 million.</w:t>
      </w:r>
    </w:p>
    <w:p>
      <w:pPr>
        <w:spacing w:after="0" w:line="140"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Net cash provided by operating activities was $942.7 million for the nine months ended October 30, 2010. The cash inflows from operations in the nine months ended October 30, 2010 were primarily due to $904.1 million of net income adjusted for non-cash items. Increases in working capital during the nine months ended October 30, 2010 included an increase in accounts payable of $68.9 million, due primarily to higher levels of purchasing. Deferred income increased by $28.8 million, due primarily to our distributors increasing inventory levels in anticipation of increased sales to their end customers. These increases were partially offset by an increase in accounts receivable of $111.2 million, due to higher levels of revenue and seasonal patterns.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Net cash used in investing activities was $593.9 million for the nine months ended October 29, 2011 compared to $441.6 million for the nine months ended October 30, 2010. The net cash used in investing activities in the nine months ended October 29, 2011 was primarily due to net purchases of investments of $503.2 million. In addition, we paid $62.3 million for the purchase of property and equipment, $18.8 million for acquisitions and $9.6 million for technology licenses.</w:t>
      </w:r>
    </w:p>
    <w:p>
      <w:pPr>
        <w:spacing w:after="0" w:line="143"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The net cash used for the nine months ended October 30, 2010 was primarily due to the net purchase of investments of $345.0 million, payment of $20.7 million for an acquisition, purchases of property and equipment of $63.3 million and purchases of technology licenses for $12.6 million.</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(Used in) Financing Activities</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Net cash used in financing activities was $1.1 billion for the nine months ended October 29, 2011 compared to net cash provided by financing activities of $36.3 million for the nine months ended October 30, 2010. For the nine months ended October 29, 2011, net cash used in financing activities was primarily attributable to repurchases under our stock repurchase program of 74.3 million shares of our outstanding common shares. The cash outflow was partially offset by $50.4 million of proceeds from the issuance of common shares under our stock option and employee stock purchase plans. For the nine months ended October 30, 2010, net cash provided by financing activities was primarily attributable to proceeds from the issuance of common shares under our stock option and employee stock purchase plans, partially offset by repurchases under our stock repurchase program.</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right="180" w:firstLine="456"/>
        <w:spacing w:after="0" w:line="370" w:lineRule="auto"/>
        <w:rPr>
          <w:sz w:val="20"/>
          <w:szCs w:val="20"/>
          <w:color w:val="auto"/>
        </w:rPr>
      </w:pPr>
      <w:r>
        <w:rPr>
          <w:rFonts w:ascii="Arial" w:cs="Arial" w:eastAsia="Arial" w:hAnsi="Arial"/>
          <w:sz w:val="15"/>
          <w:szCs w:val="15"/>
          <w:color w:val="auto"/>
        </w:rPr>
        <w:t>As of October 29, 2011, we did not have any material off-balance sheet arrangements, as defined in Item 303(a)(4)(ii) of SEC Regulation S-K, other than the indemnification, commitments and guarantee arrangements discussed in “Note 10 – Commitments and Contingencies” in Part I, Item 1 of this Form 10-Q.</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 and Accounting Changes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“Note 2 – Recent Accounting Pronouncements and Accounting Changes” in Part 1, Item 1 of this Form 10-Q.</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presented our contractual obligations at January 29, 2011 in our Annual Report on Form 10-K for the fiscal year then ended. There has been no material changes outside the ordinary course of business in those obligations during three months ended October 29, 2011.</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Our interest rate risk relates primarily to our fixed income short-term investment portfolio as we did not have any outstanding debt as of</w:t>
      </w:r>
      <w:r>
        <w:rPr>
          <w:rFonts w:ascii="Arial" w:cs="Arial" w:eastAsia="Arial" w:hAnsi="Arial"/>
          <w:sz w:val="18"/>
          <w:szCs w:val="18"/>
          <w:i w:val="1"/>
          <w:iCs w:val="1"/>
          <w:color w:val="auto"/>
        </w:rPr>
        <w:t xml:space="preserve"> </w:t>
      </w:r>
      <w:r>
        <w:rPr>
          <w:rFonts w:ascii="Arial" w:cs="Arial" w:eastAsia="Arial" w:hAnsi="Arial"/>
          <w:sz w:val="18"/>
          <w:szCs w:val="18"/>
          <w:color w:val="auto"/>
        </w:rPr>
        <w:t>October 29, 2011. We maintain an investment policy that requires minimum credit ratings, diversification of credit risk and limits the long-term interest rate risk by requiring maturities of less than five years. We invest our excess cash primarily in highly liquid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October 29, 2011, a hypothetical 100 basis point increase in interest rates across all maturities would result in a $15.3 million incremental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of October 29, 2011, our investment portfolio included $24.6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October 29, 2011, the fair value of auction rate securities was $1.3 million less than par value and recorded in long-term investments.</w:t>
      </w:r>
    </w:p>
    <w:p>
      <w:pPr>
        <w:spacing w:after="0" w:line="120"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Based on our balance of approximately $2.4 billion in cash, cash equivalents and short-term investments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income (loss), a component of shareholders’ equity.</w:t>
      </w:r>
    </w:p>
    <w:p>
      <w:pPr>
        <w:spacing w:after="0" w:line="143"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these investments under the cost method when</w:t>
      </w:r>
      <w:r>
        <w:rPr>
          <w:rFonts w:ascii="Arial" w:cs="Arial" w:eastAsia="Arial" w:hAnsi="Arial"/>
          <w:sz w:val="18"/>
          <w:szCs w:val="18"/>
          <w:i w:val="1"/>
          <w:iCs w:val="1"/>
          <w:color w:val="auto"/>
        </w:rPr>
        <w:t xml:space="preserve"> </w:t>
      </w:r>
      <w:r>
        <w:rPr>
          <w:rFonts w:ascii="Arial" w:cs="Arial" w:eastAsia="Arial" w:hAnsi="Arial"/>
          <w:sz w:val="18"/>
          <w:szCs w:val="18"/>
          <w:color w:val="auto"/>
        </w:rPr>
        <w:t>we do not have the ability to exercise significant influence or control over the operations of these companies and under the equity method when we have the ability to exercise significant influence, but do not have control. Carrying value of these equity investments was $6.1 million at October 29, 2011,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i w:val="1"/>
          <w:iCs w:val="1"/>
          <w:color w:val="auto"/>
        </w:rPr>
        <w:t xml:space="preserve">Commodity Price Risk. </w:t>
      </w:r>
      <w:r>
        <w:rPr>
          <w:rFonts w:ascii="Arial" w:cs="Arial" w:eastAsia="Arial" w:hAnsi="Arial"/>
          <w:sz w:val="16"/>
          <w:szCs w:val="16"/>
          <w:color w:val="auto"/>
        </w:rPr>
        <w:t>We are subject to risk from fluctuating market prices of certain commodity raw materials, particularly gold, that are incorporated into our</w:t>
      </w:r>
      <w:r>
        <w:rPr>
          <w:rFonts w:ascii="Arial" w:cs="Arial" w:eastAsia="Arial" w:hAnsi="Arial"/>
          <w:sz w:val="16"/>
          <w:szCs w:val="16"/>
          <w:i w:val="1"/>
          <w:iCs w:val="1"/>
          <w:color w:val="auto"/>
        </w:rPr>
        <w:t xml:space="preserve"> </w:t>
      </w:r>
      <w:r>
        <w:rPr>
          <w:rFonts w:ascii="Arial" w:cs="Arial" w:eastAsia="Arial" w:hAnsi="Arial"/>
          <w:sz w:val="16"/>
          <w:szCs w:val="16"/>
          <w:color w:val="auto"/>
        </w:rPr>
        <w:t>end products. Supplies for such commodities may from time-to-time become restricted, or general market factors and conditions may affect the pricing of such commodities. Over the past few years, the price of gold increased significantly and certain of our supply chain partners assess surcharges to compensate for the rising commodity prices. We are currently restructuring certain manufacturing processes to use copper instead of gold in our products. While we continue to attempt to mitigate the risk of similar increases in commodities-related costs, there can be no assurance that we will be able to successfully safeguard against potential short-term and long-term commodities price fluctuations. We do not enter into formal hedging arrangements to mitigate against commodity risk.</w:t>
      </w:r>
    </w:p>
    <w:p>
      <w:pPr>
        <w:spacing w:after="0" w:line="120" w:lineRule="exact"/>
        <w:rPr>
          <w:sz w:val="20"/>
          <w:szCs w:val="20"/>
          <w:color w:val="auto"/>
        </w:rPr>
      </w:pPr>
    </w:p>
    <w:p>
      <w:pPr>
        <w:ind w:right="180"/>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other income and expense.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interest and other income (expense), net. We do not hedge our tax liabilities denominated in local currency on our balance sheet as the timing of these tax liabilities becoming cash flows is not deemed to be certain.</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45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 We expect our hedges of foreign currency exposures to be highly effective and offset a significant portion of the short-term impact of changes in exchange rates.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October 29, 2011, our disclosure controls and procedures were effective to provide reasonable assurance.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October 29, 2011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information set forth under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29, 2011 and subsequent reports on Forms 10-Q and 8-K. Many of these risks and uncertainties are beyond our control, including business cycles and seasonal trends of the computing, semiconductor and related industries.</w:t>
      </w:r>
    </w:p>
    <w:p>
      <w:pPr>
        <w:spacing w:after="0" w:line="19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0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right="68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or demand for new products requested by our customers;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increases in assembly costs due to commodity price increases, such as the price of gold;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our ability to anticipate and adapt to changes in technology and evolving industry standards and our customers’ changing demands;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successfully transition to smaller geometry process technologies or achieve higher levels of design integration;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360"/>
          </w:cols>
          <w:pgMar w:left="240" w:top="459" w:right="29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right="42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revenues or operating results are below our estimates or the estimates or expectations of public market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7"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global credit and financial markets have experienced and in some cases continue to experience extreme volatility and disruptions, including severely diminished liquidity and credit availability, increased concerns about inflation and deflation and the downgrade of U.S. debt and exposure risks on other sovereign debts, decreased consumer confidence, lower economic growth, volatile energy costs, increased unemployment rates, and uncertainty about economic stability. We cannot predict the timing, strength or duration of any economic slowdown or subsequent global economic recovery in the hard disk drive or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199"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hard disk drive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Hard disk drive manufacturers tend to order more components than they may need during growth periods, and sharply reduce orders for components during periods of contraction. Rapid technological changes in the hard disk drive industry often result in shifts in market share among the industry’s participants. If the hard disk drive manufacturers using our products do not retain or increase their market share, our sales may decrease.</w:t>
      </w:r>
    </w:p>
    <w:p>
      <w:pPr>
        <w:spacing w:after="0" w:line="107"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In addition, the hard disk drive industry has experienced consolidation over the past several years. For example, during fiscal 2010, Toshiba acquired the hard disk drive operations of Fujitsu. In March 2011, Western Digital announced that it plans to acquire Hitachi’s hard disk drive unit; and in April 2011, Seagate announced that it plans to acquire Samsung’s hard disk drive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44"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Furthermore, future changes in the nature of information storage products could reduce demand for traditional hard disk drives. For example, products using alternative technologies, such as solid-state flash drives and other storage technologies could become a source of competition to manufacturers of hard disk drives. We offer solid state drive controllers, leveraging our technology in hard drives, and believe we will maintain significant market share.</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the intensely competitive markets, and our failure to compete effectively would harm our results of operations.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 As competition in the markets in which we operate continues to increase, our revenues and gross margins may be harmed.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1" w:lineRule="exact"/>
        <w:rPr>
          <w:sz w:val="20"/>
          <w:szCs w:val="20"/>
          <w:color w:val="auto"/>
        </w:rPr>
      </w:pPr>
    </w:p>
    <w:p>
      <w:pPr>
        <w:jc w:val="both"/>
        <w:ind w:right="520" w:firstLine="456"/>
        <w:spacing w:after="0" w:line="256" w:lineRule="auto"/>
        <w:rPr>
          <w:sz w:val="20"/>
          <w:szCs w:val="20"/>
          <w:color w:val="auto"/>
        </w:rPr>
      </w:pPr>
      <w:r>
        <w:rPr>
          <w:rFonts w:ascii="Arial" w:cs="Arial" w:eastAsia="Arial" w:hAnsi="Arial"/>
          <w:sz w:val="18"/>
          <w:szCs w:val="18"/>
          <w:color w:val="auto"/>
        </w:rPr>
        <w:t>In addition, the semiconductor providers competing for the mobile and wireless communication markets have experienced consolidation recently. In September 2011, Broadcom Corporation announced that it plans to acquire NetLogic Microsystems. Consolidation among our competitors could lead to a changing competitive landscape, capabilities, and market share, which could harm our results of operations. On the other hand, this could lead to increased opportunities for our products.</w:t>
      </w:r>
    </w:p>
    <w:p>
      <w:pPr>
        <w:spacing w:after="0" w:line="224"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59"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100" w:firstLine="456"/>
        <w:spacing w:after="0" w:line="287"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from low utilization levels to the high utilization levels required due to a rapid increase in demand. Although we have entered into contractual commitments to supply specified levels of products to some of our customers, we may not have sufficient levels of production capacity with all of our foundries.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45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332" w:lineRule="auto"/>
        <w:rPr>
          <w:sz w:val="20"/>
          <w:szCs w:val="20"/>
          <w:color w:val="auto"/>
        </w:rPr>
      </w:pPr>
      <w:r>
        <w:rPr>
          <w:rFonts w:ascii="Arial" w:cs="Arial" w:eastAsia="Arial" w:hAnsi="Arial"/>
          <w:sz w:val="16"/>
          <w:szCs w:val="16"/>
          <w:color w:val="auto"/>
        </w:rPr>
        <w:t>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85"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our semiconductor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time-to-time become restricted, or general market factors and conditions may affect pricing of such commodities. Over the past few years, the price of gold increased significantly and certain of our supply chain partners assess surcharges to compensate for the resultant increase in manufacturing costs. As a result, our gross margins may be adversely affected by significant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For the nine months ended October 29, 2011, one customer accounted for a total of approximately 21% of our net revenue. Sales to our largest customers have fluctuated significantly from period to period primarily due to the timing and number of design wins with each customer, natural disasters that may divert a customer’s operations, as well as the continued diversification of our customer base as we expand into new markets, and will likely continue to fluctuate dramatically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2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252"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right="40"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8"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Recently, many areas of Thailand have sustained massive damage from flooding, which has disrupted the global supply chain for hard disk drives. Due to cross dependencies, supply chain disruptions stemming from the flooding in Thailand will negatively impact the demand for our products in the short term. We have a limited ability to predict the timing of the supply chain correction. In addition, the market share of our customers could be adversely impacted on a long-term basis, which could negatively affect our results of operations.</w:t>
      </w:r>
    </w:p>
    <w:p>
      <w:pPr>
        <w:spacing w:after="0" w:line="143"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new silicon devices is highly complex, and due to supply chain cross-dependencies and other issues, we may experience delays in completing the development, production and introduction of our new products. In addition, the success of our business also depends on market acceptance of new consumer products and technologies, which contain our products. Even if new and enhanced products are introduced to the market, we may not be able to achieve market acceptance of them in a timely manner.</w:t>
      </w:r>
    </w:p>
    <w:p>
      <w:pPr>
        <w:spacing w:after="0" w:line="120"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in late fiscal 2009 and early in fiscal 2010, we implemented certain cost reduction measures to reduce operating expenses.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4"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80" w:firstLine="456"/>
        <w:spacing w:after="0" w:line="312" w:lineRule="auto"/>
        <w:rPr>
          <w:sz w:val="20"/>
          <w:szCs w:val="20"/>
          <w:color w:val="auto"/>
        </w:rPr>
      </w:pPr>
      <w:r>
        <w:rPr>
          <w:rFonts w:ascii="Arial" w:cs="Arial" w:eastAsia="Arial" w:hAnsi="Arial"/>
          <w:sz w:val="15"/>
          <w:szCs w:val="15"/>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us.</w:t>
      </w:r>
    </w:p>
    <w:p>
      <w:pPr>
        <w:spacing w:after="0" w:line="18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13"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evolving industry standards.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w:t>
      </w:r>
    </w:p>
    <w:p>
      <w:pPr>
        <w:spacing w:after="0" w:line="208"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We may not be able to maintain or improve our gross margins. Our financial results could suffer if we are unable to offset any reductions in our average selling prices by other cost reductions through efficiencies and other means.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Fluctuations in the mix and types of our products may also affect the extent to which we are able to recover the fixed costs and investments associated with a particular product, and as a result can harm our financial results.</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have to do so again in the future.</w:t>
      </w:r>
    </w:p>
    <w:p>
      <w:pPr>
        <w:spacing w:after="0" w:line="224"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74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increased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87% of our net revenue in the nine months ended October 29, 2011, 81% of our net revenue in fiscal 2011 and 89% of our net revenue in fiscal 2010.</w:t>
      </w:r>
    </w:p>
    <w:p>
      <w:pPr>
        <w:spacing w:after="0" w:line="11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As of October 29, 2011, we had substantial operations outside of the U.S.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right="38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natural disasters;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sudden disruption of the supply chain and/or the manufacture of our customer’s products caused by any of the foregoing risks could impact our results of operations by impairing our ability to timely and efficiently deliver our products. For example, the earthquake and tsunami that affected Japan in March 2011 disrupted the global supply chain for certain components important to our products and the recent flooding in Thailand has affected the supply chain and manufacturing of the products for a number of our customers.</w:t>
      </w:r>
    </w:p>
    <w:p>
      <w:pPr>
        <w:spacing w:after="0" w:line="14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approximately $2.0 billion of goodwill and $102.4 million of intangible assets on our balance sheet as of October 29, 2011. Under GAAP, we are required to review our intangible assets for impairment whenever events or changes in circumstances indicate that the carrying value of these assets may not be recoverable. We perform an annual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120"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In prior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We obtained from the Minister of Finance of Bermuda under the Exempt Undertakings Tax Protection Act 1966, as amended, an undertaking that, in the event that Bermuda enacts legislation imposing tax computed on income and capital gains, those taxes should not apply to us until March 28, 2016.</w:t>
      </w:r>
    </w:p>
    <w:p>
      <w:pPr>
        <w:spacing w:after="0" w:line="8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w:t>
      </w:r>
    </w:p>
    <w:p>
      <w:pPr>
        <w:spacing w:after="0" w:line="143"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 beneficial tax program that includes reduced tax rates and exemption of certain income. The first program was approved for MISL in 1995 and the most recent was approved in 2003. Marvell DSPC has five approved programs, with the first approved in 1990 and the most recent a benefited enterprise with 2010 as the election year. The benefit period is generally 10 to 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years 2008 through 2020. A new amendment to the Encouragement law came into effect in 2011. MISL and DSPC will not apply the new amendment to the Encouragement law prior to fiscal year 2023.</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fiscal 2007, our Switzerland subsidiary received a ten-year Federal and Cantonal tax holiday on revenues from research and design and wafer supply trading activities that will expire in 2017. In fiscal 2011, we met the requirements of the initial five year period and we will receive the ongoing tax holiday benefits provided that we continue to meet the ongoing requirements.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often made available under licenses,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99" w:lineRule="exact"/>
        <w:rPr>
          <w:sz w:val="20"/>
          <w:szCs w:val="20"/>
          <w:color w:val="auto"/>
        </w:rPr>
      </w:pPr>
    </w:p>
    <w:p>
      <w:pPr>
        <w:ind w:right="2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w:t>
      </w:r>
    </w:p>
    <w:p>
      <w:pPr>
        <w:spacing w:after="0" w:line="188" w:lineRule="exact"/>
        <w:rPr>
          <w:sz w:val="20"/>
          <w:szCs w:val="20"/>
          <w:color w:val="auto"/>
        </w:rPr>
      </w:pPr>
    </w:p>
    <w:p>
      <w:pPr>
        <w:jc w:val="both"/>
        <w:ind w:right="26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40" w:firstLine="456"/>
        <w:spacing w:after="0" w:line="288"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10 – Commitments and Contingencies” of our notes to the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The ultimate outcome of these actions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80"/>
          </w:cols>
          <w:pgMar w:left="240" w:top="459" w:right="27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could not invoke the “safe harbor” for the forward-looking statements provision of the Private Securities Litigation Reform Act of 1995 for three years following the entry of judgment.</w:t>
      </w:r>
    </w:p>
    <w:p>
      <w:pPr>
        <w:spacing w:after="0" w:line="51"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On May 8, 2008, we announced that we had reached an agreement with the SEC that concluded the SEC’s formal investigation of us with respect to our historic stock option granting practices. As a result of our SEC settlement, we forfeited for three years following the entry of judgment, or until June 20, 2011, the ability to invoke the “safe harbor” for forward-looking statements provided by the Private Securities Litigation Reform Act of 1995. This safe harbor would have provided us with enhanced protection from liability based on forward-looking statements if the forward-looking statements were either accompanied by meaningful cautionary statements or were made without actual knowledge that they were false or misleading. Because we could not benefit from the statutory safe harbor from June 2008 through June 2011, it may be more difficult for us to defend against any future claims based on any forward-looking statements issued during that timeframe.</w:t>
      </w:r>
    </w:p>
    <w:p>
      <w:pPr>
        <w:spacing w:after="0" w:line="228"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224"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4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right="200" w:firstLine="456"/>
        <w:spacing w:after="0" w:line="253" w:lineRule="auto"/>
        <w:rPr>
          <w:sz w:val="20"/>
          <w:szCs w:val="20"/>
          <w:color w:val="auto"/>
        </w:rPr>
      </w:pPr>
      <w:r>
        <w:rPr>
          <w:rFonts w:ascii="Arial" w:cs="Arial" w:eastAsia="Arial" w:hAnsi="Arial"/>
          <w:sz w:val="18"/>
          <w:szCs w:val="18"/>
          <w:color w:val="auto"/>
        </w:rPr>
        <w:t>Dr. Sehat Sutardja, our President and Chief Executive Officer, and Weili Dai, who serves as the Vice President and General Manager of Communications and Consumer Business of Marvell Semiconductor, Inc., are husband and wife, and Dr. Sehat Sutardja and Dr. Pantas Sutardja, our Vice President, Chief Technology Officer and Chief Research and Development Officer, are brothers. Together, these three individuals held approximately 17% of our outstanding common shares as of October 29, 2011.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9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 and the failure of any critical information system may result in serious harm to our business.</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damage or interruption from a number of potential sources including natural disasters, viruses, destructive or inadequate code, power failures, cyber attacks, and other events.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and economic and availability considerations. However, if our insurance coverage is inadequate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2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1"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providing for a classified board of directors; and</w:t>
      </w:r>
    </w:p>
    <w:p>
      <w:pPr>
        <w:spacing w:after="0" w:line="90" w:lineRule="exact"/>
        <w:rPr>
          <w:rFonts w:ascii="Arial" w:cs="Arial" w:eastAsia="Arial" w:hAnsi="Arial"/>
          <w:sz w:val="18"/>
          <w:szCs w:val="18"/>
          <w:color w:val="auto"/>
        </w:rPr>
      </w:pPr>
    </w:p>
    <w:p>
      <w:pPr>
        <w:ind w:left="900" w:right="80" w:hanging="325"/>
        <w:spacing w:after="0" w:line="232"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22"/>
          <w:szCs w:val="22"/>
          <w:color w:val="auto"/>
          <w:vertAlign w:val="subscript"/>
        </w:rPr>
        <w:t>3</w:t>
      </w:r>
      <w:r>
        <w:rPr>
          <w:rFonts w:ascii="Arial" w:cs="Arial" w:eastAsia="Arial" w:hAnsi="Arial"/>
          <w:sz w:val="18"/>
          <w:szCs w:val="18"/>
          <w:color w:val="auto"/>
        </w:rPr>
        <w:t>% of the directors holding office at the date of the Board meeting to approve the action.</w:t>
      </w:r>
    </w:p>
    <w:p>
      <w:pPr>
        <w:spacing w:after="0" w:line="150" w:lineRule="exact"/>
        <w:rPr>
          <w:sz w:val="20"/>
          <w:szCs w:val="20"/>
          <w:color w:val="auto"/>
        </w:rPr>
      </w:pPr>
    </w:p>
    <w:p>
      <w:pPr>
        <w:ind w:right="460" w:firstLine="456"/>
        <w:spacing w:after="0" w:line="259"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 However, beginning in calendar year 2011, our classified board of directors will be phased out and by calendar year 2013 all directors will be subject to annual election.</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380"/>
          </w:cols>
          <w:pgMar w:left="240" w:top="459" w:right="27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October 29, 2011.</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October 29, 2011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8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7"/>
              </w:rPr>
              <w:t>Total Number of Shares</w:t>
            </w:r>
          </w:p>
        </w:tc>
        <w:tc>
          <w:tcPr>
            <w:tcW w:w="380" w:type="dxa"/>
            <w:vAlign w:val="bottom"/>
          </w:tcPr>
          <w:p>
            <w:pPr>
              <w:spacing w:after="0"/>
              <w:rPr>
                <w:sz w:val="14"/>
                <w:szCs w:val="14"/>
                <w:color w:val="auto"/>
              </w:rPr>
            </w:pPr>
          </w:p>
        </w:tc>
        <w:tc>
          <w:tcPr>
            <w:tcW w:w="184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87"/>
              </w:rPr>
              <w:t>Approximated Dollar Value of</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8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Purchased as Part of Publicly</w:t>
            </w:r>
          </w:p>
        </w:tc>
        <w:tc>
          <w:tcPr>
            <w:tcW w:w="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0"/>
              </w:rPr>
              <w:t>Shares that May Yet Be</w:t>
            </w:r>
          </w:p>
        </w:tc>
        <w:tc>
          <w:tcPr>
            <w:tcW w:w="0" w:type="dxa"/>
            <w:vAlign w:val="bottom"/>
          </w:tcPr>
          <w:p>
            <w:pPr>
              <w:spacing w:after="0"/>
              <w:rPr>
                <w:sz w:val="1"/>
                <w:szCs w:val="1"/>
                <w:color w:val="auto"/>
              </w:rPr>
            </w:pPr>
          </w:p>
        </w:tc>
      </w:tr>
      <w:tr>
        <w:trPr>
          <w:trHeight w:val="149"/>
        </w:trPr>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3300" w:type="dxa"/>
            <w:vAlign w:val="bottom"/>
            <w:gridSpan w:val="2"/>
            <w:vMerge w:val="restart"/>
          </w:tcPr>
          <w:p>
            <w:pPr>
              <w:spacing w:after="0"/>
              <w:rPr>
                <w:sz w:val="12"/>
                <w:szCs w:val="12"/>
                <w:color w:val="auto"/>
              </w:rPr>
            </w:pPr>
          </w:p>
        </w:tc>
        <w:tc>
          <w:tcPr>
            <w:tcW w:w="1060" w:type="dxa"/>
            <w:vAlign w:val="bottom"/>
            <w:gridSpan w:val="2"/>
          </w:tcPr>
          <w:p>
            <w:pPr>
              <w:jc w:val="right"/>
              <w:ind w:right="60"/>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740" w:type="dxa"/>
            <w:vAlign w:val="bottom"/>
          </w:tcPr>
          <w:p>
            <w:pPr>
              <w:spacing w:after="0"/>
              <w:rPr>
                <w:sz w:val="12"/>
                <w:szCs w:val="12"/>
                <w:color w:val="auto"/>
              </w:rPr>
            </w:pPr>
          </w:p>
        </w:tc>
        <w:tc>
          <w:tcPr>
            <w:tcW w:w="1620" w:type="dxa"/>
            <w:vAlign w:val="bottom"/>
            <w:gridSpan w:val="3"/>
          </w:tcPr>
          <w:p>
            <w:pPr>
              <w:jc w:val="right"/>
              <w:ind w:right="780"/>
              <w:spacing w:after="0" w:line="149" w:lineRule="exact"/>
              <w:rPr>
                <w:sz w:val="20"/>
                <w:szCs w:val="20"/>
                <w:color w:val="auto"/>
              </w:rPr>
            </w:pPr>
            <w:r>
              <w:rPr>
                <w:rFonts w:ascii="Arial" w:cs="Arial" w:eastAsia="Arial" w:hAnsi="Arial"/>
                <w:sz w:val="14"/>
                <w:szCs w:val="14"/>
                <w:b w:val="1"/>
                <w:bCs w:val="1"/>
                <w:color w:val="auto"/>
                <w:w w:val="87"/>
              </w:rPr>
              <w:t>Average Price</w:t>
            </w:r>
          </w:p>
        </w:tc>
        <w:tc>
          <w:tcPr>
            <w:tcW w:w="208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Announced Plans or</w:t>
            </w:r>
          </w:p>
        </w:tc>
        <w:tc>
          <w:tcPr>
            <w:tcW w:w="380" w:type="dxa"/>
            <w:vAlign w:val="bottom"/>
          </w:tcPr>
          <w:p>
            <w:pPr>
              <w:spacing w:after="0"/>
              <w:rPr>
                <w:sz w:val="12"/>
                <w:szCs w:val="12"/>
                <w:color w:val="auto"/>
              </w:rPr>
            </w:pPr>
          </w:p>
        </w:tc>
        <w:tc>
          <w:tcPr>
            <w:tcW w:w="1840" w:type="dxa"/>
            <w:vAlign w:val="bottom"/>
            <w:gridSpan w:val="3"/>
          </w:tcPr>
          <w:p>
            <w:pPr>
              <w:jc w:val="right"/>
              <w:ind w:right="100"/>
              <w:spacing w:after="0" w:line="149" w:lineRule="exact"/>
              <w:rPr>
                <w:sz w:val="20"/>
                <w:szCs w:val="20"/>
                <w:color w:val="auto"/>
              </w:rPr>
            </w:pPr>
            <w:r>
              <w:rPr>
                <w:rFonts w:ascii="Arial" w:cs="Arial" w:eastAsia="Arial" w:hAnsi="Arial"/>
                <w:sz w:val="14"/>
                <w:szCs w:val="14"/>
                <w:b w:val="1"/>
                <w:bCs w:val="1"/>
                <w:color w:val="auto"/>
                <w:w w:val="85"/>
              </w:rPr>
              <w:t>Purchased Under the Plans or</w:t>
            </w:r>
          </w:p>
        </w:tc>
        <w:tc>
          <w:tcPr>
            <w:tcW w:w="0" w:type="dxa"/>
            <w:vAlign w:val="bottom"/>
          </w:tcPr>
          <w:p>
            <w:pPr>
              <w:spacing w:after="0"/>
              <w:rPr>
                <w:sz w:val="1"/>
                <w:szCs w:val="1"/>
                <w:color w:val="auto"/>
              </w:rPr>
            </w:pPr>
          </w:p>
        </w:tc>
      </w:tr>
      <w:tr>
        <w:trPr>
          <w:trHeight w:val="168"/>
        </w:trPr>
        <w:tc>
          <w:tcPr>
            <w:tcW w:w="400" w:type="dxa"/>
            <w:vAlign w:val="bottom"/>
            <w:tcBorders>
              <w:bottom w:val="single" w:sz="8" w:color="auto"/>
            </w:tcBorders>
            <w:vMerge w:val="continue"/>
          </w:tcPr>
          <w:p>
            <w:pPr>
              <w:spacing w:after="0"/>
              <w:rPr>
                <w:sz w:val="14"/>
                <w:szCs w:val="14"/>
                <w:color w:val="auto"/>
              </w:rPr>
            </w:pPr>
          </w:p>
        </w:tc>
        <w:tc>
          <w:tcPr>
            <w:tcW w:w="3300" w:type="dxa"/>
            <w:vAlign w:val="bottom"/>
            <w:gridSpan w:val="2"/>
            <w:vMerge w:val="continue"/>
          </w:tcPr>
          <w:p>
            <w:pPr>
              <w:spacing w:after="0"/>
              <w:rPr>
                <w:sz w:val="14"/>
                <w:szCs w:val="14"/>
                <w:color w:val="auto"/>
              </w:rPr>
            </w:pPr>
          </w:p>
        </w:tc>
        <w:tc>
          <w:tcPr>
            <w:tcW w:w="1060" w:type="dxa"/>
            <w:vAlign w:val="bottom"/>
            <w:gridSpan w:val="2"/>
          </w:tcPr>
          <w:p>
            <w:pPr>
              <w:jc w:val="right"/>
              <w:ind w:right="20"/>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740" w:type="dxa"/>
            <w:vAlign w:val="bottom"/>
          </w:tcPr>
          <w:p>
            <w:pPr>
              <w:spacing w:after="0"/>
              <w:rPr>
                <w:sz w:val="14"/>
                <w:szCs w:val="14"/>
                <w:color w:val="auto"/>
              </w:rPr>
            </w:pPr>
          </w:p>
        </w:tc>
        <w:tc>
          <w:tcPr>
            <w:tcW w:w="1620" w:type="dxa"/>
            <w:vAlign w:val="bottom"/>
            <w:gridSpan w:val="3"/>
          </w:tcPr>
          <w:p>
            <w:pPr>
              <w:jc w:val="right"/>
              <w:ind w:right="760"/>
              <w:spacing w:after="0" w:line="148" w:lineRule="exact"/>
              <w:rPr>
                <w:sz w:val="20"/>
                <w:szCs w:val="20"/>
                <w:color w:val="auto"/>
              </w:rPr>
            </w:pPr>
            <w:r>
              <w:rPr>
                <w:rFonts w:ascii="Arial" w:cs="Arial" w:eastAsia="Arial" w:hAnsi="Arial"/>
                <w:sz w:val="14"/>
                <w:szCs w:val="14"/>
                <w:b w:val="1"/>
                <w:bCs w:val="1"/>
                <w:color w:val="auto"/>
                <w:w w:val="85"/>
              </w:rPr>
              <w:t>Paid per Share</w:t>
            </w:r>
          </w:p>
        </w:tc>
        <w:tc>
          <w:tcPr>
            <w:tcW w:w="208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5"/>
              </w:rPr>
              <w:t>Programs</w:t>
            </w:r>
          </w:p>
        </w:tc>
        <w:tc>
          <w:tcPr>
            <w:tcW w:w="3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right"/>
              <w:ind w:right="580"/>
              <w:spacing w:after="0" w:line="148" w:lineRule="exact"/>
              <w:rPr>
                <w:sz w:val="20"/>
                <w:szCs w:val="20"/>
                <w:color w:val="auto"/>
              </w:rPr>
            </w:pPr>
            <w:r>
              <w:rPr>
                <w:rFonts w:ascii="Arial" w:cs="Arial" w:eastAsia="Arial" w:hAnsi="Arial"/>
                <w:sz w:val="14"/>
                <w:szCs w:val="14"/>
                <w:b w:val="1"/>
                <w:bCs w:val="1"/>
                <w:color w:val="auto"/>
              </w:rPr>
              <w:t>Programs (1)</w:t>
            </w:r>
          </w:p>
        </w:tc>
        <w:tc>
          <w:tcPr>
            <w:tcW w:w="0" w:type="dxa"/>
            <w:vAlign w:val="bottom"/>
          </w:tcPr>
          <w:p>
            <w:pPr>
              <w:spacing w:after="0"/>
              <w:rPr>
                <w:sz w:val="1"/>
                <w:szCs w:val="1"/>
                <w:color w:val="auto"/>
              </w:rPr>
            </w:pPr>
          </w:p>
        </w:tc>
      </w:tr>
      <w:tr>
        <w:trPr>
          <w:trHeight w:val="203"/>
        </w:trPr>
        <w:tc>
          <w:tcPr>
            <w:tcW w:w="370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July 31 – August 27, 2011</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jc w:val="right"/>
              <w:ind w:right="106"/>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76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ind w:left="1440"/>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1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473,273</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700" w:type="dxa"/>
            <w:vAlign w:val="bottom"/>
            <w:gridSpan w:val="3"/>
          </w:tcPr>
          <w:p>
            <w:pPr>
              <w:spacing w:after="0"/>
              <w:rPr>
                <w:sz w:val="20"/>
                <w:szCs w:val="20"/>
                <w:color w:val="auto"/>
              </w:rPr>
            </w:pPr>
            <w:r>
              <w:rPr>
                <w:rFonts w:ascii="Arial" w:cs="Arial" w:eastAsia="Arial" w:hAnsi="Arial"/>
                <w:sz w:val="18"/>
                <w:szCs w:val="18"/>
                <w:color w:val="auto"/>
              </w:rPr>
              <w:t>August 28 – September 24, 2011</w:t>
            </w: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5,787</w:t>
            </w:r>
          </w:p>
        </w:tc>
        <w:tc>
          <w:tcPr>
            <w:tcW w:w="7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13.85</w:t>
            </w:r>
          </w:p>
        </w:tc>
        <w:tc>
          <w:tcPr>
            <w:tcW w:w="760" w:type="dxa"/>
            <w:vAlign w:val="bottom"/>
          </w:tcPr>
          <w:p>
            <w:pPr>
              <w:spacing w:after="0"/>
              <w:rPr>
                <w:sz w:val="18"/>
                <w:szCs w:val="18"/>
                <w:color w:val="auto"/>
              </w:rPr>
            </w:pPr>
          </w:p>
        </w:tc>
        <w:tc>
          <w:tcPr>
            <w:tcW w:w="2080" w:type="dxa"/>
            <w:vAlign w:val="bottom"/>
            <w:gridSpan w:val="2"/>
          </w:tcPr>
          <w:p>
            <w:pPr>
              <w:jc w:val="right"/>
              <w:ind w:right="380"/>
              <w:spacing w:after="0"/>
              <w:rPr>
                <w:sz w:val="20"/>
                <w:szCs w:val="20"/>
                <w:color w:val="auto"/>
              </w:rPr>
            </w:pPr>
            <w:r>
              <w:rPr>
                <w:rFonts w:ascii="Arial" w:cs="Arial" w:eastAsia="Arial" w:hAnsi="Arial"/>
                <w:sz w:val="18"/>
                <w:szCs w:val="18"/>
                <w:color w:val="auto"/>
              </w:rPr>
              <w:t>5,787</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0" w:type="dxa"/>
            <w:vAlign w:val="bottom"/>
          </w:tcPr>
          <w:p>
            <w:pPr>
              <w:jc w:val="right"/>
              <w:spacing w:after="0"/>
              <w:rPr>
                <w:sz w:val="20"/>
                <w:szCs w:val="20"/>
                <w:color w:val="auto"/>
              </w:rPr>
            </w:pPr>
            <w:r>
              <w:rPr>
                <w:rFonts w:ascii="Arial" w:cs="Arial" w:eastAsia="Arial" w:hAnsi="Arial"/>
                <w:sz w:val="18"/>
                <w:szCs w:val="18"/>
                <w:color w:val="auto"/>
              </w:rPr>
              <w:t>393,144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September 25 – October 29, 2011</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9,164</w:t>
            </w:r>
          </w:p>
        </w:tc>
        <w:tc>
          <w:tcPr>
            <w:tcW w:w="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14.73</w:t>
            </w:r>
          </w:p>
        </w:tc>
        <w:tc>
          <w:tcPr>
            <w:tcW w:w="760" w:type="dxa"/>
            <w:vAlign w:val="bottom"/>
            <w:shd w:val="clear" w:color="auto" w:fill="CCEEFF"/>
          </w:tcPr>
          <w:p>
            <w:pPr>
              <w:spacing w:after="0"/>
              <w:rPr>
                <w:sz w:val="18"/>
                <w:szCs w:val="18"/>
                <w:color w:val="auto"/>
              </w:rPr>
            </w:pPr>
          </w:p>
        </w:tc>
        <w:tc>
          <w:tcPr>
            <w:tcW w:w="20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9,164</w:t>
            </w: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258,118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00" w:type="dxa"/>
            <w:vAlign w:val="bottom"/>
            <w:gridSpan w:val="3"/>
            <w:vMerge w:val="restart"/>
          </w:tcPr>
          <w:p>
            <w:pPr>
              <w:spacing w:after="0"/>
              <w:rPr>
                <w:sz w:val="20"/>
                <w:szCs w:val="20"/>
                <w:color w:val="auto"/>
              </w:rPr>
            </w:pPr>
            <w:r>
              <w:rPr>
                <w:rFonts w:ascii="Arial" w:cs="Arial" w:eastAsia="Arial" w:hAnsi="Arial"/>
                <w:sz w:val="18"/>
                <w:szCs w:val="18"/>
                <w:color w:val="auto"/>
              </w:rPr>
              <w:t>Total</w:t>
            </w:r>
          </w:p>
        </w:tc>
        <w:tc>
          <w:tcPr>
            <w:tcW w:w="10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20" w:type="dxa"/>
            <w:vAlign w:val="bottom"/>
            <w:gridSpan w:val="2"/>
            <w:vMerge w:val="restart"/>
          </w:tcPr>
          <w:p>
            <w:pPr>
              <w:jc w:val="right"/>
              <w:ind w:right="106"/>
              <w:spacing w:after="0"/>
              <w:rPr>
                <w:sz w:val="20"/>
                <w:szCs w:val="20"/>
                <w:color w:val="auto"/>
              </w:rPr>
            </w:pPr>
            <w:r>
              <w:rPr>
                <w:rFonts w:ascii="Arial" w:cs="Arial" w:eastAsia="Arial" w:hAnsi="Arial"/>
                <w:sz w:val="18"/>
                <w:szCs w:val="18"/>
                <w:color w:val="auto"/>
              </w:rPr>
              <w:t>$</w:t>
            </w:r>
          </w:p>
        </w:tc>
        <w:tc>
          <w:tcPr>
            <w:tcW w:w="580" w:type="dxa"/>
            <w:vAlign w:val="bottom"/>
            <w:vMerge w:val="restart"/>
          </w:tcPr>
          <w:p>
            <w:pPr>
              <w:jc w:val="right"/>
              <w:spacing w:after="0"/>
              <w:rPr>
                <w:sz w:val="20"/>
                <w:szCs w:val="20"/>
                <w:color w:val="auto"/>
              </w:rPr>
            </w:pPr>
            <w:r>
              <w:rPr>
                <w:rFonts w:ascii="Arial" w:cs="Arial" w:eastAsia="Arial" w:hAnsi="Arial"/>
                <w:sz w:val="18"/>
                <w:szCs w:val="18"/>
                <w:color w:val="auto"/>
              </w:rPr>
              <w:t>14.39</w:t>
            </w:r>
          </w:p>
        </w:tc>
        <w:tc>
          <w:tcPr>
            <w:tcW w:w="760" w:type="dxa"/>
            <w:vAlign w:val="bottom"/>
          </w:tcPr>
          <w:p>
            <w:pPr>
              <w:spacing w:after="0" w:line="20" w:lineRule="exact"/>
              <w:rPr>
                <w:sz w:val="1"/>
                <w:szCs w:val="1"/>
                <w:color w:val="auto"/>
              </w:rPr>
            </w:pPr>
          </w:p>
        </w:tc>
        <w:tc>
          <w:tcPr>
            <w:tcW w:w="170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2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600" w:type="dxa"/>
            <w:vAlign w:val="bottom"/>
            <w:vMerge w:val="restart"/>
          </w:tcPr>
          <w:p>
            <w:pPr>
              <w:jc w:val="right"/>
              <w:spacing w:after="0"/>
              <w:rPr>
                <w:sz w:val="20"/>
                <w:szCs w:val="20"/>
                <w:color w:val="auto"/>
              </w:rPr>
            </w:pPr>
            <w:r>
              <w:rPr>
                <w:rFonts w:ascii="Arial" w:cs="Arial" w:eastAsia="Arial" w:hAnsi="Arial"/>
                <w:sz w:val="18"/>
                <w:szCs w:val="18"/>
                <w:color w:val="auto"/>
              </w:rPr>
              <w:t>258,118</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700" w:type="dxa"/>
            <w:vAlign w:val="bottom"/>
            <w:gridSpan w:val="3"/>
            <w:vMerge w:val="continue"/>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14,951</w:t>
            </w:r>
          </w:p>
        </w:tc>
        <w:tc>
          <w:tcPr>
            <w:tcW w:w="20" w:type="dxa"/>
            <w:vAlign w:val="bottom"/>
          </w:tcPr>
          <w:p>
            <w:pPr>
              <w:spacing w:after="0"/>
              <w:rPr>
                <w:sz w:val="19"/>
                <w:szCs w:val="19"/>
                <w:color w:val="auto"/>
              </w:rPr>
            </w:pPr>
          </w:p>
        </w:tc>
        <w:tc>
          <w:tcPr>
            <w:tcW w:w="1020" w:type="dxa"/>
            <w:vAlign w:val="bottom"/>
            <w:gridSpan w:val="2"/>
            <w:vMerge w:val="continue"/>
          </w:tcPr>
          <w:p>
            <w:pPr>
              <w:spacing w:after="0"/>
              <w:rPr>
                <w:sz w:val="19"/>
                <w:szCs w:val="19"/>
                <w:color w:val="auto"/>
              </w:rPr>
            </w:pPr>
          </w:p>
        </w:tc>
        <w:tc>
          <w:tcPr>
            <w:tcW w:w="580" w:type="dxa"/>
            <w:vAlign w:val="bottom"/>
            <w:vMerge w:val="continue"/>
          </w:tcPr>
          <w:p>
            <w:pPr>
              <w:spacing w:after="0"/>
              <w:rPr>
                <w:sz w:val="19"/>
                <w:szCs w:val="19"/>
                <w:color w:val="auto"/>
              </w:rPr>
            </w:pPr>
          </w:p>
        </w:tc>
        <w:tc>
          <w:tcPr>
            <w:tcW w:w="760" w:type="dxa"/>
            <w:vAlign w:val="bottom"/>
          </w:tcPr>
          <w:p>
            <w:pPr>
              <w:spacing w:after="0"/>
              <w:rPr>
                <w:sz w:val="19"/>
                <w:szCs w:val="19"/>
                <w:color w:val="auto"/>
              </w:rPr>
            </w:pPr>
          </w:p>
        </w:tc>
        <w:tc>
          <w:tcPr>
            <w:tcW w:w="2080" w:type="dxa"/>
            <w:vAlign w:val="bottom"/>
            <w:gridSpan w:val="2"/>
          </w:tcPr>
          <w:p>
            <w:pPr>
              <w:jc w:val="right"/>
              <w:ind w:right="380"/>
              <w:spacing w:after="0"/>
              <w:rPr>
                <w:sz w:val="20"/>
                <w:szCs w:val="20"/>
                <w:color w:val="auto"/>
              </w:rPr>
            </w:pPr>
            <w:r>
              <w:rPr>
                <w:rFonts w:ascii="Arial" w:cs="Arial" w:eastAsia="Arial" w:hAnsi="Arial"/>
                <w:sz w:val="18"/>
                <w:szCs w:val="18"/>
                <w:color w:val="auto"/>
              </w:rPr>
              <w:t>14,951</w:t>
            </w:r>
          </w:p>
        </w:tc>
        <w:tc>
          <w:tcPr>
            <w:tcW w:w="520" w:type="dxa"/>
            <w:vAlign w:val="bottom"/>
            <w:gridSpan w:val="2"/>
            <w:vMerge w:val="continue"/>
          </w:tcPr>
          <w:p>
            <w:pPr>
              <w:spacing w:after="0"/>
              <w:rPr>
                <w:sz w:val="19"/>
                <w:szCs w:val="19"/>
                <w:color w:val="auto"/>
              </w:rPr>
            </w:pPr>
          </w:p>
        </w:tc>
        <w:tc>
          <w:tcPr>
            <w:tcW w:w="160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7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0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25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760" w:type="dxa"/>
            <w:vAlign w:val="bottom"/>
          </w:tcPr>
          <w:p>
            <w:pPr>
              <w:spacing w:after="0"/>
              <w:rPr>
                <w:sz w:val="8"/>
                <w:szCs w:val="8"/>
                <w:color w:val="auto"/>
              </w:rPr>
            </w:pPr>
          </w:p>
        </w:tc>
        <w:tc>
          <w:tcPr>
            <w:tcW w:w="1700" w:type="dxa"/>
            <w:vAlign w:val="bottom"/>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hanging="452"/>
        <w:spacing w:after="0" w:line="290" w:lineRule="auto"/>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In July 2011, we announced that our board of directors authorized us to repurchase up to an additional $500 million of our outstanding common shares under our share repurchase program, which increased the total number of shares authorized for repurchase to $1.5 billion. We intend to effect the repurchase program in accordance with the conditions of Rule 10b-18 under the Exchange Act. The repurchase program will be subject to market conditions and other factors and does not obligate us to repurchase any dollar amount or number of our common shares. The program may be extended, modified, suspended or discontinued at any time. We may utilize privately negotiated transactions in order to effect our repurchases. Subsequent to the third fiscal quarter and through November 25, 2011, the Company repurchased additional 8.5 million shares for $119.5 million at an average price per share of $14.10, bringing its total repurchases under the repurchase program to $1.36 billion.</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19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920" w:type="dxa"/>
            <w:vAlign w:val="bottom"/>
          </w:tcPr>
          <w:p>
            <w:pPr>
              <w:ind w:left="100"/>
              <w:spacing w:after="0"/>
              <w:rPr>
                <w:sz w:val="20"/>
                <w:szCs w:val="20"/>
                <w:color w:val="auto"/>
              </w:rPr>
            </w:pPr>
            <w:r>
              <w:rPr>
                <w:rFonts w:ascii="Arial" w:cs="Arial" w:eastAsia="Arial" w:hAnsi="Arial"/>
                <w:sz w:val="18"/>
                <w:szCs w:val="18"/>
                <w:color w:val="auto"/>
              </w:rPr>
              <w:t>10.1 #</w:t>
            </w:r>
          </w:p>
        </w:tc>
        <w:tc>
          <w:tcPr>
            <w:tcW w:w="8060" w:type="dxa"/>
            <w:vAlign w:val="bottom"/>
          </w:tcPr>
          <w:p>
            <w:pPr>
              <w:ind w:left="240"/>
              <w:spacing w:after="0"/>
              <w:rPr>
                <w:sz w:val="20"/>
                <w:szCs w:val="20"/>
                <w:color w:val="auto"/>
              </w:rPr>
            </w:pPr>
            <w:r>
              <w:rPr>
                <w:rFonts w:ascii="Arial" w:cs="Arial" w:eastAsia="Arial" w:hAnsi="Arial"/>
                <w:sz w:val="18"/>
                <w:szCs w:val="18"/>
                <w:color w:val="auto"/>
              </w:rPr>
              <w:t>2000 Employee Stock Purchase Plan (as amended and restated October 31, 2011)</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10.2 #</w:t>
            </w:r>
          </w:p>
        </w:tc>
        <w:tc>
          <w:tcPr>
            <w:tcW w:w="8060" w:type="dxa"/>
            <w:vAlign w:val="bottom"/>
          </w:tcPr>
          <w:p>
            <w:pPr>
              <w:ind w:left="240"/>
              <w:spacing w:after="0"/>
              <w:rPr>
                <w:sz w:val="20"/>
                <w:szCs w:val="20"/>
                <w:color w:val="auto"/>
              </w:rPr>
            </w:pPr>
            <w:r>
              <w:rPr>
                <w:rFonts w:ascii="Arial" w:cs="Arial" w:eastAsia="Arial" w:hAnsi="Arial"/>
                <w:sz w:val="18"/>
                <w:szCs w:val="18"/>
                <w:color w:val="auto"/>
              </w:rPr>
              <w:t>2000 Employee Stock Purchase Plan Form of Subscription Agreement</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660" w:hanging="212"/>
        <w:spacing w:after="0" w:line="302" w:lineRule="auto"/>
        <w:tabs>
          <w:tab w:leader="none" w:pos="2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440" w:type="dxa"/>
            <w:vAlign w:val="bottom"/>
          </w:tcPr>
          <w:p>
            <w:pPr>
              <w:spacing w:after="0"/>
              <w:rPr>
                <w:sz w:val="19"/>
                <w:szCs w:val="19"/>
                <w:color w:val="auto"/>
              </w:rPr>
            </w:pPr>
          </w:p>
        </w:tc>
        <w:tc>
          <w:tcPr>
            <w:tcW w:w="7980" w:type="dxa"/>
            <w:vAlign w:val="bottom"/>
            <w:gridSpan w:val="2"/>
          </w:tcPr>
          <w:p>
            <w:pPr>
              <w:ind w:left="214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3440" w:type="dxa"/>
            <w:vAlign w:val="bottom"/>
          </w:tcPr>
          <w:p>
            <w:pPr>
              <w:spacing w:after="0"/>
              <w:rPr>
                <w:sz w:val="20"/>
                <w:szCs w:val="20"/>
                <w:color w:val="auto"/>
              </w:rPr>
            </w:pPr>
            <w:r>
              <w:rPr>
                <w:rFonts w:ascii="Arial" w:cs="Arial" w:eastAsia="Arial" w:hAnsi="Arial"/>
                <w:sz w:val="18"/>
                <w:szCs w:val="18"/>
                <w:color w:val="auto"/>
              </w:rPr>
              <w:t>December 1, 2011</w:t>
            </w:r>
          </w:p>
        </w:tc>
        <w:tc>
          <w:tcPr>
            <w:tcW w:w="7980" w:type="dxa"/>
            <w:vAlign w:val="bottom"/>
            <w:gridSpan w:val="2"/>
          </w:tcPr>
          <w:p>
            <w:pPr>
              <w:ind w:left="2140"/>
              <w:spacing w:after="0"/>
              <w:rPr>
                <w:sz w:val="20"/>
                <w:szCs w:val="20"/>
                <w:color w:val="auto"/>
              </w:rPr>
            </w:pPr>
            <w:r>
              <w:rPr>
                <w:rFonts w:ascii="Arial" w:cs="Arial" w:eastAsia="Arial" w:hAnsi="Arial"/>
                <w:sz w:val="18"/>
                <w:szCs w:val="18"/>
                <w:color w:val="auto"/>
              </w:rPr>
              <w:t>By:  /s/ Clyde R. Hosein</w:t>
            </w:r>
          </w:p>
        </w:tc>
      </w:tr>
      <w:tr>
        <w:trPr>
          <w:trHeight w:val="217"/>
        </w:trPr>
        <w:tc>
          <w:tcPr>
            <w:tcW w:w="3440" w:type="dxa"/>
            <w:vAlign w:val="bottom"/>
          </w:tcPr>
          <w:p>
            <w:pPr>
              <w:spacing w:after="0"/>
              <w:rPr>
                <w:sz w:val="20"/>
                <w:szCs w:val="20"/>
                <w:color w:val="auto"/>
              </w:rPr>
            </w:pPr>
            <w:r>
              <w:rPr>
                <w:rFonts w:ascii="Arial" w:cs="Arial" w:eastAsia="Arial" w:hAnsi="Arial"/>
                <w:sz w:val="18"/>
                <w:szCs w:val="18"/>
                <w:color w:val="auto"/>
              </w:rPr>
              <w:t>Date</w:t>
            </w:r>
          </w:p>
        </w:tc>
        <w:tc>
          <w:tcPr>
            <w:tcW w:w="2520" w:type="dxa"/>
            <w:vAlign w:val="bottom"/>
          </w:tcPr>
          <w:p>
            <w:pPr>
              <w:spacing w:after="0"/>
              <w:rPr>
                <w:sz w:val="18"/>
                <w:szCs w:val="18"/>
                <w:color w:val="auto"/>
              </w:rPr>
            </w:pPr>
          </w:p>
        </w:tc>
        <w:tc>
          <w:tcPr>
            <w:tcW w:w="54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Clyde R. Hosein</w:t>
            </w:r>
          </w:p>
        </w:tc>
      </w:tr>
      <w:tr>
        <w:trPr>
          <w:trHeight w:val="222"/>
        </w:trPr>
        <w:tc>
          <w:tcPr>
            <w:tcW w:w="3440" w:type="dxa"/>
            <w:vAlign w:val="bottom"/>
          </w:tcPr>
          <w:p>
            <w:pPr>
              <w:spacing w:after="0"/>
              <w:rPr>
                <w:sz w:val="19"/>
                <w:szCs w:val="19"/>
                <w:color w:val="auto"/>
              </w:rPr>
            </w:pPr>
          </w:p>
        </w:tc>
        <w:tc>
          <w:tcPr>
            <w:tcW w:w="2520" w:type="dxa"/>
            <w:vAlign w:val="bottom"/>
          </w:tcPr>
          <w:p>
            <w:pPr>
              <w:spacing w:after="0"/>
              <w:rPr>
                <w:sz w:val="19"/>
                <w:szCs w:val="19"/>
                <w:color w:val="auto"/>
              </w:rPr>
            </w:pPr>
          </w:p>
        </w:tc>
        <w:tc>
          <w:tcPr>
            <w:tcW w:w="5460" w:type="dxa"/>
            <w:vAlign w:val="bottom"/>
          </w:tcPr>
          <w:p>
            <w:pPr>
              <w:spacing w:after="0"/>
              <w:rPr>
                <w:sz w:val="20"/>
                <w:szCs w:val="20"/>
                <w:color w:val="auto"/>
              </w:rPr>
            </w:pPr>
            <w:r>
              <w:rPr>
                <w:rFonts w:ascii="Arial" w:cs="Arial" w:eastAsia="Arial" w:hAnsi="Arial"/>
                <w:sz w:val="18"/>
                <w:szCs w:val="18"/>
                <w:i w:val="1"/>
                <w:iCs w:val="1"/>
                <w:color w:val="auto"/>
              </w:rPr>
              <w:t>Chief Financial Officer and Secretary</w:t>
            </w:r>
          </w:p>
        </w:tc>
      </w:tr>
      <w:tr>
        <w:trPr>
          <w:trHeight w:val="365"/>
        </w:trPr>
        <w:tc>
          <w:tcPr>
            <w:tcW w:w="3440" w:type="dxa"/>
            <w:vAlign w:val="bottom"/>
          </w:tcPr>
          <w:p>
            <w:pPr>
              <w:spacing w:after="0"/>
              <w:rPr>
                <w:sz w:val="24"/>
                <w:szCs w:val="24"/>
                <w:color w:val="auto"/>
              </w:rPr>
            </w:pPr>
          </w:p>
        </w:tc>
        <w:tc>
          <w:tcPr>
            <w:tcW w:w="2520" w:type="dxa"/>
            <w:vAlign w:val="bottom"/>
          </w:tcPr>
          <w:p>
            <w:pPr>
              <w:jc w:val="right"/>
              <w:ind w:right="72"/>
              <w:spacing w:after="0"/>
              <w:rPr>
                <w:sz w:val="20"/>
                <w:szCs w:val="20"/>
                <w:color w:val="auto"/>
              </w:rPr>
            </w:pPr>
            <w:r>
              <w:rPr>
                <w:rFonts w:ascii="Arial" w:cs="Arial" w:eastAsia="Arial" w:hAnsi="Arial"/>
                <w:sz w:val="18"/>
                <w:szCs w:val="18"/>
                <w:color w:val="auto"/>
              </w:rPr>
              <w:t>45</w:t>
            </w:r>
          </w:p>
        </w:tc>
        <w:tc>
          <w:tcPr>
            <w:tcW w:w="546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806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527"/>
        </w:trPr>
        <w:tc>
          <w:tcPr>
            <w:tcW w:w="920" w:type="dxa"/>
            <w:vAlign w:val="bottom"/>
          </w:tcPr>
          <w:p>
            <w:pPr>
              <w:ind w:left="100"/>
              <w:spacing w:after="0"/>
              <w:rPr>
                <w:sz w:val="20"/>
                <w:szCs w:val="20"/>
                <w:color w:val="auto"/>
              </w:rPr>
            </w:pPr>
            <w:r>
              <w:rPr>
                <w:rFonts w:ascii="Arial" w:cs="Arial" w:eastAsia="Arial" w:hAnsi="Arial"/>
                <w:sz w:val="18"/>
                <w:szCs w:val="18"/>
                <w:color w:val="auto"/>
              </w:rPr>
              <w:t>10.1 #</w:t>
            </w:r>
          </w:p>
        </w:tc>
        <w:tc>
          <w:tcPr>
            <w:tcW w:w="8060" w:type="dxa"/>
            <w:vAlign w:val="bottom"/>
          </w:tcPr>
          <w:p>
            <w:pPr>
              <w:ind w:left="240"/>
              <w:spacing w:after="0"/>
              <w:rPr>
                <w:sz w:val="20"/>
                <w:szCs w:val="20"/>
                <w:color w:val="auto"/>
              </w:rPr>
            </w:pPr>
            <w:r>
              <w:rPr>
                <w:rFonts w:ascii="Arial" w:cs="Arial" w:eastAsia="Arial" w:hAnsi="Arial"/>
                <w:sz w:val="18"/>
                <w:szCs w:val="18"/>
                <w:color w:val="auto"/>
              </w:rPr>
              <w:t>2000 Employee Stock Purchase Plan (as amended and restated October 31, 2011)</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10.2 #</w:t>
            </w:r>
          </w:p>
        </w:tc>
        <w:tc>
          <w:tcPr>
            <w:tcW w:w="8060" w:type="dxa"/>
            <w:vAlign w:val="bottom"/>
          </w:tcPr>
          <w:p>
            <w:pPr>
              <w:ind w:left="240"/>
              <w:spacing w:after="0"/>
              <w:rPr>
                <w:sz w:val="20"/>
                <w:szCs w:val="20"/>
                <w:color w:val="auto"/>
              </w:rPr>
            </w:pPr>
            <w:r>
              <w:rPr>
                <w:rFonts w:ascii="Arial" w:cs="Arial" w:eastAsia="Arial" w:hAnsi="Arial"/>
                <w:sz w:val="18"/>
                <w:szCs w:val="18"/>
                <w:color w:val="auto"/>
              </w:rPr>
              <w:t>2000 Employee Stock Purchase Plan Form of Subscription Agreement</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hanging="212"/>
        <w:spacing w:after="0" w:line="302" w:lineRule="auto"/>
        <w:tabs>
          <w:tab w:leader="none" w:pos="2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0760"/>
          </w:cols>
          <w:pgMar w:left="240" w:top="459" w:right="899" w:bottom="1440" w:gutter="0" w:footer="0" w:header="0"/>
        </w:sectPr>
      </w:pPr>
    </w:p>
    <w:bookmarkStart w:id="47" w:name="page48"/>
    <w:bookmarkEnd w:id="47"/>
    <w:p>
      <w:pPr>
        <w:jc w:val="right"/>
        <w:spacing w:after="0"/>
        <w:rPr>
          <w:sz w:val="20"/>
          <w:szCs w:val="20"/>
          <w:color w:val="auto"/>
        </w:rPr>
      </w:pPr>
      <w:r>
        <w:rPr>
          <w:rFonts w:ascii="Arial" w:cs="Arial" w:eastAsia="Arial" w:hAnsi="Arial"/>
          <w:sz w:val="18"/>
          <w:szCs w:val="18"/>
          <w:b w:val="1"/>
          <w:bCs w:val="1"/>
          <w:color w:val="auto"/>
        </w:rPr>
        <w:t>Exhibit 10.1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AND RESTATED AS OF OCTOBER 31, 2011</w:t>
      </w:r>
    </w:p>
    <w:p>
      <w:pPr>
        <w:spacing w:after="0" w:line="177" w:lineRule="exact"/>
        <w:rPr>
          <w:sz w:val="20"/>
          <w:szCs w:val="20"/>
          <w:color w:val="auto"/>
        </w:rPr>
      </w:pPr>
    </w:p>
    <w:p>
      <w:pPr>
        <w:ind w:right="240" w:firstLine="464"/>
        <w:spacing w:after="0" w:line="310" w:lineRule="auto"/>
        <w:tabs>
          <w:tab w:leader="none" w:pos="632" w:val="left"/>
        </w:tabs>
        <w:numPr>
          <w:ilvl w:val="0"/>
          <w:numId w:val="16"/>
        </w:numPr>
        <w:rPr>
          <w:rFonts w:ascii="Arial" w:cs="Arial" w:eastAsia="Arial" w:hAnsi="Arial"/>
          <w:sz w:val="15"/>
          <w:szCs w:val="15"/>
          <w:color w:val="auto"/>
        </w:rPr>
      </w:pPr>
      <w:r>
        <w:rPr>
          <w:rFonts w:ascii="Arial" w:cs="Arial" w:eastAsia="Arial" w:hAnsi="Arial"/>
          <w:sz w:val="15"/>
          <w:szCs w:val="15"/>
          <w:u w:val="single" w:color="auto"/>
          <w:color w:val="auto"/>
        </w:rPr>
        <w:t>Purpose</w:t>
      </w:r>
      <w:r>
        <w:rPr>
          <w:rFonts w:ascii="Arial" w:cs="Arial" w:eastAsia="Arial" w:hAnsi="Arial"/>
          <w:sz w:val="15"/>
          <w:szCs w:val="15"/>
          <w:color w:val="auto"/>
        </w:rPr>
        <w:t>. This Plan is intended to allow Employees of the Company and its Designated Subsidiaries to purchase Common Stock through accumulated Payroll deductions. This Plan includes two components: a Code Section 423 Plan Component and a Non-423 Plan Component. The Company’s intention is to have the Code Section 423 Plan Component qualify as an “employee stock purchase plan” under Section 423 of the Code (although the Company makes no undertaking or representation to maintain such qualification). The provisions of the Code Section 423 Plan Component, accordingly, will be construed so as to extend and limit Plan participation in a uniform and nondiscriminatory basis consistent with the requirements of Section 423 of the Code. In addition, this Plan authorizes the grant of Purchase Rights under the Non-423 Plan Component that do not qualify under Section 423 of the Code, pursuant to rules, procedures or sub-plans adopted by the Administrator that are designed to achieve tax, securities laws or other objectives for Participants and/or the Company. Except as otherwise indicated, the Non-423 Plan Component will operate and be administered in the same manner as the Code Section 423 Plan Component.</w:t>
      </w:r>
    </w:p>
    <w:p>
      <w:pPr>
        <w:spacing w:after="0" w:line="108" w:lineRule="exact"/>
        <w:rPr>
          <w:rFonts w:ascii="Arial" w:cs="Arial" w:eastAsia="Arial" w:hAnsi="Arial"/>
          <w:sz w:val="15"/>
          <w:szCs w:val="15"/>
          <w:color w:val="auto"/>
        </w:rPr>
      </w:pPr>
    </w:p>
    <w:p>
      <w:pPr>
        <w:ind w:left="640" w:hanging="176"/>
        <w:spacing w:after="0"/>
        <w:tabs>
          <w:tab w:leader="none" w:pos="640" w:val="left"/>
        </w:tabs>
        <w:numPr>
          <w:ilvl w:val="0"/>
          <w:numId w:val="16"/>
        </w:numPr>
        <w:rPr>
          <w:rFonts w:ascii="Arial" w:cs="Arial" w:eastAsia="Arial" w:hAnsi="Arial"/>
          <w:sz w:val="18"/>
          <w:szCs w:val="18"/>
          <w:color w:val="auto"/>
        </w:rPr>
      </w:pPr>
      <w:r>
        <w:rPr>
          <w:rFonts w:ascii="Arial" w:cs="Arial" w:eastAsia="Arial" w:hAnsi="Arial"/>
          <w:sz w:val="18"/>
          <w:szCs w:val="18"/>
          <w:u w:val="single" w:color="auto"/>
          <w:color w:val="auto"/>
        </w:rPr>
        <w:t>Defined Terms</w:t>
      </w:r>
      <w:r>
        <w:rPr>
          <w:rFonts w:ascii="Arial" w:cs="Arial" w:eastAsia="Arial" w:hAnsi="Arial"/>
          <w:sz w:val="18"/>
          <w:szCs w:val="18"/>
          <w:color w:val="auto"/>
        </w:rPr>
        <w:t>. The meanings of defined terms (generally, capitalized terms) in this Plan are provided in Section 23 (“</w:t>
      </w:r>
      <w:r>
        <w:rPr>
          <w:rFonts w:ascii="Arial" w:cs="Arial" w:eastAsia="Arial" w:hAnsi="Arial"/>
          <w:sz w:val="18"/>
          <w:szCs w:val="18"/>
          <w:u w:val="single" w:color="auto"/>
          <w:color w:val="auto"/>
        </w:rPr>
        <w:t>Glossary</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16"/>
        </w:numPr>
        <w:rPr>
          <w:rFonts w:ascii="Arial" w:cs="Arial" w:eastAsia="Arial" w:hAnsi="Arial"/>
          <w:sz w:val="18"/>
          <w:szCs w:val="18"/>
          <w:color w:val="auto"/>
        </w:rPr>
      </w:pPr>
      <w:r>
        <w:rPr>
          <w:rFonts w:ascii="Arial" w:cs="Arial" w:eastAsia="Arial" w:hAnsi="Arial"/>
          <w:sz w:val="18"/>
          <w:szCs w:val="18"/>
          <w:u w:val="single" w:color="auto"/>
          <w:color w:val="auto"/>
        </w:rPr>
        <w:t>Eligibility</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right="140" w:firstLine="921"/>
        <w:spacing w:after="0" w:line="268" w:lineRule="auto"/>
        <w:tabs>
          <w:tab w:leader="none" w:pos="1152" w:val="left"/>
        </w:tabs>
        <w:numPr>
          <w:ilvl w:val="1"/>
          <w:numId w:val="16"/>
        </w:numPr>
        <w:rPr>
          <w:rFonts w:ascii="Arial" w:cs="Arial" w:eastAsia="Arial" w:hAnsi="Arial"/>
          <w:sz w:val="18"/>
          <w:szCs w:val="18"/>
          <w:color w:val="auto"/>
        </w:rPr>
      </w:pPr>
      <w:r>
        <w:rPr>
          <w:rFonts w:ascii="Arial" w:cs="Arial" w:eastAsia="Arial" w:hAnsi="Arial"/>
          <w:sz w:val="18"/>
          <w:szCs w:val="18"/>
          <w:u w:val="single" w:color="auto"/>
          <w:color w:val="auto"/>
        </w:rPr>
        <w:t>Participation</w:t>
      </w:r>
      <w:r>
        <w:rPr>
          <w:rFonts w:ascii="Arial" w:cs="Arial" w:eastAsia="Arial" w:hAnsi="Arial"/>
          <w:sz w:val="18"/>
          <w:szCs w:val="18"/>
          <w:color w:val="auto"/>
        </w:rPr>
        <w:t>. Any person who is an Employee on an Offering Date shall be eligible to participate in this Plan during the corresponding Offering Period, subject to the limitations in Sections 3(b) and 3(c).</w:t>
      </w:r>
    </w:p>
    <w:p>
      <w:pPr>
        <w:spacing w:after="0" w:line="131" w:lineRule="exact"/>
        <w:rPr>
          <w:rFonts w:ascii="Arial" w:cs="Arial" w:eastAsia="Arial" w:hAnsi="Arial"/>
          <w:sz w:val="18"/>
          <w:szCs w:val="18"/>
          <w:color w:val="auto"/>
        </w:rPr>
      </w:pPr>
    </w:p>
    <w:p>
      <w:pPr>
        <w:ind w:right="60" w:firstLine="921"/>
        <w:spacing w:after="0" w:line="255" w:lineRule="auto"/>
        <w:tabs>
          <w:tab w:leader="none" w:pos="1161" w:val="left"/>
        </w:tabs>
        <w:numPr>
          <w:ilvl w:val="1"/>
          <w:numId w:val="16"/>
        </w:numPr>
        <w:rPr>
          <w:rFonts w:ascii="Arial" w:cs="Arial" w:eastAsia="Arial" w:hAnsi="Arial"/>
          <w:sz w:val="18"/>
          <w:szCs w:val="18"/>
          <w:color w:val="auto"/>
        </w:rPr>
      </w:pPr>
      <w:r>
        <w:rPr>
          <w:rFonts w:ascii="Arial" w:cs="Arial" w:eastAsia="Arial" w:hAnsi="Arial"/>
          <w:sz w:val="18"/>
          <w:szCs w:val="18"/>
          <w:u w:val="single" w:color="auto"/>
          <w:color w:val="auto"/>
        </w:rPr>
        <w:t>No Participation by Five-Percent Shareholders</w:t>
      </w:r>
      <w:r>
        <w:rPr>
          <w:rFonts w:ascii="Arial" w:cs="Arial" w:eastAsia="Arial" w:hAnsi="Arial"/>
          <w:sz w:val="18"/>
          <w:szCs w:val="18"/>
          <w:color w:val="auto"/>
        </w:rPr>
        <w:t>. Notwithstanding Section 3(a), an Employee shall not participate in this Plan during an Offering Period if immediately after the grant of a Purchase Right on the Offering Date, the Employee (or any other person whose stock would be attributed to the Employee under Section 424(d) of the Code) would own stock possessing five percent or more of the total combined voting power or value of all classes of stock of the Company or of any Subsidiary. For this purpose, an Employee is treated as owning stock that he or she could purchase by exercise of Purchase Rights or other options.</w:t>
      </w:r>
    </w:p>
    <w:p>
      <w:pPr>
        <w:spacing w:after="0" w:line="142" w:lineRule="exact"/>
        <w:rPr>
          <w:rFonts w:ascii="Arial" w:cs="Arial" w:eastAsia="Arial" w:hAnsi="Arial"/>
          <w:sz w:val="18"/>
          <w:szCs w:val="18"/>
          <w:color w:val="auto"/>
        </w:rPr>
      </w:pPr>
    </w:p>
    <w:p>
      <w:pPr>
        <w:ind w:right="120" w:firstLine="921"/>
        <w:spacing w:after="0" w:line="298" w:lineRule="auto"/>
        <w:tabs>
          <w:tab w:leader="none" w:pos="1152" w:val="left"/>
        </w:tabs>
        <w:numPr>
          <w:ilvl w:val="1"/>
          <w:numId w:val="16"/>
        </w:numPr>
        <w:rPr>
          <w:rFonts w:ascii="Arial" w:cs="Arial" w:eastAsia="Arial" w:hAnsi="Arial"/>
          <w:sz w:val="16"/>
          <w:szCs w:val="16"/>
          <w:color w:val="auto"/>
        </w:rPr>
      </w:pPr>
      <w:r>
        <w:rPr>
          <w:rFonts w:ascii="Arial" w:cs="Arial" w:eastAsia="Arial" w:hAnsi="Arial"/>
          <w:sz w:val="16"/>
          <w:szCs w:val="16"/>
          <w:u w:val="single" w:color="auto"/>
          <w:color w:val="auto"/>
        </w:rPr>
        <w:t>$25,000 Annual Limitation</w:t>
      </w:r>
      <w:r>
        <w:rPr>
          <w:rFonts w:ascii="Arial" w:cs="Arial" w:eastAsia="Arial" w:hAnsi="Arial"/>
          <w:sz w:val="16"/>
          <w:szCs w:val="16"/>
          <w:color w:val="auto"/>
        </w:rPr>
        <w:t>. Notwithstanding Section 3(a), no Employee will be granted a Purchase Right under the Plan to the extent that his or her rights to purchase stock under all employee stock purchase plans (as defined in Section 423 of the Code) of the Company or any Parent of the Company accrue at a rate, which exceeds $25,000 worth of stock (determined at the Fair Market Value of the stock at the time such Purchase Right is granted) for each calendar year in which such Purchase Right is outstanding at any time, determined in accordance with Section 423 of the Code and the regulations thereunder.</w:t>
      </w:r>
    </w:p>
    <w:p>
      <w:pPr>
        <w:sectPr>
          <w:pgSz w:w="11900" w:h="16838" w:orient="portrait"/>
          <w:cols w:equalWidth="0" w:num="1">
            <w:col w:w="11420"/>
          </w:cols>
          <w:pgMar w:left="240" w:top="125" w:right="239" w:bottom="1440" w:gutter="0" w:footer="0" w:header="0"/>
        </w:sectPr>
      </w:pPr>
    </w:p>
    <w:bookmarkStart w:id="48" w:name="page49"/>
    <w:bookmarkEnd w:id="48"/>
    <w:p>
      <w:pPr>
        <w:ind w:left="640" w:hanging="176"/>
        <w:spacing w:after="0"/>
        <w:tabs>
          <w:tab w:leader="none" w:pos="64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Offering Periods</w:t>
      </w:r>
      <w:r>
        <w:rPr>
          <w:rFonts w:ascii="Arial" w:cs="Arial" w:eastAsia="Arial" w:hAnsi="Arial"/>
          <w:sz w:val="18"/>
          <w:szCs w:val="18"/>
          <w:color w:val="auto"/>
        </w:rPr>
        <w:t>. Except as otherwise determined by the Administrator:</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17"/>
        </w:numPr>
        <w:rPr>
          <w:rFonts w:ascii="Arial" w:cs="Arial" w:eastAsia="Arial" w:hAnsi="Arial"/>
          <w:sz w:val="18"/>
          <w:szCs w:val="18"/>
          <w:color w:val="auto"/>
        </w:rPr>
      </w:pPr>
      <w:r>
        <w:rPr>
          <w:rFonts w:ascii="Arial" w:cs="Arial" w:eastAsia="Arial" w:hAnsi="Arial"/>
          <w:sz w:val="18"/>
          <w:szCs w:val="18"/>
          <w:color w:val="auto"/>
        </w:rPr>
        <w:t>the first Offering Period after the Restatement Effective Date shall begin on December 8, 2011;</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17"/>
        </w:numPr>
        <w:rPr>
          <w:rFonts w:ascii="Arial" w:cs="Arial" w:eastAsia="Arial" w:hAnsi="Arial"/>
          <w:sz w:val="16"/>
          <w:szCs w:val="16"/>
          <w:color w:val="auto"/>
        </w:rPr>
      </w:pPr>
      <w:r>
        <w:rPr>
          <w:rFonts w:ascii="Arial" w:cs="Arial" w:eastAsia="Arial" w:hAnsi="Arial"/>
          <w:sz w:val="16"/>
          <w:szCs w:val="16"/>
          <w:color w:val="auto"/>
        </w:rPr>
        <w:t>a new Offering Period shall begin on the first trading day on or immediately following each June 8</w:t>
      </w:r>
      <w:r>
        <w:rPr>
          <w:rFonts w:ascii="Arial" w:cs="Arial" w:eastAsia="Arial" w:hAnsi="Arial"/>
          <w:sz w:val="10"/>
          <w:szCs w:val="10"/>
          <w:color w:val="auto"/>
        </w:rPr>
        <w:t>th</w:t>
      </w:r>
      <w:r>
        <w:rPr>
          <w:rFonts w:ascii="Arial" w:cs="Arial" w:eastAsia="Arial" w:hAnsi="Arial"/>
          <w:sz w:val="16"/>
          <w:szCs w:val="16"/>
          <w:color w:val="auto"/>
        </w:rPr>
        <w:t xml:space="preserve"> and December 8</w:t>
      </w:r>
      <w:r>
        <w:rPr>
          <w:rFonts w:ascii="Arial" w:cs="Arial" w:eastAsia="Arial" w:hAnsi="Arial"/>
          <w:sz w:val="10"/>
          <w:szCs w:val="10"/>
          <w:color w:val="auto"/>
        </w:rPr>
        <w:t>th</w:t>
      </w:r>
      <w:r>
        <w:rPr>
          <w:rFonts w:ascii="Arial" w:cs="Arial" w:eastAsia="Arial" w:hAnsi="Arial"/>
          <w:sz w:val="16"/>
          <w:szCs w:val="16"/>
          <w:color w:val="auto"/>
        </w:rPr>
        <w:t xml:space="preserve"> while this Plan is in effect;</w:t>
      </w:r>
    </w:p>
    <w:p>
      <w:pPr>
        <w:spacing w:after="0" w:line="194" w:lineRule="exact"/>
        <w:rPr>
          <w:rFonts w:ascii="Arial" w:cs="Arial" w:eastAsia="Arial" w:hAnsi="Arial"/>
          <w:sz w:val="16"/>
          <w:szCs w:val="16"/>
          <w:color w:val="auto"/>
        </w:rPr>
      </w:pPr>
    </w:p>
    <w:p>
      <w:pPr>
        <w:ind w:right="200" w:firstLine="921"/>
        <w:spacing w:after="0" w:line="332" w:lineRule="auto"/>
        <w:tabs>
          <w:tab w:leader="none" w:pos="1152" w:val="left"/>
        </w:tabs>
        <w:numPr>
          <w:ilvl w:val="1"/>
          <w:numId w:val="17"/>
        </w:numPr>
        <w:rPr>
          <w:rFonts w:ascii="Arial" w:cs="Arial" w:eastAsia="Arial" w:hAnsi="Arial"/>
          <w:sz w:val="16"/>
          <w:szCs w:val="16"/>
          <w:color w:val="auto"/>
        </w:rPr>
      </w:pPr>
      <w:r>
        <w:rPr>
          <w:rFonts w:ascii="Arial" w:cs="Arial" w:eastAsia="Arial" w:hAnsi="Arial"/>
          <w:sz w:val="16"/>
          <w:szCs w:val="16"/>
          <w:color w:val="auto"/>
        </w:rPr>
        <w:t>the duration of each Offering Period shall be approximately 24 months (measured starting from the applicable Offering Date and ending on the trading day immediately prior to the June 8</w:t>
      </w:r>
      <w:r>
        <w:rPr>
          <w:rFonts w:ascii="Arial" w:cs="Arial" w:eastAsia="Arial" w:hAnsi="Arial"/>
          <w:sz w:val="10"/>
          <w:szCs w:val="10"/>
          <w:color w:val="auto"/>
        </w:rPr>
        <w:t>th</w:t>
      </w:r>
      <w:r>
        <w:rPr>
          <w:rFonts w:ascii="Arial" w:cs="Arial" w:eastAsia="Arial" w:hAnsi="Arial"/>
          <w:sz w:val="16"/>
          <w:szCs w:val="16"/>
          <w:color w:val="auto"/>
        </w:rPr>
        <w:t xml:space="preserve"> or December 8</w:t>
      </w:r>
      <w:r>
        <w:rPr>
          <w:rFonts w:ascii="Arial" w:cs="Arial" w:eastAsia="Arial" w:hAnsi="Arial"/>
          <w:sz w:val="10"/>
          <w:szCs w:val="10"/>
          <w:color w:val="auto"/>
        </w:rPr>
        <w:t>th</w:t>
      </w:r>
      <w:r>
        <w:rPr>
          <w:rFonts w:ascii="Arial" w:cs="Arial" w:eastAsia="Arial" w:hAnsi="Arial"/>
          <w:sz w:val="16"/>
          <w:szCs w:val="16"/>
          <w:color w:val="auto"/>
        </w:rPr>
        <w:t>, as applicable, occurring approximately 24-months thereafter);</w:t>
      </w:r>
    </w:p>
    <w:p>
      <w:pPr>
        <w:spacing w:after="0" w:line="85" w:lineRule="exact"/>
        <w:rPr>
          <w:rFonts w:ascii="Arial" w:cs="Arial" w:eastAsia="Arial" w:hAnsi="Arial"/>
          <w:sz w:val="16"/>
          <w:szCs w:val="16"/>
          <w:color w:val="auto"/>
        </w:rPr>
      </w:pPr>
    </w:p>
    <w:p>
      <w:pPr>
        <w:ind w:right="180" w:firstLine="921"/>
        <w:spacing w:after="0" w:line="332" w:lineRule="auto"/>
        <w:tabs>
          <w:tab w:leader="none" w:pos="1162" w:val="left"/>
        </w:tabs>
        <w:numPr>
          <w:ilvl w:val="1"/>
          <w:numId w:val="17"/>
        </w:numPr>
        <w:rPr>
          <w:rFonts w:ascii="Arial" w:cs="Arial" w:eastAsia="Arial" w:hAnsi="Arial"/>
          <w:sz w:val="16"/>
          <w:szCs w:val="16"/>
          <w:color w:val="auto"/>
        </w:rPr>
      </w:pPr>
      <w:r>
        <w:rPr>
          <w:rFonts w:ascii="Arial" w:cs="Arial" w:eastAsia="Arial" w:hAnsi="Arial"/>
          <w:sz w:val="16"/>
          <w:szCs w:val="16"/>
          <w:color w:val="auto"/>
        </w:rPr>
        <w:t>the Administrator will have the power to change the duration of Offering Periods (including the commencement dates thereof) with respect to future offerings without shareholder approval if such change is announced prior to the scheduled beginning of the first Offering Period to be affected thereafter;</w:t>
      </w:r>
    </w:p>
    <w:p>
      <w:pPr>
        <w:spacing w:after="0" w:line="85" w:lineRule="exact"/>
        <w:rPr>
          <w:rFonts w:ascii="Arial" w:cs="Arial" w:eastAsia="Arial" w:hAnsi="Arial"/>
          <w:sz w:val="16"/>
          <w:szCs w:val="16"/>
          <w:color w:val="auto"/>
        </w:rPr>
      </w:pPr>
    </w:p>
    <w:p>
      <w:pPr>
        <w:ind w:left="1160" w:hanging="239"/>
        <w:spacing w:after="0"/>
        <w:tabs>
          <w:tab w:leader="none" w:pos="1160" w:val="left"/>
        </w:tabs>
        <w:numPr>
          <w:ilvl w:val="1"/>
          <w:numId w:val="17"/>
        </w:numPr>
        <w:rPr>
          <w:rFonts w:ascii="Arial" w:cs="Arial" w:eastAsia="Arial" w:hAnsi="Arial"/>
          <w:sz w:val="16"/>
          <w:szCs w:val="16"/>
          <w:color w:val="auto"/>
        </w:rPr>
      </w:pPr>
      <w:r>
        <w:rPr>
          <w:rFonts w:ascii="Arial" w:cs="Arial" w:eastAsia="Arial" w:hAnsi="Arial"/>
          <w:sz w:val="16"/>
          <w:szCs w:val="16"/>
          <w:color w:val="auto"/>
        </w:rPr>
        <w:t>notwithstanding Section 4(d), in no event shall an Offering Period in the Code Section 423 Component have a duration in excess of 27 months;</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and</w:t>
      </w:r>
    </w:p>
    <w:p>
      <w:pPr>
        <w:spacing w:after="0" w:line="164" w:lineRule="exact"/>
        <w:rPr>
          <w:rFonts w:ascii="Arial" w:cs="Arial" w:eastAsia="Arial" w:hAnsi="Arial"/>
          <w:sz w:val="16"/>
          <w:szCs w:val="16"/>
          <w:color w:val="auto"/>
        </w:rPr>
      </w:pPr>
    </w:p>
    <w:p>
      <w:pPr>
        <w:ind w:left="1140" w:hanging="219"/>
        <w:spacing w:after="0"/>
        <w:tabs>
          <w:tab w:leader="none" w:pos="114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an Offering Period shall terminate on the first date that no Participant is enrolled in it.</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Participation</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right="60" w:firstLine="921"/>
        <w:spacing w:after="0" w:line="291" w:lineRule="auto"/>
        <w:tabs>
          <w:tab w:leader="none" w:pos="1152" w:val="left"/>
        </w:tabs>
        <w:numPr>
          <w:ilvl w:val="1"/>
          <w:numId w:val="17"/>
        </w:numPr>
        <w:rPr>
          <w:rFonts w:ascii="Arial" w:cs="Arial" w:eastAsia="Arial" w:hAnsi="Arial"/>
          <w:sz w:val="16"/>
          <w:szCs w:val="16"/>
          <w:color w:val="auto"/>
        </w:rPr>
      </w:pPr>
      <w:r>
        <w:rPr>
          <w:rFonts w:ascii="Arial" w:cs="Arial" w:eastAsia="Arial" w:hAnsi="Arial"/>
          <w:sz w:val="16"/>
          <w:szCs w:val="16"/>
          <w:color w:val="auto"/>
        </w:rPr>
        <w:t>An Employee may become a Participant in this Plan by: (i) completing a subscription agreement, in such form as the Administrator may approve from time to time, and delivering it to the Administrator or (ii) following an electronic enrollment procedure determined by the Administrator, in either event, by 5 p.m. Pacific time on the applicable Offering Date, unless another time for filing the subscription agreement is set by the Administrator for all Employees with respect to a given Offering Period. For purposes herein, a subscription agreement and its analogous electronic enrollment form will both be referred to as the “subscription agreement.” The subscription agreement shall authorize Payroll deductions pursuant to this Plan and shall have such other terms as the Administrator may specify from time to time.</w:t>
      </w:r>
    </w:p>
    <w:p>
      <w:pPr>
        <w:spacing w:after="0" w:line="120" w:lineRule="exact"/>
        <w:rPr>
          <w:rFonts w:ascii="Arial" w:cs="Arial" w:eastAsia="Arial" w:hAnsi="Arial"/>
          <w:sz w:val="16"/>
          <w:szCs w:val="16"/>
          <w:color w:val="auto"/>
        </w:rPr>
      </w:pPr>
    </w:p>
    <w:p>
      <w:pPr>
        <w:ind w:firstLine="921"/>
        <w:spacing w:after="0" w:line="255" w:lineRule="auto"/>
        <w:tabs>
          <w:tab w:leader="none" w:pos="1162" w:val="left"/>
        </w:tabs>
        <w:numPr>
          <w:ilvl w:val="1"/>
          <w:numId w:val="17"/>
        </w:numPr>
        <w:rPr>
          <w:rFonts w:ascii="Arial" w:cs="Arial" w:eastAsia="Arial" w:hAnsi="Arial"/>
          <w:sz w:val="18"/>
          <w:szCs w:val="18"/>
          <w:color w:val="auto"/>
        </w:rPr>
      </w:pPr>
      <w:r>
        <w:rPr>
          <w:rFonts w:ascii="Arial" w:cs="Arial" w:eastAsia="Arial" w:hAnsi="Arial"/>
          <w:sz w:val="18"/>
          <w:szCs w:val="18"/>
          <w:color w:val="auto"/>
        </w:rPr>
        <w:t>At the end of an Offering Period, each Participant in the Offering Period who remains an Employee shall be automatically enrolled in the next succeeding Offering Period (a “</w:t>
      </w:r>
      <w:r>
        <w:rPr>
          <w:rFonts w:ascii="Arial" w:cs="Arial" w:eastAsia="Arial" w:hAnsi="Arial"/>
          <w:sz w:val="18"/>
          <w:szCs w:val="18"/>
          <w:u w:val="single" w:color="auto"/>
          <w:color w:val="auto"/>
        </w:rPr>
        <w:t>Re-enrollment</w:t>
      </w:r>
      <w:r>
        <w:rPr>
          <w:rFonts w:ascii="Arial" w:cs="Arial" w:eastAsia="Arial" w:hAnsi="Arial"/>
          <w:sz w:val="18"/>
          <w:szCs w:val="18"/>
          <w:color w:val="auto"/>
        </w:rPr>
        <w:t>”) unless, in a manner and at a time specified by the Administrator, but in no event later than 5 p.m. Pacific time on the Offering Date of such succeeding Offering Period, the Participant notifies the Administrator in writing that the Participant does not wish to be re-enrolled. Re-enrollment shall be at the withholding percentage specified in the Participant’s most recent subscription agreement. No Participant shall be automatically re-enrolled whose participation has terminated by operation of Section 10.</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49" w:name="page50"/>
    <w:bookmarkEnd w:id="49"/>
    <w:p>
      <w:pPr>
        <w:ind w:left="-20" w:right="20" w:firstLine="921"/>
        <w:spacing w:after="0" w:line="255" w:lineRule="auto"/>
        <w:tabs>
          <w:tab w:leader="none" w:pos="1132" w:val="left"/>
        </w:tabs>
        <w:numPr>
          <w:ilvl w:val="1"/>
          <w:numId w:val="1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If the Fair Market Value of a share of Common Stock on any Offering Date is less than it was on the first day of a then-concurrent Offering Period, each Participant in the concurrent Offering Period shall automatically be withdrawn from such concurrent Offering Period and shall become a Participant in the commencing Offering Period. Participation shall be at the withholding percentage specified in the Participant’s most recent (as of 5 p.m. Pacific time on the relevant Offering Date) subscription agreement. No Participant shall be automatically re-enrolled whose participation in this Plan has terminated by operation of Section 10.</w:t>
      </w:r>
    </w:p>
    <w:p>
      <w:pPr>
        <w:spacing w:after="0" w:line="142" w:lineRule="exact"/>
        <w:rPr>
          <w:rFonts w:ascii="Arial" w:cs="Arial" w:eastAsia="Arial" w:hAnsi="Arial"/>
          <w:sz w:val="18"/>
          <w:szCs w:val="18"/>
          <w:color w:val="auto"/>
        </w:rPr>
      </w:pPr>
    </w:p>
    <w:p>
      <w:pPr>
        <w:ind w:left="620" w:hanging="176"/>
        <w:spacing w:after="0"/>
        <w:tabs>
          <w:tab w:leader="none" w:pos="620"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Payroll Deductions</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jc w:val="both"/>
        <w:ind w:left="-20" w:right="100" w:firstLine="921"/>
        <w:spacing w:after="0" w:line="256" w:lineRule="auto"/>
        <w:tabs>
          <w:tab w:leader="none" w:pos="1132" w:val="left"/>
        </w:tabs>
        <w:numPr>
          <w:ilvl w:val="1"/>
          <w:numId w:val="19"/>
        </w:numPr>
        <w:rPr>
          <w:rFonts w:ascii="Arial" w:cs="Arial" w:eastAsia="Arial" w:hAnsi="Arial"/>
          <w:sz w:val="18"/>
          <w:szCs w:val="18"/>
          <w:color w:val="auto"/>
        </w:rPr>
      </w:pPr>
      <w:r>
        <w:rPr>
          <w:rFonts w:ascii="Arial" w:cs="Arial" w:eastAsia="Arial" w:hAnsi="Arial"/>
          <w:sz w:val="18"/>
          <w:szCs w:val="18"/>
          <w:color w:val="auto"/>
        </w:rPr>
        <w:t>Payroll deductions under this Plan shall be in whole percentages, from a minimum of 1% up to a maximum (not to exceed 15%) established by the Administrator from time to time, as specified by the Participant in his or her subscription agreement in effect on the first day of an Offering Period. Payroll deductions for a Participant shall begin with the first payroll payment date of the Offering Period and shall end with the last payroll payment date of the Offering Period, unless sooner terminated by the Participant as provided in Section 10.</w:t>
      </w:r>
    </w:p>
    <w:p>
      <w:pPr>
        <w:spacing w:after="0" w:line="143" w:lineRule="exact"/>
        <w:rPr>
          <w:rFonts w:ascii="Arial" w:cs="Arial" w:eastAsia="Arial" w:hAnsi="Arial"/>
          <w:sz w:val="18"/>
          <w:szCs w:val="18"/>
          <w:color w:val="auto"/>
        </w:rPr>
      </w:pPr>
    </w:p>
    <w:p>
      <w:pPr>
        <w:ind w:left="-20" w:right="240" w:firstLine="921"/>
        <w:spacing w:after="0" w:line="268" w:lineRule="auto"/>
        <w:tabs>
          <w:tab w:leader="none" w:pos="1142" w:val="left"/>
        </w:tabs>
        <w:numPr>
          <w:ilvl w:val="1"/>
          <w:numId w:val="19"/>
        </w:numPr>
        <w:rPr>
          <w:rFonts w:ascii="Arial" w:cs="Arial" w:eastAsia="Arial" w:hAnsi="Arial"/>
          <w:sz w:val="18"/>
          <w:szCs w:val="18"/>
          <w:color w:val="auto"/>
        </w:rPr>
      </w:pPr>
      <w:r>
        <w:rPr>
          <w:rFonts w:ascii="Arial" w:cs="Arial" w:eastAsia="Arial" w:hAnsi="Arial"/>
          <w:sz w:val="18"/>
          <w:szCs w:val="18"/>
          <w:color w:val="auto"/>
        </w:rPr>
        <w:t>A Participant’s Payroll deductions shall be credited to his or her account under this Plan. A Participant may not make any additional payments into his or her account.</w:t>
      </w:r>
    </w:p>
    <w:p>
      <w:pPr>
        <w:spacing w:after="0" w:line="131" w:lineRule="exact"/>
        <w:rPr>
          <w:rFonts w:ascii="Arial" w:cs="Arial" w:eastAsia="Arial" w:hAnsi="Arial"/>
          <w:sz w:val="18"/>
          <w:szCs w:val="18"/>
          <w:color w:val="auto"/>
        </w:rPr>
      </w:pPr>
    </w:p>
    <w:p>
      <w:pPr>
        <w:ind w:left="-20" w:firstLine="921"/>
        <w:spacing w:after="0" w:line="291" w:lineRule="auto"/>
        <w:tabs>
          <w:tab w:leader="none" w:pos="1132" w:val="left"/>
        </w:tabs>
        <w:numPr>
          <w:ilvl w:val="1"/>
          <w:numId w:val="19"/>
        </w:numPr>
        <w:rPr>
          <w:rFonts w:ascii="Arial" w:cs="Arial" w:eastAsia="Arial" w:hAnsi="Arial"/>
          <w:sz w:val="16"/>
          <w:szCs w:val="16"/>
          <w:color w:val="auto"/>
        </w:rPr>
      </w:pPr>
      <w:r>
        <w:rPr>
          <w:rFonts w:ascii="Arial" w:cs="Arial" w:eastAsia="Arial" w:hAnsi="Arial"/>
          <w:sz w:val="16"/>
          <w:szCs w:val="16"/>
          <w:color w:val="auto"/>
        </w:rPr>
        <w:t>A Participant may reduce his or her Payroll deductions by any whole percentage (but not below 1%) at any time during an Offering Period, which will become effective as soon as administratively practicable. A Participant may change his or her Payroll deductions during an Offering Period on or before a date prescribed by the Administrator, effective as of the first business day after the next Purchase Date, by delivering a new subscription agreement authorizing the change in payroll deduction in the form (electronic or other procedure) provided by the Administrator for such purpose. Notwithstanding the foregoing, the Administrator may, in its sole discretion, limit the nature and/or number of Payroll deduction rate changes that may be made by Participants during any Offering Period, and may establish such other conditions or limitations as it deems appropriate for Plan administration.</w:t>
      </w:r>
    </w:p>
    <w:p>
      <w:pPr>
        <w:spacing w:after="0" w:line="120" w:lineRule="exact"/>
        <w:rPr>
          <w:rFonts w:ascii="Arial" w:cs="Arial" w:eastAsia="Arial" w:hAnsi="Arial"/>
          <w:sz w:val="16"/>
          <w:szCs w:val="16"/>
          <w:color w:val="auto"/>
        </w:rPr>
      </w:pPr>
    </w:p>
    <w:p>
      <w:pPr>
        <w:ind w:left="-20" w:right="120" w:firstLine="921"/>
        <w:spacing w:after="0" w:line="256" w:lineRule="auto"/>
        <w:tabs>
          <w:tab w:leader="none" w:pos="1142" w:val="left"/>
        </w:tabs>
        <w:numPr>
          <w:ilvl w:val="1"/>
          <w:numId w:val="19"/>
        </w:numPr>
        <w:rPr>
          <w:rFonts w:ascii="Arial" w:cs="Arial" w:eastAsia="Arial" w:hAnsi="Arial"/>
          <w:sz w:val="18"/>
          <w:szCs w:val="18"/>
          <w:color w:val="auto"/>
        </w:rPr>
      </w:pPr>
      <w:r>
        <w:rPr>
          <w:rFonts w:ascii="Arial" w:cs="Arial" w:eastAsia="Arial" w:hAnsi="Arial"/>
          <w:sz w:val="18"/>
          <w:szCs w:val="18"/>
          <w:color w:val="auto"/>
        </w:rPr>
        <w:t>Notwithstanding the foregoing, to the extent necessary to comply with Section 423(b)(8) of the Code and Section 3(c), a Participant’s Payroll deductions may be decreased to 0% at any time during the Offering Period. Subject to Section 423(b)(8) of the Code and Section 3(c) hereof, Payroll deductions will recommence at the rate originally elected by the Participant effective as of the beginning of the first Offering Period scheduled to end in the following calendar year, unless terminated by the Participant as provided in Section 10.</w:t>
      </w:r>
    </w:p>
    <w:p>
      <w:pPr>
        <w:spacing w:after="0" w:line="143" w:lineRule="exact"/>
        <w:rPr>
          <w:rFonts w:ascii="Arial" w:cs="Arial" w:eastAsia="Arial" w:hAnsi="Arial"/>
          <w:sz w:val="18"/>
          <w:szCs w:val="18"/>
          <w:color w:val="auto"/>
        </w:rPr>
      </w:pPr>
    </w:p>
    <w:p>
      <w:pPr>
        <w:ind w:left="-20" w:right="340" w:firstLine="921"/>
        <w:spacing w:after="0" w:line="306" w:lineRule="auto"/>
        <w:tabs>
          <w:tab w:leader="none" w:pos="1132" w:val="left"/>
        </w:tabs>
        <w:numPr>
          <w:ilvl w:val="1"/>
          <w:numId w:val="19"/>
        </w:numPr>
        <w:rPr>
          <w:rFonts w:ascii="Arial" w:cs="Arial" w:eastAsia="Arial" w:hAnsi="Arial"/>
          <w:sz w:val="16"/>
          <w:szCs w:val="16"/>
          <w:color w:val="auto"/>
        </w:rPr>
      </w:pPr>
      <w:r>
        <w:rPr>
          <w:rFonts w:ascii="Arial" w:cs="Arial" w:eastAsia="Arial" w:hAnsi="Arial"/>
          <w:sz w:val="16"/>
          <w:szCs w:val="16"/>
          <w:color w:val="auto"/>
        </w:rPr>
        <w:t>Notwithstanding any provisions to the contrary in the Plan, the Administrator may allow Participants to participate in the Plan via cash contributions instead of Payroll deductions if (i) Payroll deductions are not permitted under applicable local law, and (ii) the Participant is participating in the Non-423 Plan Component or the Administrator determines that cash contributions are permissible under Section 423 of the Code.</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60" w:top="280" w:right="259" w:bottom="1440" w:gutter="0" w:footer="0" w:header="0"/>
        </w:sectPr>
      </w:pPr>
    </w:p>
    <w:bookmarkStart w:id="50" w:name="page51"/>
    <w:bookmarkEnd w:id="50"/>
    <w:p>
      <w:pPr>
        <w:ind w:left="640" w:hanging="176"/>
        <w:spacing w:after="0"/>
        <w:tabs>
          <w:tab w:leader="none" w:pos="640"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Purchase Rights</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right="200" w:firstLine="921"/>
        <w:spacing w:after="0" w:line="302" w:lineRule="auto"/>
        <w:tabs>
          <w:tab w:leader="none" w:pos="1152" w:val="left"/>
        </w:tabs>
        <w:numPr>
          <w:ilvl w:val="2"/>
          <w:numId w:val="20"/>
        </w:numPr>
        <w:rPr>
          <w:rFonts w:ascii="Arial" w:cs="Arial" w:eastAsia="Arial" w:hAnsi="Arial"/>
          <w:sz w:val="15"/>
          <w:szCs w:val="15"/>
          <w:color w:val="auto"/>
        </w:rPr>
      </w:pPr>
      <w:r>
        <w:rPr>
          <w:rFonts w:ascii="Arial" w:cs="Arial" w:eastAsia="Arial" w:hAnsi="Arial"/>
          <w:sz w:val="15"/>
          <w:szCs w:val="15"/>
          <w:u w:val="single" w:color="auto"/>
          <w:color w:val="auto"/>
        </w:rPr>
        <w:t>Grant of Purchase Rights</w:t>
      </w:r>
      <w:r>
        <w:rPr>
          <w:rFonts w:ascii="Arial" w:cs="Arial" w:eastAsia="Arial" w:hAnsi="Arial"/>
          <w:sz w:val="15"/>
          <w:szCs w:val="15"/>
          <w:color w:val="auto"/>
        </w:rPr>
        <w:t>. On the Offering Date of each Offering Period, each Participant will be granted a Purchase Right to purchase on each Purchase Date during such Offering Period (at the applicable purchase price) up to a number of shares of Common Stock determined by dividing such Participant’s Payroll deductions accumulated prior to such Purchase Date and retained in the Participant’s account as of the Purchase Date by the applicable purchase price; provided that in no event will a Participant be permitted to purchase (x) on each Purchase Date more than 7,500 shares of Common Stock and</w:t>
      </w:r>
    </w:p>
    <w:p>
      <w:pPr>
        <w:spacing w:after="0" w:line="2" w:lineRule="exact"/>
        <w:rPr>
          <w:rFonts w:ascii="Arial" w:cs="Arial" w:eastAsia="Arial" w:hAnsi="Arial"/>
          <w:sz w:val="15"/>
          <w:szCs w:val="15"/>
          <w:color w:val="auto"/>
        </w:rPr>
      </w:pPr>
    </w:p>
    <w:p>
      <w:pPr>
        <w:ind w:right="120" w:firstLine="8"/>
        <w:spacing w:after="0" w:line="290" w:lineRule="auto"/>
        <w:tabs>
          <w:tab w:leader="none" w:pos="249" w:val="left"/>
        </w:tabs>
        <w:numPr>
          <w:ilvl w:val="0"/>
          <w:numId w:val="21"/>
        </w:numPr>
        <w:rPr>
          <w:rFonts w:ascii="Arial" w:cs="Arial" w:eastAsia="Arial" w:hAnsi="Arial"/>
          <w:sz w:val="16"/>
          <w:szCs w:val="16"/>
          <w:color w:val="auto"/>
        </w:rPr>
      </w:pPr>
      <w:r>
        <w:rPr>
          <w:rFonts w:ascii="Arial" w:cs="Arial" w:eastAsia="Arial" w:hAnsi="Arial"/>
          <w:sz w:val="16"/>
          <w:szCs w:val="16"/>
          <w:color w:val="auto"/>
        </w:rPr>
        <w:t>during each Offering Period more than 30,000 shares of Common Stock, in each case, subject to any adjustment pursuant to Section 17, and provided further that such purchase will be subject to the limitations set forth in Sections 3(b), 3(c) and 12. The Participant may accept the grant of such Purchase Right with respect to an Offering Period by electing to participate in the Plan in accordance with the requirements of Section 5. The Administrator may, for future Offering Periods, increase or decrease, in its absolute discretion, the maximum number of shares of Common Stock that a Participant may purchase during each Offering Period, subject to the limitations set forth in Sections 3(b), 3(c) and 12. Exercise of the Purchase Right will occur as provided in Section 8, unless the Participant has withdrawn pursuant to Section 10. The Purchase Right will expire on the last day of the Offering Period.</w:t>
      </w:r>
    </w:p>
    <w:p>
      <w:pPr>
        <w:spacing w:after="0" w:line="118" w:lineRule="exact"/>
        <w:rPr>
          <w:rFonts w:ascii="Arial" w:cs="Arial" w:eastAsia="Arial" w:hAnsi="Arial"/>
          <w:sz w:val="16"/>
          <w:szCs w:val="16"/>
          <w:color w:val="auto"/>
        </w:rPr>
      </w:pPr>
    </w:p>
    <w:p>
      <w:pPr>
        <w:ind w:left="1160" w:hanging="239"/>
        <w:spacing w:after="0"/>
        <w:tabs>
          <w:tab w:leader="none" w:pos="1160" w:val="left"/>
        </w:tabs>
        <w:numPr>
          <w:ilvl w:val="2"/>
          <w:numId w:val="21"/>
        </w:numPr>
        <w:rPr>
          <w:rFonts w:ascii="Arial" w:cs="Arial" w:eastAsia="Arial" w:hAnsi="Arial"/>
          <w:sz w:val="16"/>
          <w:szCs w:val="16"/>
          <w:color w:val="auto"/>
        </w:rPr>
      </w:pPr>
      <w:r>
        <w:rPr>
          <w:rFonts w:ascii="Arial" w:cs="Arial" w:eastAsia="Arial" w:hAnsi="Arial"/>
          <w:sz w:val="16"/>
          <w:szCs w:val="16"/>
          <w:u w:val="single" w:color="auto"/>
          <w:color w:val="auto"/>
        </w:rPr>
        <w:t>Terms of Purchase Rights</w:t>
      </w:r>
      <w:r>
        <w:rPr>
          <w:rFonts w:ascii="Arial" w:cs="Arial" w:eastAsia="Arial" w:hAnsi="Arial"/>
          <w:sz w:val="16"/>
          <w:szCs w:val="16"/>
          <w:color w:val="auto"/>
        </w:rPr>
        <w:t>. Except as otherwise determined by the Administrator, each Purchase Right shall have the following terms:</w:t>
      </w:r>
    </w:p>
    <w:p>
      <w:pPr>
        <w:spacing w:after="0" w:line="194" w:lineRule="exact"/>
        <w:rPr>
          <w:rFonts w:ascii="Arial" w:cs="Arial" w:eastAsia="Arial" w:hAnsi="Arial"/>
          <w:sz w:val="16"/>
          <w:szCs w:val="16"/>
          <w:color w:val="auto"/>
        </w:rPr>
      </w:pPr>
    </w:p>
    <w:p>
      <w:pPr>
        <w:ind w:right="220" w:firstLine="1492"/>
        <w:spacing w:after="0" w:line="268" w:lineRule="auto"/>
        <w:tabs>
          <w:tab w:leader="none" w:pos="1693" w:val="left"/>
        </w:tabs>
        <w:numPr>
          <w:ilvl w:val="3"/>
          <w:numId w:val="21"/>
        </w:numPr>
        <w:rPr>
          <w:rFonts w:ascii="Arial" w:cs="Arial" w:eastAsia="Arial" w:hAnsi="Arial"/>
          <w:sz w:val="18"/>
          <w:szCs w:val="18"/>
          <w:color w:val="auto"/>
        </w:rPr>
      </w:pPr>
      <w:r>
        <w:rPr>
          <w:rFonts w:ascii="Arial" w:cs="Arial" w:eastAsia="Arial" w:hAnsi="Arial"/>
          <w:sz w:val="18"/>
          <w:szCs w:val="18"/>
          <w:color w:val="auto"/>
        </w:rPr>
        <w:t>The per-share price of the shares subject to a Purchase Right shall be 85% of the lower of the Fair Market Value of a share of Common Stock on (a) the Offering Date on which the Purchase Right was granted and (b) the Purchase Date.</w:t>
      </w:r>
    </w:p>
    <w:p>
      <w:pPr>
        <w:spacing w:after="0" w:line="131" w:lineRule="exact"/>
        <w:rPr>
          <w:rFonts w:ascii="Arial" w:cs="Arial" w:eastAsia="Arial" w:hAnsi="Arial"/>
          <w:sz w:val="18"/>
          <w:szCs w:val="18"/>
          <w:color w:val="auto"/>
        </w:rPr>
      </w:pPr>
    </w:p>
    <w:p>
      <w:pPr>
        <w:ind w:left="1760" w:hanging="268"/>
        <w:spacing w:after="0"/>
        <w:tabs>
          <w:tab w:leader="none" w:pos="1760" w:val="left"/>
        </w:tabs>
        <w:numPr>
          <w:ilvl w:val="3"/>
          <w:numId w:val="21"/>
        </w:numPr>
        <w:rPr>
          <w:rFonts w:ascii="Arial" w:cs="Arial" w:eastAsia="Arial" w:hAnsi="Arial"/>
          <w:sz w:val="16"/>
          <w:szCs w:val="16"/>
          <w:color w:val="auto"/>
        </w:rPr>
      </w:pPr>
      <w:r>
        <w:rPr>
          <w:rFonts w:ascii="Arial" w:cs="Arial" w:eastAsia="Arial" w:hAnsi="Arial"/>
          <w:sz w:val="16"/>
          <w:szCs w:val="16"/>
          <w:color w:val="auto"/>
        </w:rPr>
        <w:t>Payment for shares purchased by exercise of Purchase Rights shall be made only through Payroll deductions under Section 6.</w:t>
      </w:r>
    </w:p>
    <w:p>
      <w:pPr>
        <w:spacing w:after="0" w:line="194" w:lineRule="exact"/>
        <w:rPr>
          <w:rFonts w:ascii="Arial" w:cs="Arial" w:eastAsia="Arial" w:hAnsi="Arial"/>
          <w:sz w:val="16"/>
          <w:szCs w:val="16"/>
          <w:color w:val="auto"/>
        </w:rPr>
      </w:pPr>
    </w:p>
    <w:p>
      <w:pPr>
        <w:ind w:firstLine="1492"/>
        <w:spacing w:after="0" w:line="298" w:lineRule="auto"/>
        <w:tabs>
          <w:tab w:leader="none" w:pos="1791" w:val="left"/>
        </w:tabs>
        <w:numPr>
          <w:ilvl w:val="3"/>
          <w:numId w:val="21"/>
        </w:numPr>
        <w:rPr>
          <w:rFonts w:ascii="Arial" w:cs="Arial" w:eastAsia="Arial" w:hAnsi="Arial"/>
          <w:sz w:val="16"/>
          <w:szCs w:val="16"/>
          <w:color w:val="auto"/>
        </w:rPr>
      </w:pPr>
      <w:r>
        <w:rPr>
          <w:rFonts w:ascii="Arial" w:cs="Arial" w:eastAsia="Arial" w:hAnsi="Arial"/>
          <w:sz w:val="16"/>
          <w:szCs w:val="16"/>
          <w:color w:val="auto"/>
        </w:rPr>
        <w:t>Upon purchase or disposition of shares acquired by exercise of a Purchase Right, the Participant shall pay, or make provision satisfactory to the Administrator for payment of, all tax (and similar) withholdings that the Administrator determines, in its discretion, are required due to the acquisition or disposition, including without limitation any such withholding that the Administrator determines in its discretion is necessary to allow the Company and its Subsidiaries to claim tax deductions or other benefits in connection with the acquisition or disposition.</w:t>
      </w:r>
    </w:p>
    <w:p>
      <w:pPr>
        <w:spacing w:after="0" w:line="112" w:lineRule="exact"/>
        <w:rPr>
          <w:rFonts w:ascii="Arial" w:cs="Arial" w:eastAsia="Arial" w:hAnsi="Arial"/>
          <w:sz w:val="16"/>
          <w:szCs w:val="16"/>
          <w:color w:val="auto"/>
        </w:rPr>
      </w:pPr>
    </w:p>
    <w:p>
      <w:pPr>
        <w:ind w:left="1780" w:hanging="288"/>
        <w:spacing w:after="0"/>
        <w:tabs>
          <w:tab w:leader="none" w:pos="1780" w:val="left"/>
        </w:tabs>
        <w:numPr>
          <w:ilvl w:val="3"/>
          <w:numId w:val="21"/>
        </w:numPr>
        <w:rPr>
          <w:rFonts w:ascii="Arial" w:cs="Arial" w:eastAsia="Arial" w:hAnsi="Arial"/>
          <w:sz w:val="18"/>
          <w:szCs w:val="18"/>
          <w:color w:val="auto"/>
        </w:rPr>
      </w:pPr>
      <w:r>
        <w:rPr>
          <w:rFonts w:ascii="Arial" w:cs="Arial" w:eastAsia="Arial" w:hAnsi="Arial"/>
          <w:sz w:val="18"/>
          <w:szCs w:val="18"/>
          <w:color w:val="auto"/>
        </w:rPr>
        <w:t>During his or her lifetime, a Participant’s Purchase Right is exercisable only by the Participant.</w:t>
      </w:r>
    </w:p>
    <w:p>
      <w:pPr>
        <w:spacing w:after="0" w:line="171" w:lineRule="exact"/>
        <w:rPr>
          <w:rFonts w:ascii="Arial" w:cs="Arial" w:eastAsia="Arial" w:hAnsi="Arial"/>
          <w:sz w:val="18"/>
          <w:szCs w:val="18"/>
          <w:color w:val="auto"/>
        </w:rPr>
      </w:pPr>
    </w:p>
    <w:p>
      <w:pPr>
        <w:ind w:left="1740" w:hanging="248"/>
        <w:spacing w:after="0"/>
        <w:tabs>
          <w:tab w:leader="none" w:pos="1740" w:val="left"/>
        </w:tabs>
        <w:numPr>
          <w:ilvl w:val="3"/>
          <w:numId w:val="21"/>
        </w:numPr>
        <w:rPr>
          <w:rFonts w:ascii="Arial" w:cs="Arial" w:eastAsia="Arial" w:hAnsi="Arial"/>
          <w:sz w:val="16"/>
          <w:szCs w:val="16"/>
          <w:color w:val="auto"/>
        </w:rPr>
      </w:pPr>
      <w:r>
        <w:rPr>
          <w:rFonts w:ascii="Arial" w:cs="Arial" w:eastAsia="Arial" w:hAnsi="Arial"/>
          <w:sz w:val="16"/>
          <w:szCs w:val="16"/>
          <w:color w:val="auto"/>
        </w:rPr>
        <w:t>Purchase Rights will in all respects be subject to the terms and conditions of this Plan, as interpreted by the Administrator from time to</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time.</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80" w:right="259" w:bottom="1440" w:gutter="0" w:footer="0" w:header="0"/>
        </w:sectPr>
      </w:pPr>
    </w:p>
    <w:bookmarkStart w:id="51" w:name="page52"/>
    <w:bookmarkEnd w:id="51"/>
    <w:p>
      <w:pPr>
        <w:ind w:left="620" w:hanging="176"/>
        <w:spacing w:after="0"/>
        <w:tabs>
          <w:tab w:leader="none" w:pos="620"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Purchase Dates; Purchase of Shares; Refund of Excess Cash</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20" w:right="220" w:firstLine="921"/>
        <w:spacing w:after="0" w:line="268" w:lineRule="auto"/>
        <w:tabs>
          <w:tab w:leader="none" w:pos="1132" w:val="left"/>
        </w:tabs>
        <w:numPr>
          <w:ilvl w:val="1"/>
          <w:numId w:val="22"/>
        </w:numPr>
        <w:rPr>
          <w:rFonts w:ascii="Arial" w:cs="Arial" w:eastAsia="Arial" w:hAnsi="Arial"/>
          <w:sz w:val="18"/>
          <w:szCs w:val="18"/>
          <w:color w:val="auto"/>
        </w:rPr>
      </w:pPr>
      <w:r>
        <w:rPr>
          <w:rFonts w:ascii="Arial" w:cs="Arial" w:eastAsia="Arial" w:hAnsi="Arial"/>
          <w:sz w:val="18"/>
          <w:szCs w:val="18"/>
          <w:color w:val="auto"/>
        </w:rPr>
        <w:t>The Administrator shall establish one or more Purchase Dates for each Offering Period. Unless otherwise determined by the Administrator, the trading day immediately prior to each June 8 and December 8 in an Offering Period shall be a Purchase Date.</w:t>
      </w:r>
    </w:p>
    <w:p>
      <w:pPr>
        <w:spacing w:after="0" w:line="131" w:lineRule="exact"/>
        <w:rPr>
          <w:rFonts w:ascii="Arial" w:cs="Arial" w:eastAsia="Arial" w:hAnsi="Arial"/>
          <w:sz w:val="18"/>
          <w:szCs w:val="18"/>
          <w:color w:val="auto"/>
        </w:rPr>
      </w:pPr>
    </w:p>
    <w:p>
      <w:pPr>
        <w:ind w:left="-20" w:firstLine="921"/>
        <w:spacing w:after="0" w:line="314" w:lineRule="auto"/>
        <w:tabs>
          <w:tab w:leader="none" w:pos="1142" w:val="left"/>
        </w:tabs>
        <w:numPr>
          <w:ilvl w:val="1"/>
          <w:numId w:val="22"/>
        </w:numPr>
        <w:rPr>
          <w:rFonts w:ascii="Arial" w:cs="Arial" w:eastAsia="Arial" w:hAnsi="Arial"/>
          <w:sz w:val="15"/>
          <w:szCs w:val="15"/>
          <w:color w:val="auto"/>
        </w:rPr>
      </w:pPr>
      <w:r>
        <w:rPr>
          <w:rFonts w:ascii="Arial" w:cs="Arial" w:eastAsia="Arial" w:hAnsi="Arial"/>
          <w:sz w:val="15"/>
          <w:szCs w:val="15"/>
          <w:color w:val="auto"/>
        </w:rPr>
        <w:t>Except as otherwise determined by the Administrator, and subject to subsection (c), below, each then-outstanding Purchase Right shall be exercised automatically on each Purchase Date, following addition to the Participant’s account of that day’s Payroll deductions, to purchase the maximum number of full shares of Common Stock at the applicable price using the Participant’s accumulated Payroll deductions. No fractional shares of Common Stock will be purchased; any Payroll deductions accumulated in a Participant’s account, which are not sufficient to purchase a full share will be promptly refunded to a Participant after a given Purchase Date. To the extent that Payroll deductions accumulate in a Participant’s account that exceed the aggregate purchase price of the maximum amount of shares purchasable on a given Purchase Date, such excess amounts will be promptly refunded to a Participant after the given Purchase Date.</w:t>
      </w:r>
    </w:p>
    <w:p>
      <w:pPr>
        <w:spacing w:after="0" w:line="104" w:lineRule="exact"/>
        <w:rPr>
          <w:rFonts w:ascii="Arial" w:cs="Arial" w:eastAsia="Arial" w:hAnsi="Arial"/>
          <w:sz w:val="15"/>
          <w:szCs w:val="15"/>
          <w:color w:val="auto"/>
        </w:rPr>
      </w:pPr>
    </w:p>
    <w:p>
      <w:pPr>
        <w:ind w:left="1140" w:hanging="239"/>
        <w:spacing w:after="0"/>
        <w:tabs>
          <w:tab w:leader="none" w:pos="1140" w:val="left"/>
        </w:tabs>
        <w:numPr>
          <w:ilvl w:val="1"/>
          <w:numId w:val="22"/>
        </w:numPr>
        <w:rPr>
          <w:rFonts w:ascii="Arial" w:cs="Arial" w:eastAsia="Arial" w:hAnsi="Arial"/>
          <w:sz w:val="16"/>
          <w:szCs w:val="16"/>
          <w:color w:val="auto"/>
        </w:rPr>
      </w:pPr>
      <w:r>
        <w:rPr>
          <w:rFonts w:ascii="Arial" w:cs="Arial" w:eastAsia="Arial" w:hAnsi="Arial"/>
          <w:sz w:val="16"/>
          <w:szCs w:val="16"/>
          <w:color w:val="auto"/>
        </w:rPr>
        <w:t>The shares purchased upon exercise of a Purchase Right shall be deemed to be transferred to the Participant on the Purchase Date.</w:t>
      </w:r>
    </w:p>
    <w:p>
      <w:pPr>
        <w:spacing w:after="0" w:line="194" w:lineRule="exact"/>
        <w:rPr>
          <w:rFonts w:ascii="Arial" w:cs="Arial" w:eastAsia="Arial" w:hAnsi="Arial"/>
          <w:sz w:val="16"/>
          <w:szCs w:val="16"/>
          <w:color w:val="auto"/>
        </w:rPr>
      </w:pPr>
    </w:p>
    <w:p>
      <w:pPr>
        <w:ind w:left="620" w:hanging="176"/>
        <w:spacing w:after="0"/>
        <w:tabs>
          <w:tab w:leader="none" w:pos="620"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Registration and Delivery of Share Certificates</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20" w:right="40" w:firstLine="921"/>
        <w:spacing w:after="0" w:line="332" w:lineRule="auto"/>
        <w:tabs>
          <w:tab w:leader="none" w:pos="1132" w:val="left"/>
        </w:tabs>
        <w:numPr>
          <w:ilvl w:val="1"/>
          <w:numId w:val="22"/>
        </w:numPr>
        <w:rPr>
          <w:rFonts w:ascii="Arial" w:cs="Arial" w:eastAsia="Arial" w:hAnsi="Arial"/>
          <w:sz w:val="16"/>
          <w:szCs w:val="16"/>
          <w:color w:val="auto"/>
        </w:rPr>
      </w:pPr>
      <w:r>
        <w:rPr>
          <w:rFonts w:ascii="Arial" w:cs="Arial" w:eastAsia="Arial" w:hAnsi="Arial"/>
          <w:sz w:val="16"/>
          <w:szCs w:val="16"/>
          <w:color w:val="auto"/>
        </w:rPr>
        <w:t>Shares purchased by a Participant under this Plan will be registered in the name of the Participant, or in the name of the Participant and his or her spouse, or in the name of the Participant and joint tenant(s) (with right of survivorship), as designated by the Participant.</w:t>
      </w:r>
    </w:p>
    <w:p>
      <w:pPr>
        <w:spacing w:after="0" w:line="85" w:lineRule="exact"/>
        <w:rPr>
          <w:rFonts w:ascii="Arial" w:cs="Arial" w:eastAsia="Arial" w:hAnsi="Arial"/>
          <w:sz w:val="16"/>
          <w:szCs w:val="16"/>
          <w:color w:val="auto"/>
        </w:rPr>
      </w:pPr>
    </w:p>
    <w:p>
      <w:pPr>
        <w:ind w:left="-20" w:right="100" w:firstLine="921"/>
        <w:spacing w:after="0" w:line="335" w:lineRule="auto"/>
        <w:tabs>
          <w:tab w:leader="none" w:pos="1142" w:val="left"/>
        </w:tabs>
        <w:numPr>
          <w:ilvl w:val="1"/>
          <w:numId w:val="22"/>
        </w:numPr>
        <w:rPr>
          <w:rFonts w:ascii="Arial" w:cs="Arial" w:eastAsia="Arial" w:hAnsi="Arial"/>
          <w:sz w:val="15"/>
          <w:szCs w:val="15"/>
          <w:color w:val="auto"/>
        </w:rPr>
      </w:pPr>
      <w:r>
        <w:rPr>
          <w:rFonts w:ascii="Arial" w:cs="Arial" w:eastAsia="Arial" w:hAnsi="Arial"/>
          <w:sz w:val="15"/>
          <w:szCs w:val="15"/>
          <w:color w:val="auto"/>
        </w:rPr>
        <w:t>As soon as administratively feasible after each Purchase Date, the Company shall deliver to the Participant a certificate representing the shares purchased upon exercise of a Purchase Right. If approved by the Administrator in its discretion, the Company may instead (i) deliver a certificate (or equivalent) to a broker for crediting to the Participant’s account or (ii) make a notation in the Participant’s favor of non-certificated shares on the Company’s stock records.</w:t>
      </w:r>
    </w:p>
    <w:p>
      <w:pPr>
        <w:spacing w:after="0" w:line="88" w:lineRule="exact"/>
        <w:rPr>
          <w:rFonts w:ascii="Arial" w:cs="Arial" w:eastAsia="Arial" w:hAnsi="Arial"/>
          <w:sz w:val="15"/>
          <w:szCs w:val="15"/>
          <w:color w:val="auto"/>
        </w:rPr>
      </w:pPr>
    </w:p>
    <w:p>
      <w:pPr>
        <w:ind w:left="700" w:hanging="256"/>
        <w:spacing w:after="0"/>
        <w:tabs>
          <w:tab w:leader="none" w:pos="700"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Withdrawal; Termination of Employment</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20" w:right="40" w:firstLine="921"/>
        <w:spacing w:after="0" w:line="256" w:lineRule="auto"/>
        <w:tabs>
          <w:tab w:leader="none" w:pos="1132" w:val="left"/>
        </w:tabs>
        <w:numPr>
          <w:ilvl w:val="1"/>
          <w:numId w:val="22"/>
        </w:numPr>
        <w:rPr>
          <w:rFonts w:ascii="Arial" w:cs="Arial" w:eastAsia="Arial" w:hAnsi="Arial"/>
          <w:sz w:val="18"/>
          <w:szCs w:val="18"/>
          <w:color w:val="auto"/>
        </w:rPr>
      </w:pPr>
      <w:r>
        <w:rPr>
          <w:rFonts w:ascii="Arial" w:cs="Arial" w:eastAsia="Arial" w:hAnsi="Arial"/>
          <w:sz w:val="18"/>
          <w:szCs w:val="18"/>
          <w:color w:val="auto"/>
        </w:rPr>
        <w:t>A Participant may withdraw all, but not less than all, the Payroll deductions credited to his account under this Plan before a Purchase Date by giving written notice to the Administrator, in a form the Administrator prescribes from time to time, at least 15 days before the Purchase Date. Payroll deductions will then cease as to the Participant, no purchase of shares will be made for the Participant on the Purchase Date, and all Payroll deductions then credited to the Participant’s account will be refunded promptly.</w:t>
      </w:r>
    </w:p>
    <w:p>
      <w:pPr>
        <w:spacing w:after="0" w:line="143" w:lineRule="exact"/>
        <w:rPr>
          <w:rFonts w:ascii="Arial" w:cs="Arial" w:eastAsia="Arial" w:hAnsi="Arial"/>
          <w:sz w:val="18"/>
          <w:szCs w:val="18"/>
          <w:color w:val="auto"/>
        </w:rPr>
      </w:pPr>
    </w:p>
    <w:p>
      <w:pPr>
        <w:ind w:left="-20" w:right="100" w:firstLine="921"/>
        <w:spacing w:after="0" w:line="259" w:lineRule="auto"/>
        <w:tabs>
          <w:tab w:leader="none" w:pos="1142" w:val="left"/>
        </w:tabs>
        <w:numPr>
          <w:ilvl w:val="1"/>
          <w:numId w:val="22"/>
        </w:numPr>
        <w:rPr>
          <w:rFonts w:ascii="Arial" w:cs="Arial" w:eastAsia="Arial" w:hAnsi="Arial"/>
          <w:sz w:val="18"/>
          <w:szCs w:val="18"/>
          <w:color w:val="auto"/>
        </w:rPr>
      </w:pPr>
      <w:r>
        <w:rPr>
          <w:rFonts w:ascii="Arial" w:cs="Arial" w:eastAsia="Arial" w:hAnsi="Arial"/>
          <w:sz w:val="18"/>
          <w:szCs w:val="18"/>
          <w:color w:val="auto"/>
        </w:rPr>
        <w:t>Upon termination of a Participant’s Continuous Employment for any reason, including retirement or death, all Payroll deductions credited to the Participant’s account will be promptly refunded to the Participant or, in the case of death, to the person or persons entitled thereto under Section 14, and the Participant’s Purchase Right will automatically terminate.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80"/>
          </w:cols>
          <w:pgMar w:left="260" w:top="280" w:right="259" w:bottom="1440" w:gutter="0" w:footer="0" w:header="0"/>
        </w:sectPr>
      </w:pPr>
    </w:p>
    <w:bookmarkStart w:id="52" w:name="page53"/>
    <w:bookmarkEnd w:id="52"/>
    <w:p>
      <w:pPr>
        <w:ind w:left="-20" w:firstLine="921"/>
        <w:spacing w:after="0" w:line="268" w:lineRule="auto"/>
        <w:tabs>
          <w:tab w:leader="none" w:pos="1132" w:val="left"/>
        </w:tabs>
        <w:numPr>
          <w:ilvl w:val="1"/>
          <w:numId w:val="2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Participant’s withdrawal from an offering will not affect the Participant’s eligibility to participate in a succeeding offering or in any similar plan that may be adopted by the Company.</w:t>
      </w:r>
    </w:p>
    <w:p>
      <w:pPr>
        <w:spacing w:after="0" w:line="131" w:lineRule="exact"/>
        <w:rPr>
          <w:rFonts w:ascii="Arial" w:cs="Arial" w:eastAsia="Arial" w:hAnsi="Arial"/>
          <w:sz w:val="18"/>
          <w:szCs w:val="18"/>
          <w:color w:val="auto"/>
        </w:rPr>
      </w:pPr>
    </w:p>
    <w:p>
      <w:pPr>
        <w:ind w:left="-20" w:right="40" w:firstLine="464"/>
        <w:spacing w:after="0" w:line="294" w:lineRule="auto"/>
        <w:tabs>
          <w:tab w:leader="none" w:pos="693" w:val="left"/>
        </w:tabs>
        <w:numPr>
          <w:ilvl w:val="0"/>
          <w:numId w:val="24"/>
        </w:numPr>
        <w:rPr>
          <w:rFonts w:ascii="Arial" w:cs="Arial" w:eastAsia="Arial" w:hAnsi="Arial"/>
          <w:sz w:val="16"/>
          <w:szCs w:val="16"/>
          <w:color w:val="auto"/>
        </w:rPr>
      </w:pPr>
      <w:r>
        <w:rPr>
          <w:rFonts w:ascii="Arial" w:cs="Arial" w:eastAsia="Arial" w:hAnsi="Arial"/>
          <w:sz w:val="16"/>
          <w:szCs w:val="16"/>
          <w:u w:val="single" w:color="auto"/>
          <w:color w:val="auto"/>
        </w:rPr>
        <w:t>Use of Funds; No Interest</w:t>
      </w:r>
      <w:r>
        <w:rPr>
          <w:rFonts w:ascii="Arial" w:cs="Arial" w:eastAsia="Arial" w:hAnsi="Arial"/>
          <w:sz w:val="16"/>
          <w:szCs w:val="16"/>
          <w:color w:val="auto"/>
        </w:rPr>
        <w:t>. Amounts withheld from Participants under this Plan shall constitute general funds of the Company, may be used for any corporate purpose, and need not be segregated from other funds unless otherwise required under local law, as determined by the Administrator (in which case, the affected Purchase Rights will be granted under the Non-423 Plan Component, if necessary). No interest shall accrue on a Participant’s Payroll deductions, except as may be required by applicable law, as determined by the Administrator, for Participants in the Non-423 Plan Component (or the Code Section 423 Plan Component if permitted under Code Section 423).</w:t>
      </w:r>
    </w:p>
    <w:p>
      <w:pPr>
        <w:spacing w:after="0" w:line="115" w:lineRule="exact"/>
        <w:rPr>
          <w:rFonts w:ascii="Arial" w:cs="Arial" w:eastAsia="Arial" w:hAnsi="Arial"/>
          <w:sz w:val="16"/>
          <w:szCs w:val="16"/>
          <w:color w:val="auto"/>
        </w:rPr>
      </w:pPr>
    </w:p>
    <w:p>
      <w:pPr>
        <w:ind w:left="700" w:hanging="256"/>
        <w:spacing w:after="0"/>
        <w:tabs>
          <w:tab w:leader="none" w:pos="700"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Number of Shares Reserved</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20" w:right="80" w:firstLine="921"/>
        <w:spacing w:after="0" w:line="298" w:lineRule="auto"/>
        <w:tabs>
          <w:tab w:leader="none" w:pos="1132" w:val="left"/>
        </w:tabs>
        <w:numPr>
          <w:ilvl w:val="1"/>
          <w:numId w:val="24"/>
        </w:numPr>
        <w:rPr>
          <w:rFonts w:ascii="Arial" w:cs="Arial" w:eastAsia="Arial" w:hAnsi="Arial"/>
          <w:sz w:val="16"/>
          <w:szCs w:val="16"/>
          <w:color w:val="auto"/>
        </w:rPr>
      </w:pPr>
      <w:r>
        <w:rPr>
          <w:rFonts w:ascii="Arial" w:cs="Arial" w:eastAsia="Arial" w:hAnsi="Arial"/>
          <w:sz w:val="16"/>
          <w:szCs w:val="16"/>
          <w:color w:val="auto"/>
        </w:rPr>
        <w:t>The following numbers of shares of Common Stock are reserved for issuance under this Plan, and such number may be issued at any time before termination of this Plan (for the avoidance of doubt, all share numbers in this Section 12 reflect share numbers as adjusted for two separate 2 for 1 stock splits adopted by the Board in February 2004 and February 2006, respectively, and approved by the shareholders at the 2004 annual general meeting of shareholders held on May 28, 2004 and the 2006 annual general meeting of shareholders held on June 9, 2006, respectively):</w:t>
      </w:r>
    </w:p>
    <w:p>
      <w:pPr>
        <w:spacing w:after="0" w:line="112" w:lineRule="exact"/>
        <w:rPr>
          <w:rFonts w:ascii="Arial" w:cs="Arial" w:eastAsia="Arial" w:hAnsi="Arial"/>
          <w:sz w:val="16"/>
          <w:szCs w:val="16"/>
          <w:color w:val="auto"/>
        </w:rPr>
      </w:pPr>
    </w:p>
    <w:p>
      <w:pPr>
        <w:ind w:left="1680" w:hanging="208"/>
        <w:spacing w:after="0"/>
        <w:tabs>
          <w:tab w:leader="none" w:pos="16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Beginning the date of approval of this Plan by the shareholders of the Company, 4,000,000 shares of Common Stock; and</w:t>
      </w:r>
    </w:p>
    <w:p>
      <w:pPr>
        <w:spacing w:after="0" w:line="171" w:lineRule="exact"/>
        <w:rPr>
          <w:rFonts w:ascii="Arial" w:cs="Arial" w:eastAsia="Arial" w:hAnsi="Arial"/>
          <w:sz w:val="18"/>
          <w:szCs w:val="18"/>
          <w:color w:val="auto"/>
        </w:rPr>
      </w:pPr>
    </w:p>
    <w:p>
      <w:pPr>
        <w:ind w:left="-20" w:right="180" w:firstLine="1492"/>
        <w:spacing w:after="0" w:line="323" w:lineRule="auto"/>
        <w:tabs>
          <w:tab w:leader="none" w:pos="1722" w:val="left"/>
        </w:tabs>
        <w:numPr>
          <w:ilvl w:val="2"/>
          <w:numId w:val="24"/>
        </w:numPr>
        <w:rPr>
          <w:rFonts w:ascii="Arial" w:cs="Arial" w:eastAsia="Arial" w:hAnsi="Arial"/>
          <w:sz w:val="15"/>
          <w:szCs w:val="15"/>
          <w:color w:val="auto"/>
        </w:rPr>
      </w:pPr>
      <w:r>
        <w:rPr>
          <w:rFonts w:ascii="Arial" w:cs="Arial" w:eastAsia="Arial" w:hAnsi="Arial"/>
          <w:sz w:val="15"/>
          <w:szCs w:val="15"/>
          <w:color w:val="auto"/>
        </w:rPr>
        <w:t>Beginning the first business day of each calendar year starting January 1, 2010 or after, the lesser of an additional (A) 8,000,000 shares of Common Stock, or (B) 1.5% of the outstanding shares of capital stock on such date, or (C) an amount determined by the Board (provided that the amount approved by the Board shall not be greater than (A) or (B)). As of the Restatement Effective Date, 53,871,612 shares had been added to this Plan through the operation of prior versions of this Section 12(a)(ii). As of the Restatement Effective Date, 20,740,579 shares were available for issuance under this Plan.</w:t>
      </w:r>
    </w:p>
    <w:p>
      <w:pPr>
        <w:spacing w:after="0" w:line="97" w:lineRule="exact"/>
        <w:rPr>
          <w:rFonts w:ascii="Arial" w:cs="Arial" w:eastAsia="Arial" w:hAnsi="Arial"/>
          <w:sz w:val="15"/>
          <w:szCs w:val="15"/>
          <w:color w:val="auto"/>
        </w:rPr>
      </w:pPr>
    </w:p>
    <w:p>
      <w:pPr>
        <w:ind w:left="-20" w:right="120" w:firstLine="921"/>
        <w:spacing w:after="0" w:line="256" w:lineRule="auto"/>
        <w:tabs>
          <w:tab w:leader="none" w:pos="1142" w:val="left"/>
        </w:tabs>
        <w:numPr>
          <w:ilvl w:val="1"/>
          <w:numId w:val="24"/>
        </w:numPr>
        <w:rPr>
          <w:rFonts w:ascii="Arial" w:cs="Arial" w:eastAsia="Arial" w:hAnsi="Arial"/>
          <w:sz w:val="18"/>
          <w:szCs w:val="18"/>
          <w:color w:val="auto"/>
        </w:rPr>
      </w:pPr>
      <w:r>
        <w:rPr>
          <w:rFonts w:ascii="Arial" w:cs="Arial" w:eastAsia="Arial" w:hAnsi="Arial"/>
          <w:sz w:val="18"/>
          <w:szCs w:val="18"/>
          <w:color w:val="auto"/>
        </w:rPr>
        <w:t>If the total number of shares that would otherwise be subject to Purchase Rights granted on an Offering Date exceeds the number of shares then available under this Plan (after deduction of all shares for which Purchase Rights have been exercised or are then exercisable), the Administrator shall make a pro-rata allocation of the available shares in a manner that it determines to be as uniform and equitable as practicable. In such event, the Administrator shall give written notice of the reduction and allocation to each Participant.</w:t>
      </w:r>
    </w:p>
    <w:p>
      <w:pPr>
        <w:spacing w:after="0" w:line="143" w:lineRule="exact"/>
        <w:rPr>
          <w:rFonts w:ascii="Arial" w:cs="Arial" w:eastAsia="Arial" w:hAnsi="Arial"/>
          <w:sz w:val="18"/>
          <w:szCs w:val="18"/>
          <w:color w:val="auto"/>
        </w:rPr>
      </w:pPr>
    </w:p>
    <w:p>
      <w:pPr>
        <w:ind w:left="-20" w:right="20" w:firstLine="921"/>
        <w:spacing w:after="0" w:line="256" w:lineRule="auto"/>
        <w:tabs>
          <w:tab w:leader="none" w:pos="1132"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Administrator may, in its discretion, transfer shares reserved for issuance under this Plan into a plan or plans of similar terms, as approved by the Board, providing for the purchase of shares of Common Stock to employees of Designated Subsidiaries that do not (or do not thereafter) participate in this Plan. Such additional plans may, without limitation, provide for variances from the terms of this Plan to take into account special circumstances (such as foreign legal restrictions) affecting the employees of the Designated Subsidiaries.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60" w:top="280" w:right="239" w:bottom="1440" w:gutter="0" w:footer="0" w:header="0"/>
        </w:sectPr>
      </w:pPr>
    </w:p>
    <w:bookmarkStart w:id="53" w:name="page54"/>
    <w:bookmarkEnd w:id="53"/>
    <w:p>
      <w:pPr>
        <w:ind w:left="-40" w:right="80" w:firstLine="464"/>
        <w:spacing w:after="0" w:line="306" w:lineRule="auto"/>
        <w:tabs>
          <w:tab w:leader="none" w:pos="680" w:val="left"/>
        </w:tabs>
        <w:numPr>
          <w:ilvl w:val="0"/>
          <w:numId w:val="25"/>
        </w:numPr>
        <w:rPr>
          <w:rFonts w:ascii="Arial" w:cs="Arial" w:eastAsia="Arial" w:hAnsi="Arial"/>
          <w:sz w:val="15"/>
          <w:szCs w:val="15"/>
          <w:color w:val="auto"/>
        </w:rPr>
      </w:pPr>
      <w:r>
        <w:rPr>
          <w:rFonts w:ascii="Arial" w:cs="Arial" w:eastAsia="Arial" w:hAnsi="Arial"/>
          <w:sz w:val="15"/>
          <w:szCs w:val="15"/>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Administration</w:t>
      </w:r>
      <w:r>
        <w:rPr>
          <w:rFonts w:ascii="Arial" w:cs="Arial" w:eastAsia="Arial" w:hAnsi="Arial"/>
          <w:sz w:val="15"/>
          <w:szCs w:val="15"/>
          <w:color w:val="auto"/>
        </w:rPr>
        <w:t>. This Plan shall be administered by the Board or by such directors, officers, and employees of the Company as the Board may select from time to time (the “</w:t>
      </w:r>
      <w:r>
        <w:rPr>
          <w:rFonts w:ascii="Arial" w:cs="Arial" w:eastAsia="Arial" w:hAnsi="Arial"/>
          <w:sz w:val="15"/>
          <w:szCs w:val="15"/>
          <w:u w:val="single" w:color="auto"/>
          <w:color w:val="auto"/>
        </w:rPr>
        <w:t>Administrator</w:t>
      </w:r>
      <w:r>
        <w:rPr>
          <w:rFonts w:ascii="Arial" w:cs="Arial" w:eastAsia="Arial" w:hAnsi="Arial"/>
          <w:sz w:val="15"/>
          <w:szCs w:val="15"/>
          <w:color w:val="auto"/>
        </w:rPr>
        <w:t>”). All costs and expenses incurred in administering this Plan shall be paid by the Company, provided that any taxes applicable to an Employee’s participation in this Plan may be charged to the Employee by the Company. The Administrator may make such rules and regulations as it deems necessary to administer this Plan and to interpret any provision of this Plan, and shall apply those rules and regulations so that all employees granted options under the Plan have the same rights and privileges (except that the right to purchase stock under the Plan may bear a uniform relationship to total compensation). Notwithstanding any provision to the contrary in this Plan, the Administrator may adopt rules or procedures relating to the operation and administration of the Non-423 Plan Component to accommodate the specific requirements of local laws and procedures for jurisdictions outside of the United States. Further, the Administrator is authorized to adopt sub-plans applicable to particular Designated Subsidiaries or locations under the Non-423 Plan Component. The rules of such sub-plans may take precedence over other provisions of this Plan, with the exception of Section 12(a) hereof, but unless otherwise superseded by the terms of such sub-plan, the provisions of this Plan shall govern the operation of such sub-plan. Any determination, decision, or action of the Administrator in connection with the construction, interpretation, administration, or application of this Plan or any right granted under this Plan shall be final, conclusive, and binding upon all persons, and no member of the Administrator shall be liable for any such determination, decision, or action made in good faith.</w:t>
      </w:r>
    </w:p>
    <w:p>
      <w:pPr>
        <w:spacing w:after="0" w:line="116" w:lineRule="exact"/>
        <w:rPr>
          <w:rFonts w:ascii="Arial" w:cs="Arial" w:eastAsia="Arial" w:hAnsi="Arial"/>
          <w:sz w:val="15"/>
          <w:szCs w:val="15"/>
          <w:color w:val="auto"/>
        </w:rPr>
      </w:pPr>
    </w:p>
    <w:p>
      <w:pPr>
        <w:ind w:left="680" w:hanging="256"/>
        <w:spacing w:after="0"/>
        <w:tabs>
          <w:tab w:leader="none" w:pos="680"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Designation of Beneficiary</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40" w:right="220" w:firstLine="921"/>
        <w:spacing w:after="0" w:line="268" w:lineRule="auto"/>
        <w:tabs>
          <w:tab w:leader="none" w:pos="1112" w:val="left"/>
        </w:tabs>
        <w:numPr>
          <w:ilvl w:val="1"/>
          <w:numId w:val="25"/>
        </w:numPr>
        <w:rPr>
          <w:rFonts w:ascii="Arial" w:cs="Arial" w:eastAsia="Arial" w:hAnsi="Arial"/>
          <w:sz w:val="18"/>
          <w:szCs w:val="18"/>
          <w:color w:val="auto"/>
        </w:rPr>
      </w:pPr>
      <w:r>
        <w:rPr>
          <w:rFonts w:ascii="Arial" w:cs="Arial" w:eastAsia="Arial" w:hAnsi="Arial"/>
          <w:sz w:val="18"/>
          <w:szCs w:val="18"/>
          <w:color w:val="auto"/>
        </w:rPr>
        <w:t>A Participant may file a written designation of a beneficiary who is to receive any shares and cash, if any, from the Participant’s account under this Plan in the event of the Participant’s death.</w:t>
      </w:r>
    </w:p>
    <w:p>
      <w:pPr>
        <w:spacing w:after="0" w:line="131" w:lineRule="exact"/>
        <w:rPr>
          <w:rFonts w:ascii="Arial" w:cs="Arial" w:eastAsia="Arial" w:hAnsi="Arial"/>
          <w:sz w:val="18"/>
          <w:szCs w:val="18"/>
          <w:color w:val="auto"/>
        </w:rPr>
      </w:pPr>
    </w:p>
    <w:p>
      <w:pPr>
        <w:ind w:left="-40" w:firstLine="921"/>
        <w:spacing w:after="0" w:line="294" w:lineRule="auto"/>
        <w:tabs>
          <w:tab w:leader="none" w:pos="1122" w:val="left"/>
        </w:tabs>
        <w:numPr>
          <w:ilvl w:val="1"/>
          <w:numId w:val="25"/>
        </w:numPr>
        <w:rPr>
          <w:rFonts w:ascii="Arial" w:cs="Arial" w:eastAsia="Arial" w:hAnsi="Arial"/>
          <w:sz w:val="16"/>
          <w:szCs w:val="16"/>
          <w:color w:val="auto"/>
        </w:rPr>
      </w:pPr>
      <w:r>
        <w:rPr>
          <w:rFonts w:ascii="Arial" w:cs="Arial" w:eastAsia="Arial" w:hAnsi="Arial"/>
          <w:sz w:val="16"/>
          <w:szCs w:val="16"/>
          <w:color w:val="auto"/>
        </w:rPr>
        <w:t>A designation of beneficiary may be changed by the Participant at any time by written notice. In the event of the death of a Participant, and in the absence of a beneficiary validly designated under this Plan who is living at the time of the Participant’s death, the Administrator shall deliver such shares and/or cash to the executor or administrator of the Participant’s estate, or if no such executor or administrator has been appointed (to the Administrator’s knowledge), the Administrator, in its discretion, may deliver such shares and/or cash to the spouse or to any one or more dependents or relatives of the Participant or, if no spouse, dependent, or relative is known to the Administrator, then to such other person as the Administrator may designate.</w:t>
      </w:r>
    </w:p>
    <w:p>
      <w:pPr>
        <w:spacing w:after="0" w:line="115" w:lineRule="exact"/>
        <w:rPr>
          <w:rFonts w:ascii="Arial" w:cs="Arial" w:eastAsia="Arial" w:hAnsi="Arial"/>
          <w:sz w:val="16"/>
          <w:szCs w:val="16"/>
          <w:color w:val="auto"/>
        </w:rPr>
      </w:pPr>
    </w:p>
    <w:p>
      <w:pPr>
        <w:ind w:left="-40" w:right="20" w:firstLine="464"/>
        <w:spacing w:after="0" w:line="298" w:lineRule="auto"/>
        <w:tabs>
          <w:tab w:leader="none" w:pos="680" w:val="left"/>
        </w:tabs>
        <w:numPr>
          <w:ilvl w:val="0"/>
          <w:numId w:val="25"/>
        </w:numPr>
        <w:rPr>
          <w:rFonts w:ascii="Arial" w:cs="Arial" w:eastAsia="Arial" w:hAnsi="Arial"/>
          <w:sz w:val="16"/>
          <w:szCs w:val="16"/>
          <w:color w:val="auto"/>
        </w:rPr>
      </w:pPr>
      <w:r>
        <w:rPr>
          <w:rFonts w:ascii="Arial" w:cs="Arial" w:eastAsia="Arial" w:hAnsi="Arial"/>
          <w:sz w:val="16"/>
          <w:szCs w:val="16"/>
          <w:u w:val="single" w:color="auto"/>
          <w:color w:val="auto"/>
        </w:rPr>
        <w:t>Transferability</w:t>
      </w:r>
      <w:r>
        <w:rPr>
          <w:rFonts w:ascii="Arial" w:cs="Arial" w:eastAsia="Arial" w:hAnsi="Arial"/>
          <w:sz w:val="16"/>
          <w:szCs w:val="16"/>
          <w:color w:val="auto"/>
        </w:rPr>
        <w:t>. Neither Payroll deductions credited to a Participant’s account nor any rights with regard to the exercise of a Purchase Right or to receive shares under this Plan may be assigned, transferred, pledged, or otherwise disposed of in any way (other than by will, the laws of descent and distribution, or as provided in Section 14) by the Participant. Any such attempt at assignment, transfer, pledge, or other disposition shall be without effect, except that the Administrator may treat such act as an election to withdraw funds in accordance with Section 10.</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60"/>
          </w:cols>
          <w:pgMar w:left="280" w:top="280" w:right="259" w:bottom="1440" w:gutter="0" w:footer="0" w:header="0"/>
        </w:sectPr>
      </w:pPr>
    </w:p>
    <w:bookmarkStart w:id="54" w:name="page55"/>
    <w:bookmarkEnd w:id="54"/>
    <w:p>
      <w:pPr>
        <w:ind w:left="-20" w:right="260" w:firstLine="464"/>
        <w:spacing w:after="0" w:line="259" w:lineRule="auto"/>
        <w:tabs>
          <w:tab w:leader="none" w:pos="700" w:val="left"/>
        </w:tabs>
        <w:numPr>
          <w:ilvl w:val="0"/>
          <w:numId w:val="2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Reports</w:t>
      </w:r>
      <w:r>
        <w:rPr>
          <w:rFonts w:ascii="Arial" w:cs="Arial" w:eastAsia="Arial" w:hAnsi="Arial"/>
          <w:sz w:val="18"/>
          <w:szCs w:val="18"/>
          <w:color w:val="auto"/>
        </w:rPr>
        <w:t>. Individual accounts will be maintained for each Participant in this Plan. Statements of account will be given to participating Employees promptly following each Purchase Date, setting forth the amounts of Payroll deductions, per-share purchase price, number of shares purchased, and remaining cash balance, if any.</w:t>
      </w:r>
    </w:p>
    <w:p>
      <w:pPr>
        <w:spacing w:after="0" w:line="140" w:lineRule="exact"/>
        <w:rPr>
          <w:rFonts w:ascii="Arial" w:cs="Arial" w:eastAsia="Arial" w:hAnsi="Arial"/>
          <w:sz w:val="18"/>
          <w:szCs w:val="18"/>
          <w:color w:val="auto"/>
        </w:rPr>
      </w:pPr>
    </w:p>
    <w:p>
      <w:pPr>
        <w:ind w:left="700" w:hanging="256"/>
        <w:spacing w:after="0"/>
        <w:tabs>
          <w:tab w:leader="none" w:pos="700" w:val="left"/>
        </w:tabs>
        <w:numPr>
          <w:ilvl w:val="0"/>
          <w:numId w:val="26"/>
        </w:numPr>
        <w:rPr>
          <w:rFonts w:ascii="Arial" w:cs="Arial" w:eastAsia="Arial" w:hAnsi="Arial"/>
          <w:sz w:val="18"/>
          <w:szCs w:val="18"/>
          <w:color w:val="auto"/>
        </w:rPr>
      </w:pPr>
      <w:r>
        <w:rPr>
          <w:rFonts w:ascii="Arial" w:cs="Arial" w:eastAsia="Arial" w:hAnsi="Arial"/>
          <w:sz w:val="18"/>
          <w:szCs w:val="18"/>
          <w:u w:val="single" w:color="auto"/>
          <w:color w:val="auto"/>
        </w:rPr>
        <w:t>Adjustments upon Changes in Capitalization</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20" w:right="20" w:firstLine="921"/>
        <w:spacing w:after="0" w:line="288" w:lineRule="auto"/>
        <w:tabs>
          <w:tab w:leader="none" w:pos="1132" w:val="left"/>
        </w:tabs>
        <w:numPr>
          <w:ilvl w:val="1"/>
          <w:numId w:val="26"/>
        </w:numPr>
        <w:rPr>
          <w:rFonts w:ascii="Arial" w:cs="Arial" w:eastAsia="Arial" w:hAnsi="Arial"/>
          <w:sz w:val="16"/>
          <w:szCs w:val="16"/>
          <w:color w:val="auto"/>
        </w:rPr>
      </w:pPr>
      <w:r>
        <w:rPr>
          <w:rFonts w:ascii="Arial" w:cs="Arial" w:eastAsia="Arial" w:hAnsi="Arial"/>
          <w:sz w:val="16"/>
          <w:szCs w:val="16"/>
          <w:color w:val="auto"/>
        </w:rPr>
        <w:t>Subject to any required action by the shareholders of the Company, the number of shares of Common Stock covered by each unexercised Purchase Right and the number of shares of Common Stock authorized for issuance under this Plan but not yet been placed under a Purchase Right (collectively, the “</w:t>
      </w:r>
      <w:r>
        <w:rPr>
          <w:rFonts w:ascii="Arial" w:cs="Arial" w:eastAsia="Arial" w:hAnsi="Arial"/>
          <w:sz w:val="16"/>
          <w:szCs w:val="16"/>
          <w:u w:val="single" w:color="auto"/>
          <w:color w:val="auto"/>
        </w:rPr>
        <w:t>Reserves</w:t>
      </w:r>
      <w:r>
        <w:rPr>
          <w:rFonts w:ascii="Arial" w:cs="Arial" w:eastAsia="Arial" w:hAnsi="Arial"/>
          <w:sz w:val="16"/>
          <w:szCs w:val="16"/>
          <w:color w:val="auto"/>
        </w:rPr>
        <w:t>”), as well as the price per share of Common Stock covered by each unexercised Purchase Right, shall be proportionately adjusted for any change in the number of issued shares of Common Stock resulting from a stock split, reverse stock split, stock dividend, combination or reclassification of the Common Stock, or any change in the number of shares of Common Stock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issue by the Company of shares of stock of any class, or securities convertible into shares of stock of any class, shall affect, and no consequent adjustment shall be made with respect to, the number or price of shares of Common Stock subject to a Purchase Right.</w:t>
      </w:r>
    </w:p>
    <w:p>
      <w:pPr>
        <w:spacing w:after="0" w:line="119" w:lineRule="exact"/>
        <w:rPr>
          <w:rFonts w:ascii="Arial" w:cs="Arial" w:eastAsia="Arial" w:hAnsi="Arial"/>
          <w:sz w:val="16"/>
          <w:szCs w:val="16"/>
          <w:color w:val="auto"/>
        </w:rPr>
      </w:pPr>
    </w:p>
    <w:p>
      <w:pPr>
        <w:ind w:left="-20" w:right="20" w:firstLine="921"/>
        <w:spacing w:after="0" w:line="288" w:lineRule="auto"/>
        <w:tabs>
          <w:tab w:leader="none" w:pos="1142" w:val="left"/>
        </w:tabs>
        <w:numPr>
          <w:ilvl w:val="1"/>
          <w:numId w:val="26"/>
        </w:numPr>
        <w:rPr>
          <w:rFonts w:ascii="Arial" w:cs="Arial" w:eastAsia="Arial" w:hAnsi="Arial"/>
          <w:sz w:val="16"/>
          <w:szCs w:val="16"/>
          <w:color w:val="auto"/>
        </w:rPr>
      </w:pPr>
      <w:r>
        <w:rPr>
          <w:rFonts w:ascii="Arial" w:cs="Arial" w:eastAsia="Arial" w:hAnsi="Arial"/>
          <w:sz w:val="16"/>
          <w:szCs w:val="16"/>
          <w:color w:val="auto"/>
        </w:rPr>
        <w:t>In the event of the proposed dissolution or liquidation of the Company, the then-current Offering Period will terminate immediately before the consummation of the proposed action, unless otherwise provided by the Board. In the event of a proposed sale of all or substantially all of the Company’s assets, or the merger of the Company with or into another corporation (if the Company’s shareholders own less than 50% of the total outstanding voting power in the surviving entity or a parent of the surviving entity after the merger), each Purchase Right under this Plan shall be assumed or an equivalent purchase right shall be substituted by the successor corporation or a parent or subsidiary of the successor corporation, unless the successor corporation does not agree to assume the Purchase Rights or to substitute equivalent purchase rights, in which case the Board may, in lieu of such assumption or substitution, accelerate the exercisability of Purchase Rights and allow Purchase Rights to be exercisable as to shares as to which they would not otherwise be exercisable, on terms and for a period that the Board determines in its discretion. To the extent that the Board accelerates exercisability of Purchase Rights as described above, it shall promptly so notify all Participants in writing.</w:t>
      </w:r>
    </w:p>
    <w:p>
      <w:pPr>
        <w:spacing w:after="0" w:line="119" w:lineRule="exact"/>
        <w:rPr>
          <w:rFonts w:ascii="Arial" w:cs="Arial" w:eastAsia="Arial" w:hAnsi="Arial"/>
          <w:sz w:val="16"/>
          <w:szCs w:val="16"/>
          <w:color w:val="auto"/>
        </w:rPr>
      </w:pPr>
    </w:p>
    <w:p>
      <w:pPr>
        <w:jc w:val="both"/>
        <w:ind w:left="-20" w:firstLine="921"/>
        <w:spacing w:after="0" w:line="335" w:lineRule="auto"/>
        <w:tabs>
          <w:tab w:leader="none" w:pos="1132" w:val="left"/>
        </w:tabs>
        <w:numPr>
          <w:ilvl w:val="1"/>
          <w:numId w:val="26"/>
        </w:numPr>
        <w:rPr>
          <w:rFonts w:ascii="Arial" w:cs="Arial" w:eastAsia="Arial" w:hAnsi="Arial"/>
          <w:sz w:val="15"/>
          <w:szCs w:val="15"/>
          <w:color w:val="auto"/>
        </w:rPr>
      </w:pPr>
      <w:r>
        <w:rPr>
          <w:rFonts w:ascii="Arial" w:cs="Arial" w:eastAsia="Arial" w:hAnsi="Arial"/>
          <w:sz w:val="15"/>
          <w:szCs w:val="15"/>
          <w:color w:val="auto"/>
        </w:rPr>
        <w:t>The Board may, in its discretion, also make provision for adjusting the Reserves, as well as the price per share of Common Stock covered by each outstanding Purchase Right, if the Company effects one or more reorganizations, recapitalizations, rights offerings, or other increases or reductions of shares of its outstanding Common Stock, or if the Company consolidates with or merges into any other corporation, in a transaction not otherwise covered by this Section 17.</w:t>
      </w:r>
    </w:p>
    <w:p>
      <w:pPr>
        <w:spacing w:after="0" w:line="7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80"/>
          </w:cols>
          <w:pgMar w:left="260" w:top="280" w:right="259" w:bottom="1440" w:gutter="0" w:footer="0" w:header="0"/>
        </w:sectPr>
      </w:pPr>
    </w:p>
    <w:bookmarkStart w:id="55" w:name="page56"/>
    <w:bookmarkEnd w:id="55"/>
    <w:p>
      <w:pPr>
        <w:ind w:left="680" w:hanging="256"/>
        <w:spacing w:after="0"/>
        <w:tabs>
          <w:tab w:leader="none" w:pos="6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Amendment or Termination</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40" w:right="640" w:firstLine="921"/>
        <w:spacing w:after="0" w:line="332" w:lineRule="auto"/>
        <w:tabs>
          <w:tab w:leader="none" w:pos="1112" w:val="left"/>
        </w:tabs>
        <w:numPr>
          <w:ilvl w:val="1"/>
          <w:numId w:val="27"/>
        </w:numPr>
        <w:rPr>
          <w:rFonts w:ascii="Arial" w:cs="Arial" w:eastAsia="Arial" w:hAnsi="Arial"/>
          <w:sz w:val="16"/>
          <w:szCs w:val="16"/>
          <w:color w:val="auto"/>
        </w:rPr>
      </w:pPr>
      <w:r>
        <w:rPr>
          <w:rFonts w:ascii="Arial" w:cs="Arial" w:eastAsia="Arial" w:hAnsi="Arial"/>
          <w:sz w:val="16"/>
          <w:szCs w:val="16"/>
          <w:color w:val="auto"/>
        </w:rPr>
        <w:t>The Board may at any time terminate or amend this Plan. No amendment may be made without prior approval of the shareholders of the Company (obtained in the manner described in Section 20) if it would increase the number of shares that may be issued under this Plan.</w:t>
      </w:r>
    </w:p>
    <w:p>
      <w:pPr>
        <w:spacing w:after="0" w:line="85" w:lineRule="exact"/>
        <w:rPr>
          <w:rFonts w:ascii="Arial" w:cs="Arial" w:eastAsia="Arial" w:hAnsi="Arial"/>
          <w:sz w:val="16"/>
          <w:szCs w:val="16"/>
          <w:color w:val="auto"/>
        </w:rPr>
      </w:pPr>
    </w:p>
    <w:p>
      <w:pPr>
        <w:ind w:left="-40" w:right="180" w:firstLine="921"/>
        <w:spacing w:after="0" w:line="255" w:lineRule="auto"/>
        <w:tabs>
          <w:tab w:leader="none" w:pos="1122" w:val="left"/>
        </w:tabs>
        <w:numPr>
          <w:ilvl w:val="1"/>
          <w:numId w:val="27"/>
        </w:numPr>
        <w:rPr>
          <w:rFonts w:ascii="Arial" w:cs="Arial" w:eastAsia="Arial" w:hAnsi="Arial"/>
          <w:sz w:val="18"/>
          <w:szCs w:val="18"/>
          <w:color w:val="auto"/>
        </w:rPr>
      </w:pPr>
      <w:r>
        <w:rPr>
          <w:rFonts w:ascii="Arial" w:cs="Arial" w:eastAsia="Arial" w:hAnsi="Arial"/>
          <w:sz w:val="18"/>
          <w:szCs w:val="18"/>
          <w:color w:val="auto"/>
        </w:rPr>
        <w:t>The Board may elect to terminate any or all outstanding Purchase Rights at any time, except to the extent that exercisability of such Purchase Rights has been accelerated pursuant to Section 17(b). If this Plan is terminated, the Board may also elect to terminate Purchase Rights upon completion of the purchase of shares on the next Purchase Date or to permit Purchase Rights to expire in accordance with their terms (with participation to continue through such expiration dates). If Purchase Rights are terminated before expiration, any funds contributed to this Plan that have not been used to purchase shares shall be refunded to Participants as soon as administratively feasible.</w:t>
      </w:r>
    </w:p>
    <w:p>
      <w:pPr>
        <w:spacing w:after="0" w:line="142" w:lineRule="exact"/>
        <w:rPr>
          <w:rFonts w:ascii="Arial" w:cs="Arial" w:eastAsia="Arial" w:hAnsi="Arial"/>
          <w:sz w:val="18"/>
          <w:szCs w:val="18"/>
          <w:color w:val="auto"/>
        </w:rPr>
      </w:pPr>
    </w:p>
    <w:p>
      <w:pPr>
        <w:ind w:left="-40" w:right="180" w:firstLine="464"/>
        <w:spacing w:after="0" w:line="259" w:lineRule="auto"/>
        <w:tabs>
          <w:tab w:leader="none" w:pos="6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or other communications by a Participant to the Company or the Administrator under or in connection with this Plan shall be deemed to have been duly given when received in the form specified by the Administrator at the location, or by the person, designated by the Administrator for that purpose.</w:t>
      </w:r>
    </w:p>
    <w:p>
      <w:pPr>
        <w:spacing w:after="0" w:line="140" w:lineRule="exact"/>
        <w:rPr>
          <w:rFonts w:ascii="Arial" w:cs="Arial" w:eastAsia="Arial" w:hAnsi="Arial"/>
          <w:sz w:val="18"/>
          <w:szCs w:val="18"/>
          <w:color w:val="auto"/>
        </w:rPr>
      </w:pPr>
    </w:p>
    <w:p>
      <w:pPr>
        <w:ind w:left="-40" w:right="20" w:firstLine="464"/>
        <w:spacing w:after="0" w:line="268" w:lineRule="auto"/>
        <w:tabs>
          <w:tab w:leader="none" w:pos="6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This Plan was submitted to and approved by the shareholders of the Company for their approval within 12 months after the date this Plan was adopted by the Board.</w:t>
      </w:r>
    </w:p>
    <w:p>
      <w:pPr>
        <w:spacing w:after="0" w:line="131" w:lineRule="exact"/>
        <w:rPr>
          <w:rFonts w:ascii="Arial" w:cs="Arial" w:eastAsia="Arial" w:hAnsi="Arial"/>
          <w:sz w:val="18"/>
          <w:szCs w:val="18"/>
          <w:color w:val="auto"/>
        </w:rPr>
      </w:pPr>
    </w:p>
    <w:p>
      <w:pPr>
        <w:ind w:left="680" w:hanging="256"/>
        <w:spacing w:after="0"/>
        <w:tabs>
          <w:tab w:leader="none" w:pos="6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Conditions upon Issuance of Shares</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40" w:right="40" w:firstLine="921"/>
        <w:spacing w:after="0" w:line="298" w:lineRule="auto"/>
        <w:tabs>
          <w:tab w:leader="none" w:pos="1112" w:val="left"/>
        </w:tabs>
        <w:numPr>
          <w:ilvl w:val="1"/>
          <w:numId w:val="27"/>
        </w:numPr>
        <w:rPr>
          <w:rFonts w:ascii="Arial" w:cs="Arial" w:eastAsia="Arial" w:hAnsi="Arial"/>
          <w:sz w:val="16"/>
          <w:szCs w:val="16"/>
          <w:color w:val="auto"/>
        </w:rPr>
      </w:pPr>
      <w:r>
        <w:rPr>
          <w:rFonts w:ascii="Arial" w:cs="Arial" w:eastAsia="Arial" w:hAnsi="Arial"/>
          <w:sz w:val="16"/>
          <w:szCs w:val="16"/>
          <w:color w:val="auto"/>
        </w:rPr>
        <w:t>Shares shall not be issued with respect to a Purchase Right unless the exercise of such Purchase Right and the issuance and delivery of such shares pursuant thereto complies with all applicable provisions of law, domestic or foreign, including, without limitation, the Securities Act of 1933, as amended, the Securities Exchange Act of 1934, as amended, the rules and regulations promulgated thereunder, and the requirements of any stock exchange upon which the shares may then be listed, and shall be further subject to the approval of counsel for the Company with respect to such compliance.</w:t>
      </w:r>
    </w:p>
    <w:p>
      <w:pPr>
        <w:spacing w:after="0" w:line="112" w:lineRule="exact"/>
        <w:rPr>
          <w:rFonts w:ascii="Arial" w:cs="Arial" w:eastAsia="Arial" w:hAnsi="Arial"/>
          <w:sz w:val="16"/>
          <w:szCs w:val="16"/>
          <w:color w:val="auto"/>
        </w:rPr>
      </w:pPr>
    </w:p>
    <w:p>
      <w:pPr>
        <w:jc w:val="both"/>
        <w:ind w:left="-40" w:firstLine="921"/>
        <w:spacing w:after="0" w:line="306" w:lineRule="auto"/>
        <w:tabs>
          <w:tab w:leader="none" w:pos="1122" w:val="left"/>
        </w:tabs>
        <w:numPr>
          <w:ilvl w:val="1"/>
          <w:numId w:val="27"/>
        </w:numPr>
        <w:rPr>
          <w:rFonts w:ascii="Arial" w:cs="Arial" w:eastAsia="Arial" w:hAnsi="Arial"/>
          <w:sz w:val="16"/>
          <w:szCs w:val="16"/>
          <w:color w:val="auto"/>
        </w:rPr>
      </w:pPr>
      <w:r>
        <w:rPr>
          <w:rFonts w:ascii="Arial" w:cs="Arial" w:eastAsia="Arial" w:hAnsi="Arial"/>
          <w:sz w:val="16"/>
          <w:szCs w:val="16"/>
          <w:color w:val="auto"/>
        </w:rPr>
        <w:t>As a condition to the exercise of a Purchase Right, the Company may require the person exercising such Purchase Right to represent and warrant at the time of any such exercise that the shares are being purchased only for investment and without any present intention to sell or distribute such shares if, in the opinion of counsel for the Company, such a representation is required by any of the aforementioned applicable provisions of law.</w:t>
      </w:r>
    </w:p>
    <w:p>
      <w:pPr>
        <w:spacing w:after="0" w:line="106" w:lineRule="exact"/>
        <w:rPr>
          <w:rFonts w:ascii="Arial" w:cs="Arial" w:eastAsia="Arial" w:hAnsi="Arial"/>
          <w:sz w:val="16"/>
          <w:szCs w:val="16"/>
          <w:color w:val="auto"/>
        </w:rPr>
      </w:pPr>
    </w:p>
    <w:p>
      <w:pPr>
        <w:ind w:left="-40" w:right="140" w:firstLine="464"/>
        <w:spacing w:after="0" w:line="268" w:lineRule="auto"/>
        <w:tabs>
          <w:tab w:leader="none" w:pos="6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Term of Plan</w:t>
      </w:r>
      <w:r>
        <w:rPr>
          <w:rFonts w:ascii="Arial" w:cs="Arial" w:eastAsia="Arial" w:hAnsi="Arial"/>
          <w:sz w:val="18"/>
          <w:szCs w:val="18"/>
          <w:color w:val="auto"/>
        </w:rPr>
        <w:t>. This Plan became effective upon its initial approval by the shareholders of the Company on June 17, 2000 as described in Section 20. It shall continue in effect for a term of 20 years unless sooner terminated under Section 18.</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40"/>
          </w:cols>
          <w:pgMar w:left="280" w:top="280" w:right="279" w:bottom="1440" w:gutter="0" w:footer="0" w:header="0"/>
        </w:sectPr>
      </w:pPr>
    </w:p>
    <w:bookmarkStart w:id="56" w:name="page57"/>
    <w:bookmarkEnd w:id="56"/>
    <w:p>
      <w:pPr>
        <w:ind w:left="712" w:hanging="256"/>
        <w:spacing w:after="0"/>
        <w:tabs>
          <w:tab w:leader="none" w:pos="712" w:val="left"/>
        </w:tabs>
        <w:numPr>
          <w:ilvl w:val="1"/>
          <w:numId w:val="2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Glossary</w:t>
      </w:r>
      <w:r>
        <w:rPr>
          <w:rFonts w:ascii="Arial" w:cs="Arial" w:eastAsia="Arial" w:hAnsi="Arial"/>
          <w:sz w:val="18"/>
          <w:szCs w:val="18"/>
          <w:color w:val="auto"/>
        </w:rPr>
        <w:t>. The following definitions apply for purposes of this Plan:</w:t>
      </w:r>
    </w:p>
    <w:p>
      <w:pPr>
        <w:spacing w:after="0" w:line="171" w:lineRule="exact"/>
        <w:rPr>
          <w:rFonts w:ascii="Arial" w:cs="Arial" w:eastAsia="Arial" w:hAnsi="Arial"/>
          <w:sz w:val="18"/>
          <w:szCs w:val="18"/>
          <w:color w:val="auto"/>
        </w:rPr>
      </w:pPr>
    </w:p>
    <w:p>
      <w:pPr>
        <w:ind w:left="1152" w:hanging="239"/>
        <w:spacing w:after="0"/>
        <w:tabs>
          <w:tab w:leader="none" w:pos="1152" w:val="left"/>
        </w:tabs>
        <w:numPr>
          <w:ilvl w:val="2"/>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the persons appointed by the Board to administer this Plan pursuant to Section 13.</w:t>
      </w:r>
    </w:p>
    <w:p>
      <w:pPr>
        <w:spacing w:after="0" w:line="171" w:lineRule="exact"/>
        <w:rPr>
          <w:rFonts w:ascii="Arial" w:cs="Arial" w:eastAsia="Arial" w:hAnsi="Arial"/>
          <w:sz w:val="18"/>
          <w:szCs w:val="18"/>
          <w:color w:val="auto"/>
        </w:rPr>
      </w:pPr>
    </w:p>
    <w:p>
      <w:pPr>
        <w:ind w:left="1152" w:hanging="239"/>
        <w:spacing w:after="0"/>
        <w:tabs>
          <w:tab w:leader="none" w:pos="1152" w:val="left"/>
        </w:tabs>
        <w:numPr>
          <w:ilvl w:val="2"/>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rFonts w:ascii="Arial" w:cs="Arial" w:eastAsia="Arial" w:hAnsi="Arial"/>
          <w:sz w:val="18"/>
          <w:szCs w:val="18"/>
          <w:color w:val="auto"/>
        </w:rPr>
      </w:pPr>
    </w:p>
    <w:p>
      <w:pPr>
        <w:ind w:left="1152" w:hanging="239"/>
        <w:spacing w:after="0"/>
        <w:tabs>
          <w:tab w:leader="none" w:pos="1152" w:val="left"/>
        </w:tabs>
        <w:numPr>
          <w:ilvl w:val="2"/>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171" w:lineRule="exact"/>
        <w:rPr>
          <w:rFonts w:ascii="Arial" w:cs="Arial" w:eastAsia="Arial" w:hAnsi="Arial"/>
          <w:sz w:val="18"/>
          <w:szCs w:val="18"/>
          <w:color w:val="auto"/>
        </w:rPr>
      </w:pPr>
    </w:p>
    <w:p>
      <w:pPr>
        <w:ind w:left="-8" w:firstLine="921"/>
        <w:spacing w:after="0" w:line="370" w:lineRule="auto"/>
        <w:tabs>
          <w:tab w:leader="none" w:pos="1154" w:val="left"/>
        </w:tabs>
        <w:numPr>
          <w:ilvl w:val="2"/>
          <w:numId w:val="28"/>
        </w:numPr>
        <w:rPr>
          <w:rFonts w:ascii="Arial" w:cs="Arial" w:eastAsia="Arial" w:hAnsi="Arial"/>
          <w:sz w:val="15"/>
          <w:szCs w:val="15"/>
          <w:color w:val="auto"/>
        </w:rPr>
      </w:pPr>
      <w:r>
        <w:rPr>
          <w:rFonts w:ascii="Arial" w:cs="Arial" w:eastAsia="Arial" w:hAnsi="Arial"/>
          <w:sz w:val="15"/>
          <w:szCs w:val="15"/>
          <w:color w:val="auto"/>
        </w:rPr>
        <w:t>“</w:t>
      </w:r>
      <w:r>
        <w:rPr>
          <w:rFonts w:ascii="Arial" w:cs="Arial" w:eastAsia="Arial" w:hAnsi="Arial"/>
          <w:sz w:val="15"/>
          <w:szCs w:val="15"/>
          <w:u w:val="single" w:color="auto"/>
          <w:color w:val="auto"/>
        </w:rPr>
        <w:t>Code Section 423 Plan Component</w:t>
      </w:r>
      <w:r>
        <w:rPr>
          <w:rFonts w:ascii="Arial" w:cs="Arial" w:eastAsia="Arial" w:hAnsi="Arial"/>
          <w:sz w:val="15"/>
          <w:szCs w:val="15"/>
          <w:color w:val="auto"/>
        </w:rPr>
        <w:t>” means the component of this Plan that is intended to meet the requirements set forth in Section 423(b) of the Code, as amended. The provisions of the Code Section 423 Plan Component shall be construed, administered and enforced in accordance with Section 423(b).</w:t>
      </w:r>
    </w:p>
    <w:p>
      <w:pPr>
        <w:spacing w:after="0" w:line="62" w:lineRule="exact"/>
        <w:rPr>
          <w:rFonts w:ascii="Arial" w:cs="Arial" w:eastAsia="Arial" w:hAnsi="Arial"/>
          <w:sz w:val="15"/>
          <w:szCs w:val="15"/>
          <w:color w:val="auto"/>
        </w:rPr>
      </w:pPr>
    </w:p>
    <w:p>
      <w:pPr>
        <w:ind w:left="1152" w:hanging="239"/>
        <w:spacing w:after="0"/>
        <w:tabs>
          <w:tab w:leader="none" w:pos="1152" w:val="left"/>
        </w:tabs>
        <w:numPr>
          <w:ilvl w:val="2"/>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171" w:lineRule="exact"/>
        <w:rPr>
          <w:rFonts w:ascii="Arial" w:cs="Arial" w:eastAsia="Arial" w:hAnsi="Arial"/>
          <w:sz w:val="18"/>
          <w:szCs w:val="18"/>
          <w:color w:val="auto"/>
        </w:rPr>
      </w:pPr>
    </w:p>
    <w:p>
      <w:pPr>
        <w:ind w:left="1132" w:hanging="219"/>
        <w:spacing w:after="0"/>
        <w:tabs>
          <w:tab w:leader="none" w:pos="1132" w:val="left"/>
        </w:tabs>
        <w:numPr>
          <w:ilvl w:val="2"/>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company.</w:t>
      </w:r>
    </w:p>
    <w:p>
      <w:pPr>
        <w:spacing w:after="0" w:line="171" w:lineRule="exact"/>
        <w:rPr>
          <w:rFonts w:ascii="Arial" w:cs="Arial" w:eastAsia="Arial" w:hAnsi="Arial"/>
          <w:sz w:val="18"/>
          <w:szCs w:val="18"/>
          <w:color w:val="auto"/>
        </w:rPr>
      </w:pPr>
    </w:p>
    <w:p>
      <w:pPr>
        <w:ind w:left="-8" w:right="180" w:firstLine="921"/>
        <w:spacing w:after="0" w:line="286" w:lineRule="auto"/>
        <w:tabs>
          <w:tab w:leader="none" w:pos="1154" w:val="left"/>
        </w:tabs>
        <w:numPr>
          <w:ilvl w:val="2"/>
          <w:numId w:val="28"/>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Continuous Employment</w:t>
      </w:r>
      <w:r>
        <w:rPr>
          <w:rFonts w:ascii="Arial" w:cs="Arial" w:eastAsia="Arial" w:hAnsi="Arial"/>
          <w:sz w:val="16"/>
          <w:szCs w:val="16"/>
          <w:color w:val="auto"/>
        </w:rPr>
        <w:t>” means the absence of any interruption or termination of service as an Employee. Continuous Employment shall not be considered interrupted in the case of a leave of absence agreed to in writing by the Company, provided that either (i) the leave does not exceed 90 days or</w:t>
      </w:r>
    </w:p>
    <w:p>
      <w:pPr>
        <w:ind w:left="252" w:hanging="252"/>
        <w:spacing w:after="0"/>
        <w:tabs>
          <w:tab w:leader="none" w:pos="252" w:val="left"/>
        </w:tabs>
        <w:numPr>
          <w:ilvl w:val="0"/>
          <w:numId w:val="29"/>
        </w:numPr>
        <w:rPr>
          <w:rFonts w:ascii="Arial" w:cs="Arial" w:eastAsia="Arial" w:hAnsi="Arial"/>
          <w:sz w:val="18"/>
          <w:szCs w:val="18"/>
          <w:color w:val="auto"/>
        </w:rPr>
      </w:pPr>
      <w:r>
        <w:rPr>
          <w:rFonts w:ascii="Arial" w:cs="Arial" w:eastAsia="Arial" w:hAnsi="Arial"/>
          <w:sz w:val="18"/>
          <w:szCs w:val="18"/>
          <w:color w:val="auto"/>
        </w:rPr>
        <w:t>re-employment upon expiration of the leave is guaranteed by contract or statute.</w:t>
      </w:r>
    </w:p>
    <w:p>
      <w:pPr>
        <w:spacing w:after="0" w:line="164" w:lineRule="exact"/>
        <w:rPr>
          <w:rFonts w:ascii="Arial" w:cs="Arial" w:eastAsia="Arial" w:hAnsi="Arial"/>
          <w:sz w:val="18"/>
          <w:szCs w:val="18"/>
          <w:color w:val="auto"/>
        </w:rPr>
      </w:pPr>
    </w:p>
    <w:p>
      <w:pPr>
        <w:ind w:left="-8" w:right="40" w:firstLine="921"/>
        <w:spacing w:after="0" w:line="259" w:lineRule="auto"/>
        <w:tabs>
          <w:tab w:leader="none" w:pos="1154" w:val="left"/>
        </w:tabs>
        <w:numPr>
          <w:ilvl w:val="2"/>
          <w:numId w:val="2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Subsidiaries</w:t>
      </w:r>
      <w:r>
        <w:rPr>
          <w:rFonts w:ascii="Arial" w:cs="Arial" w:eastAsia="Arial" w:hAnsi="Arial"/>
          <w:sz w:val="18"/>
          <w:szCs w:val="18"/>
          <w:color w:val="auto"/>
        </w:rPr>
        <w:t>” means the Subsidiaries that have been designated by the Board from time to time in its sole discretion to participate in this Plan. The Administrator will determine whether Employees of any Designated Subsidiary shall participate in the Code Section 423 Plan Component or the Non-423 Plan Component.</w:t>
      </w:r>
    </w:p>
    <w:p>
      <w:pPr>
        <w:spacing w:after="0" w:line="140" w:lineRule="exact"/>
        <w:rPr>
          <w:rFonts w:ascii="Arial" w:cs="Arial" w:eastAsia="Arial" w:hAnsi="Arial"/>
          <w:sz w:val="18"/>
          <w:szCs w:val="18"/>
          <w:color w:val="auto"/>
        </w:rPr>
      </w:pPr>
    </w:p>
    <w:p>
      <w:pPr>
        <w:ind w:left="-8" w:right="20" w:firstLine="921"/>
        <w:spacing w:after="0" w:line="289" w:lineRule="auto"/>
        <w:tabs>
          <w:tab w:leader="none" w:pos="1115" w:val="left"/>
        </w:tabs>
        <w:numPr>
          <w:ilvl w:val="2"/>
          <w:numId w:val="29"/>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Employee</w:t>
      </w:r>
      <w:r>
        <w:rPr>
          <w:rFonts w:ascii="Arial" w:cs="Arial" w:eastAsia="Arial" w:hAnsi="Arial"/>
          <w:sz w:val="16"/>
          <w:szCs w:val="16"/>
          <w:color w:val="auto"/>
        </w:rPr>
        <w:t>” means any person, including an officer, who is customarily employed for at least 20 hours per week and five months per year by the Company or one of its Designated Subsidiaries, other than an employee of a Designated Subsidiary under the Non-423 Plan Component, who, as of the Offering Date, is otherwise determined ineligible for participation in the Non-423 Plan Component, at the discretion of the Administrator. Whether an individual qualifies as an Employee shall be determined by the Administrator, in its sole discretion, by reference to Section 3401(c) of the Code and the regulations promulgated thereunder; unless the Administrator makes a contrary determination, the Employees of the Company shall, for all purposes of this Plan, be those individuals who satisfy the customary employment criteria set forth above and are carried as employees by the Company or a Designated Subsidiary for regular payroll purposes. Notwithstanding the foregoing, for Purchase Rights granted under the Non-423 Plan Component, Employee shall also mean any other employee of a Designated Subsidiary to the extent that local law requires participation in the Plan to be extended to such employee, as determined by the Administrator.</w:t>
      </w:r>
    </w:p>
    <w:p>
      <w:pPr>
        <w:spacing w:after="0" w:line="105"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92"/>
          </w:cols>
          <w:pgMar w:left="248" w:top="280" w:right="259" w:bottom="1440" w:gutter="0" w:footer="0" w:header="0"/>
        </w:sectPr>
      </w:pPr>
    </w:p>
    <w:bookmarkStart w:id="57" w:name="page58"/>
    <w:bookmarkEnd w:id="57"/>
    <w:p>
      <w:pPr>
        <w:ind w:left="1140" w:hanging="219"/>
        <w:spacing w:after="0"/>
        <w:tabs>
          <w:tab w:leader="none" w:pos="1140" w:val="left"/>
        </w:tabs>
        <w:numPr>
          <w:ilvl w:val="0"/>
          <w:numId w:val="3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as of any date, the value of Common Stock as follows:</w:t>
      </w:r>
    </w:p>
    <w:p>
      <w:pPr>
        <w:spacing w:after="0" w:line="171" w:lineRule="exact"/>
        <w:rPr>
          <w:rFonts w:ascii="Arial" w:cs="Arial" w:eastAsia="Arial" w:hAnsi="Arial"/>
          <w:sz w:val="18"/>
          <w:szCs w:val="18"/>
          <w:color w:val="auto"/>
        </w:rPr>
      </w:pPr>
    </w:p>
    <w:p>
      <w:pPr>
        <w:jc w:val="both"/>
        <w:ind w:right="40" w:firstLine="1492"/>
        <w:spacing w:after="0" w:line="298" w:lineRule="auto"/>
        <w:tabs>
          <w:tab w:leader="none" w:pos="1693" w:val="left"/>
        </w:tabs>
        <w:numPr>
          <w:ilvl w:val="1"/>
          <w:numId w:val="30"/>
        </w:numPr>
        <w:rPr>
          <w:rFonts w:ascii="Arial" w:cs="Arial" w:eastAsia="Arial" w:hAnsi="Arial"/>
          <w:sz w:val="16"/>
          <w:szCs w:val="16"/>
          <w:color w:val="auto"/>
        </w:rPr>
      </w:pPr>
      <w:r>
        <w:rPr>
          <w:rFonts w:ascii="Arial" w:cs="Arial" w:eastAsia="Arial" w:hAnsi="Arial"/>
          <w:sz w:val="16"/>
          <w:szCs w:val="16"/>
          <w:color w:val="auto"/>
        </w:rPr>
        <w:t>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The Wall Street Journal or an equivalent source, or if the determination date is not a trading day, then on the most recent preceding trading day;</w:t>
      </w:r>
    </w:p>
    <w:p>
      <w:pPr>
        <w:spacing w:after="0" w:line="112" w:lineRule="exact"/>
        <w:rPr>
          <w:rFonts w:ascii="Arial" w:cs="Arial" w:eastAsia="Arial" w:hAnsi="Arial"/>
          <w:sz w:val="16"/>
          <w:szCs w:val="16"/>
          <w:color w:val="auto"/>
        </w:rPr>
      </w:pPr>
    </w:p>
    <w:p>
      <w:pPr>
        <w:ind w:right="60" w:firstLine="1492"/>
        <w:spacing w:after="0" w:line="306" w:lineRule="auto"/>
        <w:tabs>
          <w:tab w:leader="none" w:pos="1742" w:val="left"/>
        </w:tabs>
        <w:numPr>
          <w:ilvl w:val="1"/>
          <w:numId w:val="30"/>
        </w:numPr>
        <w:rPr>
          <w:rFonts w:ascii="Arial" w:cs="Arial" w:eastAsia="Arial" w:hAnsi="Arial"/>
          <w:sz w:val="16"/>
          <w:szCs w:val="16"/>
          <w:color w:val="auto"/>
        </w:rPr>
      </w:pPr>
      <w:r>
        <w:rPr>
          <w:rFonts w:ascii="Arial" w:cs="Arial" w:eastAsia="Arial" w:hAnsi="Arial"/>
          <w:sz w:val="16"/>
          <w:szCs w:val="16"/>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06" w:lineRule="exact"/>
        <w:rPr>
          <w:rFonts w:ascii="Arial" w:cs="Arial" w:eastAsia="Arial" w:hAnsi="Arial"/>
          <w:sz w:val="16"/>
          <w:szCs w:val="16"/>
          <w:color w:val="auto"/>
        </w:rPr>
      </w:pPr>
    </w:p>
    <w:p>
      <w:pPr>
        <w:ind w:left="1800" w:hanging="308"/>
        <w:spacing w:after="0"/>
        <w:tabs>
          <w:tab w:leader="none" w:pos="1800" w:val="left"/>
        </w:tabs>
        <w:numPr>
          <w:ilvl w:val="1"/>
          <w:numId w:val="30"/>
        </w:numPr>
        <w:rPr>
          <w:rFonts w:ascii="Arial" w:cs="Arial" w:eastAsia="Arial" w:hAnsi="Arial"/>
          <w:sz w:val="16"/>
          <w:szCs w:val="16"/>
          <w:color w:val="auto"/>
        </w:rPr>
      </w:pPr>
      <w:r>
        <w:rPr>
          <w:rFonts w:ascii="Arial" w:cs="Arial" w:eastAsia="Arial" w:hAnsi="Arial"/>
          <w:sz w:val="16"/>
          <w:szCs w:val="16"/>
          <w:color w:val="auto"/>
        </w:rPr>
        <w:t>In the absence of an established market for the Common Stock, Fair Market Value shall be determined by the Administrator.</w:t>
      </w:r>
    </w:p>
    <w:p>
      <w:pPr>
        <w:spacing w:after="0" w:line="194" w:lineRule="exact"/>
        <w:rPr>
          <w:rFonts w:ascii="Arial" w:cs="Arial" w:eastAsia="Arial" w:hAnsi="Arial"/>
          <w:sz w:val="16"/>
          <w:szCs w:val="16"/>
          <w:color w:val="auto"/>
        </w:rPr>
      </w:pPr>
    </w:p>
    <w:p>
      <w:pPr>
        <w:ind w:left="1160" w:hanging="239"/>
        <w:spacing w:after="0"/>
        <w:tabs>
          <w:tab w:leader="none" w:pos="1160" w:val="left"/>
        </w:tabs>
        <w:numPr>
          <w:ilvl w:val="0"/>
          <w:numId w:val="30"/>
        </w:numPr>
        <w:rPr>
          <w:rFonts w:ascii="Arial" w:cs="Arial" w:eastAsia="Arial" w:hAnsi="Arial"/>
          <w:sz w:val="15"/>
          <w:szCs w:val="15"/>
          <w:color w:val="auto"/>
        </w:rPr>
      </w:pPr>
      <w:r>
        <w:rPr>
          <w:rFonts w:ascii="Arial" w:cs="Arial" w:eastAsia="Arial" w:hAnsi="Arial"/>
          <w:sz w:val="15"/>
          <w:szCs w:val="15"/>
          <w:color w:val="auto"/>
        </w:rPr>
        <w:t>“</w:t>
      </w:r>
      <w:r>
        <w:rPr>
          <w:rFonts w:ascii="Arial" w:cs="Arial" w:eastAsia="Arial" w:hAnsi="Arial"/>
          <w:sz w:val="15"/>
          <w:szCs w:val="15"/>
          <w:u w:val="single" w:color="auto"/>
          <w:color w:val="auto"/>
        </w:rPr>
        <w:t>Non-423 Plan Component</w:t>
      </w:r>
      <w:r>
        <w:rPr>
          <w:rFonts w:ascii="Arial" w:cs="Arial" w:eastAsia="Arial" w:hAnsi="Arial"/>
          <w:sz w:val="15"/>
          <w:szCs w:val="15"/>
          <w:color w:val="auto"/>
        </w:rPr>
        <w:t>” means a component of this Plan that is not intended to meet the requirements set forth in Section 423(b) of the Code,</w:t>
      </w:r>
    </w:p>
    <w:p>
      <w:pPr>
        <w:spacing w:after="0" w:line="49" w:lineRule="exact"/>
        <w:rPr>
          <w:rFonts w:ascii="Arial" w:cs="Arial" w:eastAsia="Arial" w:hAnsi="Arial"/>
          <w:sz w:val="15"/>
          <w:szCs w:val="15"/>
          <w:color w:val="auto"/>
        </w:rPr>
      </w:pPr>
    </w:p>
    <w:p>
      <w:pPr>
        <w:spacing w:after="0"/>
        <w:rPr>
          <w:rFonts w:ascii="Arial" w:cs="Arial" w:eastAsia="Arial" w:hAnsi="Arial"/>
          <w:sz w:val="15"/>
          <w:szCs w:val="15"/>
          <w:color w:val="auto"/>
        </w:rPr>
      </w:pPr>
      <w:r>
        <w:rPr>
          <w:rFonts w:ascii="Arial" w:cs="Arial" w:eastAsia="Arial" w:hAnsi="Arial"/>
          <w:sz w:val="18"/>
          <w:szCs w:val="18"/>
          <w:color w:val="auto"/>
        </w:rPr>
        <w:t>as amended.</w:t>
      </w:r>
    </w:p>
    <w:p>
      <w:pPr>
        <w:spacing w:after="0" w:line="164" w:lineRule="exact"/>
        <w:rPr>
          <w:rFonts w:ascii="Arial" w:cs="Arial" w:eastAsia="Arial" w:hAnsi="Arial"/>
          <w:sz w:val="15"/>
          <w:szCs w:val="15"/>
          <w:color w:val="auto"/>
        </w:rPr>
      </w:pPr>
    </w:p>
    <w:p>
      <w:pPr>
        <w:ind w:left="1140" w:hanging="219"/>
        <w:spacing w:after="0"/>
        <w:tabs>
          <w:tab w:leader="none" w:pos="11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Offering Date</w:t>
      </w:r>
      <w:r>
        <w:rPr>
          <w:rFonts w:ascii="Arial" w:cs="Arial" w:eastAsia="Arial" w:hAnsi="Arial"/>
          <w:sz w:val="18"/>
          <w:szCs w:val="18"/>
          <w:color w:val="auto"/>
        </w:rPr>
        <w:t>” means the first trading day of an Offering Period.</w:t>
      </w:r>
    </w:p>
    <w:p>
      <w:pPr>
        <w:spacing w:after="0" w:line="171" w:lineRule="exact"/>
        <w:rPr>
          <w:rFonts w:ascii="Arial" w:cs="Arial" w:eastAsia="Arial" w:hAnsi="Arial"/>
          <w:sz w:val="18"/>
          <w:szCs w:val="18"/>
          <w:color w:val="auto"/>
        </w:rPr>
      </w:pPr>
    </w:p>
    <w:p>
      <w:pPr>
        <w:ind w:right="60" w:firstLine="921"/>
        <w:spacing w:after="0" w:line="332" w:lineRule="auto"/>
        <w:tabs>
          <w:tab w:leader="none" w:pos="1210" w:val="left"/>
        </w:tabs>
        <w:numPr>
          <w:ilvl w:val="0"/>
          <w:numId w:val="30"/>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Offering Period</w:t>
      </w:r>
      <w:r>
        <w:rPr>
          <w:rFonts w:ascii="Arial" w:cs="Arial" w:eastAsia="Arial" w:hAnsi="Arial"/>
          <w:sz w:val="16"/>
          <w:szCs w:val="16"/>
          <w:color w:val="auto"/>
        </w:rPr>
        <w:t>” means a period established by the Administrator pursuant to Section 4 during which Payroll deductions are accumulated from Participants and applied to the purchase of Common Stock. The duration and timing of an Offering Period may be changed pursuant to Sections 4 and 18.</w:t>
      </w:r>
    </w:p>
    <w:p>
      <w:pPr>
        <w:spacing w:after="0" w:line="85" w:lineRule="exact"/>
        <w:rPr>
          <w:rFonts w:ascii="Arial" w:cs="Arial" w:eastAsia="Arial" w:hAnsi="Arial"/>
          <w:sz w:val="16"/>
          <w:szCs w:val="16"/>
          <w:color w:val="auto"/>
        </w:rPr>
      </w:pPr>
    </w:p>
    <w:p>
      <w:pPr>
        <w:ind w:left="1160" w:hanging="239"/>
        <w:spacing w:after="0"/>
        <w:tabs>
          <w:tab w:leader="none" w:pos="11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71" w:lineRule="exact"/>
        <w:rPr>
          <w:rFonts w:ascii="Arial" w:cs="Arial" w:eastAsia="Arial" w:hAnsi="Arial"/>
          <w:sz w:val="18"/>
          <w:szCs w:val="18"/>
          <w:color w:val="auto"/>
        </w:rPr>
      </w:pPr>
    </w:p>
    <w:p>
      <w:pPr>
        <w:ind w:right="120" w:firstLine="921"/>
        <w:spacing w:after="0" w:line="268" w:lineRule="auto"/>
        <w:tabs>
          <w:tab w:leader="none" w:pos="1162"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an Employee who has elected to participate, or has been deemed to participate by means of an automatic enrollment, in this Plan pursuant to Section 5.</w:t>
      </w:r>
    </w:p>
    <w:p>
      <w:pPr>
        <w:spacing w:after="0" w:line="131" w:lineRule="exact"/>
        <w:rPr>
          <w:rFonts w:ascii="Arial" w:cs="Arial" w:eastAsia="Arial" w:hAnsi="Arial"/>
          <w:sz w:val="18"/>
          <w:szCs w:val="18"/>
          <w:color w:val="auto"/>
        </w:rPr>
      </w:pPr>
    </w:p>
    <w:p>
      <w:pPr>
        <w:ind w:right="720" w:firstLine="921"/>
        <w:spacing w:after="0" w:line="268" w:lineRule="auto"/>
        <w:tabs>
          <w:tab w:leader="none" w:pos="1162"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Payroll</w:t>
      </w:r>
      <w:r>
        <w:rPr>
          <w:rFonts w:ascii="Arial" w:cs="Arial" w:eastAsia="Arial" w:hAnsi="Arial"/>
          <w:sz w:val="18"/>
          <w:szCs w:val="18"/>
          <w:color w:val="auto"/>
        </w:rPr>
        <w:t>” means all regular, straight-time gross earnings, exclusive of payments for overtime, shift premium, incentive compensation or payments, bonuses, and commissions.</w:t>
      </w:r>
    </w:p>
    <w:p>
      <w:pPr>
        <w:spacing w:after="0" w:line="131" w:lineRule="exact"/>
        <w:rPr>
          <w:rFonts w:ascii="Arial" w:cs="Arial" w:eastAsia="Arial" w:hAnsi="Arial"/>
          <w:sz w:val="18"/>
          <w:szCs w:val="18"/>
          <w:color w:val="auto"/>
        </w:rPr>
      </w:pPr>
    </w:p>
    <w:p>
      <w:pPr>
        <w:ind w:right="580" w:firstLine="921"/>
        <w:spacing w:after="0" w:line="268" w:lineRule="auto"/>
        <w:tabs>
          <w:tab w:leader="none" w:pos="1162"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Marvell Technology Group Ltd. 2000 Employee Stock Purchase Plan, as amended and restated, which includes a Code Section 423 Plan Component and a Non-423 Plan Component.</w:t>
      </w:r>
    </w:p>
    <w:p>
      <w:pPr>
        <w:spacing w:after="0" w:line="131" w:lineRule="exact"/>
        <w:rPr>
          <w:rFonts w:ascii="Arial" w:cs="Arial" w:eastAsia="Arial" w:hAnsi="Arial"/>
          <w:sz w:val="18"/>
          <w:szCs w:val="18"/>
          <w:color w:val="auto"/>
        </w:rPr>
      </w:pPr>
    </w:p>
    <w:p>
      <w:pPr>
        <w:ind w:right="200" w:firstLine="921"/>
        <w:spacing w:after="0" w:line="268" w:lineRule="auto"/>
        <w:tabs>
          <w:tab w:leader="none" w:pos="1132"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Date</w:t>
      </w:r>
      <w:r>
        <w:rPr>
          <w:rFonts w:ascii="Arial" w:cs="Arial" w:eastAsia="Arial" w:hAnsi="Arial"/>
          <w:sz w:val="18"/>
          <w:szCs w:val="18"/>
          <w:color w:val="auto"/>
        </w:rPr>
        <w:t>” means such trading days during each Offering Period as may be established by the Administrator for the purchase of Common Stock pursuant to Section 8.</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Right</w:t>
      </w:r>
      <w:r>
        <w:rPr>
          <w:rFonts w:ascii="Arial" w:cs="Arial" w:eastAsia="Arial" w:hAnsi="Arial"/>
          <w:sz w:val="18"/>
          <w:szCs w:val="18"/>
          <w:color w:val="auto"/>
        </w:rPr>
        <w:t>” means a right to purchase Common Stock granted pursuant to Section 7.</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280" w:right="239" w:bottom="1440" w:gutter="0" w:footer="0" w:header="0"/>
        </w:sectPr>
      </w:pPr>
    </w:p>
    <w:bookmarkStart w:id="58" w:name="page59"/>
    <w:bookmarkEnd w:id="58"/>
    <w:p>
      <w:pPr>
        <w:ind w:left="760" w:hanging="219"/>
        <w:spacing w:after="0"/>
        <w:tabs>
          <w:tab w:leader="none" w:pos="760" w:val="left"/>
        </w:tabs>
        <w:numPr>
          <w:ilvl w:val="0"/>
          <w:numId w:val="3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Restatement Effective Date</w:t>
      </w:r>
      <w:r>
        <w:rPr>
          <w:rFonts w:ascii="Arial" w:cs="Arial" w:eastAsia="Arial" w:hAnsi="Arial"/>
          <w:sz w:val="18"/>
          <w:szCs w:val="18"/>
          <w:color w:val="auto"/>
        </w:rPr>
        <w:t>” means October 31, 2011, the date of the amendment and restatement of the Plan.</w:t>
      </w:r>
    </w:p>
    <w:p>
      <w:pPr>
        <w:spacing w:after="0" w:line="171" w:lineRule="exact"/>
        <w:rPr>
          <w:rFonts w:ascii="Arial" w:cs="Arial" w:eastAsia="Arial" w:hAnsi="Arial"/>
          <w:sz w:val="18"/>
          <w:szCs w:val="18"/>
          <w:color w:val="auto"/>
        </w:rPr>
      </w:pPr>
    </w:p>
    <w:p>
      <w:pPr>
        <w:ind w:left="-380" w:firstLine="921"/>
        <w:spacing w:after="0" w:line="268" w:lineRule="auto"/>
        <w:tabs>
          <w:tab w:leader="none" w:pos="782" w:val="left"/>
        </w:tabs>
        <w:numPr>
          <w:ilvl w:val="0"/>
          <w:numId w:val="3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from time to time, any corporation, domestic or foreign, of which not less than 50% of the voting shares are held by the Company or another Subsidiary of the Company.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660"/>
          </w:cols>
          <w:pgMar w:left="620" w:top="280" w:right="619" w:bottom="1440" w:gutter="0" w:footer="0" w:header="0"/>
        </w:sectPr>
      </w:pPr>
    </w:p>
    <w:bookmarkStart w:id="59" w:name="page60"/>
    <w:bookmarkEnd w:id="59"/>
    <w:p>
      <w:pPr>
        <w:jc w:val="right"/>
        <w:spacing w:after="0"/>
        <w:rPr>
          <w:sz w:val="20"/>
          <w:szCs w:val="20"/>
          <w:color w:val="auto"/>
        </w:rPr>
      </w:pPr>
      <w:r>
        <w:rPr>
          <w:rFonts w:ascii="Arial" w:cs="Arial" w:eastAsia="Arial" w:hAnsi="Arial"/>
          <w:sz w:val="18"/>
          <w:szCs w:val="18"/>
          <w:b w:val="1"/>
          <w:bCs w:val="1"/>
          <w:color w:val="auto"/>
        </w:rPr>
        <w:t>Exhibit 10.2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SUBSCRIPTION AGREEMENT</w:t>
      </w:r>
    </w:p>
    <w:p>
      <w:pPr>
        <w:spacing w:after="0" w:line="159" w:lineRule="exact"/>
        <w:rPr>
          <w:sz w:val="20"/>
          <w:szCs w:val="20"/>
          <w:color w:val="auto"/>
        </w:rPr>
      </w:pPr>
    </w:p>
    <w:p>
      <w:pPr>
        <w:ind w:right="660"/>
        <w:spacing w:after="0" w:line="275" w:lineRule="auto"/>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NROLLMENT</w:t>
      </w:r>
      <w:r>
        <w:rPr>
          <w:rFonts w:ascii="Arial" w:cs="Arial" w:eastAsia="Arial" w:hAnsi="Arial"/>
          <w:sz w:val="18"/>
          <w:szCs w:val="18"/>
          <w:b w:val="1"/>
          <w:bCs w:val="1"/>
          <w:color w:val="auto"/>
        </w:rPr>
        <w:t xml:space="preserve"> D</w:t>
      </w:r>
      <w:r>
        <w:rPr>
          <w:rFonts w:ascii="Arial" w:cs="Arial" w:eastAsia="Arial" w:hAnsi="Arial"/>
          <w:sz w:val="14"/>
          <w:szCs w:val="14"/>
          <w:b w:val="1"/>
          <w:bCs w:val="1"/>
          <w:color w:val="auto"/>
        </w:rPr>
        <w:t>ATE</w:t>
      </w:r>
      <w:r>
        <w:rPr>
          <w:rFonts w:ascii="Arial" w:cs="Arial" w:eastAsia="Arial" w:hAnsi="Arial"/>
          <w:sz w:val="18"/>
          <w:szCs w:val="18"/>
          <w:b w:val="1"/>
          <w:bCs w:val="1"/>
          <w:color w:val="auto"/>
        </w:rPr>
        <w:t xml:space="preserve">: I </w:t>
      </w:r>
      <w:r>
        <w:rPr>
          <w:rFonts w:ascii="Arial" w:cs="Arial" w:eastAsia="Arial" w:hAnsi="Arial"/>
          <w:sz w:val="14"/>
          <w:szCs w:val="14"/>
          <w:b w:val="1"/>
          <w:bCs w:val="1"/>
          <w:color w:val="auto"/>
        </w:rPr>
        <w:t>UNDERSTAND THAT THIS</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UBSCRIPTION</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GREEMENT SHALL REMAIN IN EFFECT THROUGHOUT SUCCESSIVE</w:t>
      </w:r>
      <w:r>
        <w:rPr>
          <w:rFonts w:ascii="Arial" w:cs="Arial" w:eastAsia="Arial" w:hAnsi="Arial"/>
          <w:sz w:val="18"/>
          <w:szCs w:val="18"/>
          <w:b w:val="1"/>
          <w:bCs w:val="1"/>
          <w:color w:val="auto"/>
        </w:rPr>
        <w:t xml:space="preserve"> O</w:t>
      </w:r>
      <w:r>
        <w:rPr>
          <w:rFonts w:ascii="Arial" w:cs="Arial" w:eastAsia="Arial" w:hAnsi="Arial"/>
          <w:sz w:val="14"/>
          <w:szCs w:val="14"/>
          <w:b w:val="1"/>
          <w:bCs w:val="1"/>
          <w:color w:val="auto"/>
        </w:rPr>
        <w:t>FFERING</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ERIODS UNLESS TERMINATED BY ME</w:t>
      </w:r>
      <w:r>
        <w:rPr>
          <w:rFonts w:ascii="Arial" w:cs="Arial" w:eastAsia="Arial" w:hAnsi="Arial"/>
          <w:sz w:val="18"/>
          <w:szCs w:val="18"/>
          <w:b w:val="1"/>
          <w:bCs w:val="1"/>
          <w:color w:val="auto"/>
        </w:rPr>
        <w:t>.</w:t>
      </w:r>
    </w:p>
    <w:p>
      <w:pPr>
        <w:spacing w:after="0" w:line="45" w:lineRule="exact"/>
        <w:rPr>
          <w:sz w:val="20"/>
          <w:szCs w:val="20"/>
          <w:color w:val="auto"/>
        </w:rPr>
      </w:pPr>
    </w:p>
    <w:p>
      <w:pPr>
        <w:ind w:left="460" w:right="140" w:hanging="452"/>
        <w:spacing w:after="0" w:line="256" w:lineRule="auto"/>
        <w:tabs>
          <w:tab w:leader="none" w:pos="4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 hereby elect to participate in the Marvell Technology Group Ltd. 2000 Employee Stock Purchase Plan, as Amended and Restated as of October 31, 2011 (the “Stock Purchase Plan” or the “Plan”) and subscribe to purchase common shares of the Company (“Common Stock”) in accordance with the Stock Purchase Plan, this Subscription Agreement, and the terms set forth in the Addendum hereto. Terms not otherwise defined herein have the same meaning attributed to them in the Stock Purchase Plan.</w:t>
      </w:r>
    </w:p>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00" w:type="dxa"/>
            <w:vAlign w:val="bottom"/>
          </w:tcPr>
          <w:p>
            <w:pPr>
              <w:jc w:val="right"/>
              <w:ind w:right="72"/>
              <w:spacing w:after="0"/>
              <w:rPr>
                <w:sz w:val="20"/>
                <w:szCs w:val="20"/>
                <w:color w:val="auto"/>
              </w:rPr>
            </w:pPr>
            <w:r>
              <w:rPr>
                <w:rFonts w:ascii="Arial" w:cs="Arial" w:eastAsia="Arial" w:hAnsi="Arial"/>
                <w:sz w:val="18"/>
                <w:szCs w:val="18"/>
                <w:color w:val="auto"/>
                <w:w w:val="79"/>
              </w:rPr>
              <w:t>2.</w:t>
            </w:r>
          </w:p>
        </w:tc>
        <w:tc>
          <w:tcPr>
            <w:tcW w:w="10980" w:type="dxa"/>
            <w:vAlign w:val="bottom"/>
          </w:tcPr>
          <w:p>
            <w:pPr>
              <w:ind w:left="160"/>
              <w:spacing w:after="0"/>
              <w:rPr>
                <w:sz w:val="20"/>
                <w:szCs w:val="20"/>
                <w:color w:val="auto"/>
              </w:rPr>
            </w:pPr>
            <w:r>
              <w:rPr>
                <w:rFonts w:ascii="Arial" w:cs="Arial" w:eastAsia="Arial" w:hAnsi="Arial"/>
                <w:sz w:val="18"/>
                <w:szCs w:val="18"/>
                <w:color w:val="auto"/>
                <w:w w:val="91"/>
              </w:rPr>
              <w:t>I hereby authorize payroll deductions from each paycheck in the amount of   % (maximum 15%, in whole percentages only) of my gross pay on each</w:t>
            </w:r>
          </w:p>
        </w:tc>
      </w:tr>
      <w:tr>
        <w:trPr>
          <w:trHeight w:val="216"/>
        </w:trPr>
        <w:tc>
          <w:tcPr>
            <w:tcW w:w="300" w:type="dxa"/>
            <w:vAlign w:val="bottom"/>
          </w:tcPr>
          <w:p>
            <w:pPr>
              <w:spacing w:after="0"/>
              <w:rPr>
                <w:sz w:val="18"/>
                <w:szCs w:val="18"/>
                <w:color w:val="auto"/>
              </w:rPr>
            </w:pPr>
          </w:p>
        </w:tc>
        <w:tc>
          <w:tcPr>
            <w:tcW w:w="10980" w:type="dxa"/>
            <w:vAlign w:val="bottom"/>
          </w:tcPr>
          <w:p>
            <w:pPr>
              <w:ind w:left="160"/>
              <w:spacing w:after="0"/>
              <w:rPr>
                <w:sz w:val="20"/>
                <w:szCs w:val="20"/>
                <w:color w:val="auto"/>
              </w:rPr>
            </w:pPr>
            <w:r>
              <w:rPr>
                <w:rFonts w:ascii="Arial" w:cs="Arial" w:eastAsia="Arial" w:hAnsi="Arial"/>
                <w:sz w:val="18"/>
                <w:szCs w:val="18"/>
                <w:color w:val="auto"/>
                <w:w w:val="87"/>
              </w:rPr>
              <w:t>payday during the Offering Period in accordance with the Stock Purchase Plan. (No fractional percentages are permitted.) Such deductions are to continue</w:t>
            </w:r>
          </w:p>
        </w:tc>
      </w:tr>
      <w:tr>
        <w:trPr>
          <w:trHeight w:val="216"/>
        </w:trPr>
        <w:tc>
          <w:tcPr>
            <w:tcW w:w="300" w:type="dxa"/>
            <w:vAlign w:val="bottom"/>
          </w:tcPr>
          <w:p>
            <w:pPr>
              <w:spacing w:after="0"/>
              <w:rPr>
                <w:sz w:val="18"/>
                <w:szCs w:val="18"/>
                <w:color w:val="auto"/>
              </w:rPr>
            </w:pPr>
          </w:p>
        </w:tc>
        <w:tc>
          <w:tcPr>
            <w:tcW w:w="10980" w:type="dxa"/>
            <w:vAlign w:val="bottom"/>
          </w:tcPr>
          <w:p>
            <w:pPr>
              <w:ind w:left="160"/>
              <w:spacing w:after="0"/>
              <w:rPr>
                <w:sz w:val="20"/>
                <w:szCs w:val="20"/>
                <w:color w:val="auto"/>
              </w:rPr>
            </w:pPr>
            <w:r>
              <w:rPr>
                <w:rFonts w:ascii="Arial" w:cs="Arial" w:eastAsia="Arial" w:hAnsi="Arial"/>
                <w:sz w:val="18"/>
                <w:szCs w:val="18"/>
                <w:color w:val="auto"/>
                <w:w w:val="94"/>
              </w:rPr>
              <w:t>for succeeding Offering Periods until I give written instructions for a change in or termination of such deductions or my participation is otherwise</w:t>
            </w:r>
          </w:p>
        </w:tc>
      </w:tr>
      <w:tr>
        <w:trPr>
          <w:trHeight w:val="222"/>
        </w:trPr>
        <w:tc>
          <w:tcPr>
            <w:tcW w:w="300" w:type="dxa"/>
            <w:vAlign w:val="bottom"/>
          </w:tcPr>
          <w:p>
            <w:pPr>
              <w:spacing w:after="0"/>
              <w:rPr>
                <w:sz w:val="19"/>
                <w:szCs w:val="19"/>
                <w:color w:val="auto"/>
              </w:rPr>
            </w:pPr>
          </w:p>
        </w:tc>
        <w:tc>
          <w:tcPr>
            <w:tcW w:w="10980" w:type="dxa"/>
            <w:vAlign w:val="bottom"/>
          </w:tcPr>
          <w:p>
            <w:pPr>
              <w:ind w:left="160"/>
              <w:spacing w:after="0"/>
              <w:rPr>
                <w:sz w:val="20"/>
                <w:szCs w:val="20"/>
                <w:color w:val="auto"/>
              </w:rPr>
            </w:pPr>
            <w:r>
              <w:rPr>
                <w:rFonts w:ascii="Arial" w:cs="Arial" w:eastAsia="Arial" w:hAnsi="Arial"/>
                <w:sz w:val="18"/>
                <w:szCs w:val="18"/>
                <w:color w:val="auto"/>
              </w:rPr>
              <w:t>terminated in accordance with the Stock Purchase Plan.</w:t>
            </w:r>
          </w:p>
        </w:tc>
      </w:tr>
    </w:tbl>
    <w:p>
      <w:pPr>
        <w:spacing w:after="0" w:line="75" w:lineRule="exact"/>
        <w:rPr>
          <w:sz w:val="20"/>
          <w:szCs w:val="20"/>
          <w:color w:val="auto"/>
        </w:rPr>
      </w:pPr>
    </w:p>
    <w:p>
      <w:pPr>
        <w:ind w:left="460" w:hanging="452"/>
        <w:spacing w:after="0" w:line="290" w:lineRule="auto"/>
        <w:tabs>
          <w:tab w:leader="none" w:pos="4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I understand that said payroll deductions should be accumulated for the purchase of shares of Common Stock at the applicable purchase price determined in accordance with the Stock Purchase Plan. I further understand that, except as otherwise set forth in the Stock Purchase Plan, shares will be purchased for me automatically on each Purchase Date of the Offering Period unless I otherwise withdraw from the Stock Purchase Plan by giving written notice to the Company for such purpose at least 15 days before the Purchase Date. I understand that I may withdraw from the Stock Purchase Plan and have payroll deductions refunded (without interest) promptly at any time during the Offering Period as long as written notice of my withdrawal is provided to the Administrator, in required form, at least 15 days before the Purchase Date. I understand that the duration of Offering Periods (including the commencement dates thereof) shall be subject to change by the Administrator in accordance with Sections 4 and 18 of the Stock Purchase Plan.</w:t>
      </w:r>
    </w:p>
    <w:p>
      <w:pPr>
        <w:spacing w:after="0" w:line="37" w:lineRule="exact"/>
        <w:rPr>
          <w:rFonts w:ascii="Arial" w:cs="Arial" w:eastAsia="Arial" w:hAnsi="Arial"/>
          <w:sz w:val="16"/>
          <w:szCs w:val="16"/>
          <w:color w:val="auto"/>
        </w:rPr>
      </w:pPr>
    </w:p>
    <w:p>
      <w:pPr>
        <w:ind w:left="460" w:right="100" w:hanging="452"/>
        <w:spacing w:after="0" w:line="332" w:lineRule="auto"/>
        <w:tabs>
          <w:tab w:leader="none" w:pos="4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I have received a copy of the complete Stock Purchase Plan. I have also received a copy of the complete Stock Purchase Plan Prospectus. I understand that my participation in the Stock Purchase Plan is in all respects subject to the terms of the Stock Purchase Plan.</w:t>
      </w:r>
    </w:p>
    <w:p>
      <w:pPr>
        <w:spacing w:after="0" w:line="4" w:lineRule="exact"/>
        <w:rPr>
          <w:rFonts w:ascii="Arial" w:cs="Arial" w:eastAsia="Arial" w:hAnsi="Arial"/>
          <w:sz w:val="16"/>
          <w:szCs w:val="16"/>
          <w:color w:val="auto"/>
        </w:rPr>
      </w:pPr>
    </w:p>
    <w:p>
      <w:pPr>
        <w:ind w:left="460" w:right="100" w:hanging="452"/>
        <w:spacing w:after="0" w:line="286" w:lineRule="auto"/>
        <w:tabs>
          <w:tab w:leader="none" w:pos="460" w:val="left"/>
        </w:tabs>
        <w:numPr>
          <w:ilvl w:val="0"/>
          <w:numId w:val="33"/>
        </w:numPr>
        <w:rPr>
          <w:rFonts w:ascii="Arial" w:cs="Arial" w:eastAsia="Arial" w:hAnsi="Arial"/>
          <w:sz w:val="16"/>
          <w:szCs w:val="16"/>
          <w:color w:val="auto"/>
        </w:rPr>
      </w:pPr>
      <w:r>
        <w:rPr>
          <w:rFonts w:ascii="Arial" w:cs="Arial" w:eastAsia="Arial" w:hAnsi="Arial"/>
          <w:sz w:val="16"/>
          <w:szCs w:val="16"/>
          <w:color w:val="auto"/>
        </w:rPr>
        <w:t>Regardless of any action the Company or my employer, if different (the “Employer”) takes with respect to any or all income tax, social insurance, payroll tax, payment on account or other tax-related items related to my participation in the Stock Purchase Plan and legally applicable to me (“Tax-Related Items”), I acknowledge that the ultimate liability for all Tax-Related Items is and remains my responsibility and may exceed the amount actually withheld by the Company or the Employer. I further acknowledge that the Company and/or the Employer (1) make no representations or undertakings regarding the treatment of any Tax-Related Items in connection with any aspect of my participation in the Stock Purchase Plan, including, but not limited to, the grant of the Purchase Right, the purchase of shares of Common Stock under the Stock Purchase Plan, the subsequent sale of shares of Common Stock acquired under the Stock Purchase Plan and the receipt of any dividends; and (2) do not commit to and are under no obligation to structure the terms of the grant or any aspect of the Purchase Right to reduce or eliminate my liability for Tax-Related Items or achieve any particular tax result. Further, if I have become subject to tax in more than one jurisdiction between the date my participation began and the date of any relevant taxable event, I acknowledge that the Company and/or the Employer (or former employer, as applicable) may be required to withhold or account for Tax-Related Items in more than one jurisdiction.</w:t>
      </w:r>
    </w:p>
    <w:p>
      <w:pPr>
        <w:spacing w:after="0" w:line="46" w:lineRule="exact"/>
        <w:rPr>
          <w:rFonts w:ascii="Arial" w:cs="Arial" w:eastAsia="Arial" w:hAnsi="Arial"/>
          <w:sz w:val="16"/>
          <w:szCs w:val="16"/>
          <w:color w:val="auto"/>
        </w:rPr>
      </w:pPr>
    </w:p>
    <w:p>
      <w:pPr>
        <w:ind w:left="460" w:right="260"/>
        <w:spacing w:after="0" w:line="323" w:lineRule="auto"/>
        <w:rPr>
          <w:rFonts w:ascii="Arial" w:cs="Arial" w:eastAsia="Arial" w:hAnsi="Arial"/>
          <w:sz w:val="16"/>
          <w:szCs w:val="16"/>
          <w:color w:val="auto"/>
        </w:rPr>
      </w:pPr>
      <w:r>
        <w:rPr>
          <w:rFonts w:ascii="Arial" w:cs="Arial" w:eastAsia="Arial" w:hAnsi="Arial"/>
          <w:sz w:val="15"/>
          <w:szCs w:val="15"/>
          <w:color w:val="auto"/>
        </w:rPr>
        <w:t>Prior to any relevant taxable or tax withholding event, as applicable, I will pay or make adequate arrangements satisfactory to the Company and/or the Employer to satisfy all Tax-Related Items. In this regard, I authorize the Company and/or the Employer, or their respective agents, at their discretion, to satisfy the obligations with regard to all Tax-Related Items by one or a combination of the following: (a) withholding from my wages or other cash compensation paid to me by the Company and/or the Employer; or (b) withholding from proceeds of the sale of shares of Common Stock acquired upon</w:t>
      </w:r>
    </w:p>
    <w:p>
      <w:pPr>
        <w:sectPr>
          <w:pgSz w:w="11900" w:h="16838" w:orient="portrait"/>
          <w:cols w:equalWidth="0" w:num="1">
            <w:col w:w="11420"/>
          </w:cols>
          <w:pgMar w:left="240" w:top="125" w:right="239" w:bottom="1440" w:gutter="0" w:footer="0" w:header="0"/>
        </w:sectPr>
      </w:pPr>
    </w:p>
    <w:bookmarkStart w:id="60" w:name="page61"/>
    <w:bookmarkEnd w:id="60"/>
    <w:p>
      <w:pPr>
        <w:ind w:left="452" w:right="600"/>
        <w:spacing w:after="0" w:line="33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exercise of the Purchase Right either through a voluntary sale or through a mandatory sale arranged by the Company (on my behalf pursuant to this authorization); or (c) withholding in shares of Common Stock to be issued upon exercise of the Purchase Right.</w:t>
      </w:r>
    </w:p>
    <w:p>
      <w:pPr>
        <w:spacing w:after="0" w:line="4" w:lineRule="exact"/>
        <w:rPr>
          <w:sz w:val="20"/>
          <w:szCs w:val="20"/>
          <w:color w:val="auto"/>
        </w:rPr>
      </w:pPr>
    </w:p>
    <w:p>
      <w:pPr>
        <w:ind w:left="452" w:right="100"/>
        <w:spacing w:after="0" w:line="255" w:lineRule="auto"/>
        <w:rPr>
          <w:sz w:val="20"/>
          <w:szCs w:val="20"/>
          <w:color w:val="auto"/>
        </w:rPr>
      </w:pPr>
      <w:r>
        <w:rPr>
          <w:rFonts w:ascii="Arial" w:cs="Arial" w:eastAsia="Arial" w:hAnsi="Arial"/>
          <w:sz w:val="18"/>
          <w:szCs w:val="18"/>
          <w:color w:val="auto"/>
        </w:rPr>
        <w:t>To avoid negative accounting treatment, the Company may withhold or account for Tax-Related Items by considering applicable minimum statutory withholding amounts or other applicable withholding rates. If the obligation for Tax-Related Items is satisfied by withholding in shares of Common Stock, for tax purposes, I will be deemed to have been issued the full number of shares of Common Stock subject to the exercised Purchase Right, notwithstanding that a number of shares of Common Stock are held back solely for the purpose of paying the Tax-Related Items due as a result of my participation in the Stock Purchase Plan.</w:t>
      </w:r>
    </w:p>
    <w:p>
      <w:pPr>
        <w:spacing w:after="0" w:line="62" w:lineRule="exact"/>
        <w:rPr>
          <w:sz w:val="20"/>
          <w:szCs w:val="20"/>
          <w:color w:val="auto"/>
        </w:rPr>
      </w:pPr>
    </w:p>
    <w:p>
      <w:pPr>
        <w:ind w:left="452" w:right="80"/>
        <w:spacing w:after="0" w:line="256" w:lineRule="auto"/>
        <w:rPr>
          <w:sz w:val="20"/>
          <w:szCs w:val="20"/>
          <w:color w:val="auto"/>
        </w:rPr>
      </w:pPr>
      <w:r>
        <w:rPr>
          <w:rFonts w:ascii="Arial" w:cs="Arial" w:eastAsia="Arial" w:hAnsi="Arial"/>
          <w:sz w:val="18"/>
          <w:szCs w:val="18"/>
          <w:color w:val="auto"/>
        </w:rPr>
        <w:t>Finally, I shall pay to the Company or the Employer any amount of Tax-Related Items that the Company or the Employer may be required to withhold or account for as a result of my participation in the Stock Purchase Plan that cannot be satisfied by the means previously described. The Company may refuse to purchase shares of Common Stock on my behalf under the Stock Purchase Plan and refuse to deliver the shares of Common Stock if I fail to comply with my obligations in connection with the Tax-Related Items.</w:t>
      </w:r>
    </w:p>
    <w:p>
      <w:pPr>
        <w:spacing w:after="0" w:line="62" w:lineRule="exact"/>
        <w:rPr>
          <w:sz w:val="20"/>
          <w:szCs w:val="20"/>
          <w:color w:val="auto"/>
        </w:rPr>
      </w:pPr>
    </w:p>
    <w:p>
      <w:pPr>
        <w:ind w:left="452" w:right="100" w:hanging="452"/>
        <w:spacing w:after="0" w:line="283" w:lineRule="auto"/>
        <w:tabs>
          <w:tab w:leader="none" w:pos="452" w:val="left"/>
        </w:tabs>
        <w:numPr>
          <w:ilvl w:val="0"/>
          <w:numId w:val="34"/>
        </w:numPr>
        <w:rPr>
          <w:rFonts w:ascii="Arial" w:cs="Arial" w:eastAsia="Arial" w:hAnsi="Arial"/>
          <w:sz w:val="16"/>
          <w:szCs w:val="16"/>
          <w:color w:val="auto"/>
        </w:rPr>
      </w:pPr>
      <w:r>
        <w:rPr>
          <w:rFonts w:ascii="Arial" w:cs="Arial" w:eastAsia="Arial" w:hAnsi="Arial"/>
          <w:sz w:val="16"/>
          <w:szCs w:val="16"/>
          <w:color w:val="auto"/>
        </w:rPr>
        <w:t>By enrolling in the Stock Purchase Plan and by authorizing payroll deductions, I acknowledge that: (a) the Stock Purchase Plan is established voluntarily by the Company, it is discretionary in nature, and it may be modified, amended, suspended, or terminated by the Company at any time; (b) the grant of the Purchase Right is voluntary and occasional and does not create any contractual or other right to receive future Purchase Rights, or benefits in lieu of Purchase Rights, even if Purchase Rights have been granted repeatedly in the past; (c) all decisions with respect to future grants of Purchase Rights, if any, will be at the sole discretion of the Company; (d) my participation in the Stock Purchase Plan shall not create a right to further employment with the Company or the Employer and shall not interfere with the ability of the Company or the Employer to terminate my employment relationship at any time;</w:t>
      </w:r>
    </w:p>
    <w:p>
      <w:pPr>
        <w:spacing w:after="0" w:line="1" w:lineRule="exact"/>
        <w:rPr>
          <w:rFonts w:ascii="Arial" w:cs="Arial" w:eastAsia="Arial" w:hAnsi="Arial"/>
          <w:sz w:val="16"/>
          <w:szCs w:val="16"/>
          <w:color w:val="auto"/>
        </w:rPr>
      </w:pPr>
    </w:p>
    <w:p>
      <w:pPr>
        <w:ind w:left="452" w:right="20"/>
        <w:spacing w:after="0" w:line="283" w:lineRule="auto"/>
        <w:rPr>
          <w:rFonts w:ascii="Arial" w:cs="Arial" w:eastAsia="Arial" w:hAnsi="Arial"/>
          <w:sz w:val="16"/>
          <w:szCs w:val="16"/>
          <w:color w:val="auto"/>
        </w:rPr>
      </w:pPr>
      <w:r>
        <w:rPr>
          <w:rFonts w:ascii="Arial" w:cs="Arial" w:eastAsia="Arial" w:hAnsi="Arial"/>
          <w:sz w:val="16"/>
          <w:szCs w:val="16"/>
          <w:color w:val="auto"/>
        </w:rPr>
        <w:t>(e) I am voluntarily participating in the Stock Purchase Plan; (f) the Purchase Right and the shares of Common Stock subject to the Purchase Right are extraordinary items that do not constitute compensation of any kind for services of any kind rendered to the Company or the Employer, and are outside the scope of my employment contract, if any; (g) the Purchase Right and the shares of Common Stock subject to the Purchase Right are not intended to replace any pension rights or compensation; (h) the Purchase Right and the shares of Common Stock subject to the Purchase Right are not part of normal or expected compensation or salary for any purposes, including, but not limited to, calculating any severance, resignation, termination, redundancy, end of service payments, bonuses, long-service awards, pension or retirement or welfare benefits or similar payments, and in no event should be considered as compensation for, or relating in any way to, past services for the Company, the Employer, or any Parent or Subsidiary; (i) the grant of the Purchase Right and my participation in the Stock Purchase Plan will not be interpreted to form an employment contract or relationship with the Company, the Employer, or any Parent or Subsidiary; (j) the future value of the underlying shares of Common Stock purchased or to be purchased under the Stock Purchase Plan is unknown and cannot be predicted with certainty; (k) if shares of Common Stock are purchased for me on a Purchase Date, the value of those shares of Common Stock acquired under the Stock Purchase Plan may increase or decrease in value, even below the purchase price; (l) in consideration of the grant of the Purchase Right, no claim or entitlement to compensation or damages shall arise from forfeiture of the Purchase Right resulting from termination of my Continuous Employment by the Company or the Employer (for any reason whatsoever and whether or not in breach of local labor laws), and I irrevocably release the Company and the Employer from any such claim that may arise; if, notwithstanding the foregoing, any such claim is found by a court of competent jurisdiction to have arisen, then, by enrolling in the Stock Purchase Plan and authorizing payroll deductions, I shall be deemed irrevocably to have waived my entitlement to pursue such claim; (m) in the event of termination of my Continuous Employment (whether or not in breach of local labor laws), my right to participate in and to purchase shares of Common Stock under the Stock Purchase Plan, if any, will terminate effective as of the date that I am no longer actively employed and will not be extended by any notice period mandated under local law (</w:t>
      </w:r>
      <w:r>
        <w:rPr>
          <w:rFonts w:ascii="Arial" w:cs="Arial" w:eastAsia="Arial" w:hAnsi="Arial"/>
          <w:sz w:val="16"/>
          <w:szCs w:val="16"/>
          <w:i w:val="1"/>
          <w:iCs w:val="1"/>
          <w:color w:val="auto"/>
        </w:rPr>
        <w:t>e.g.,</w:t>
      </w:r>
      <w:r>
        <w:rPr>
          <w:rFonts w:ascii="Arial" w:cs="Arial" w:eastAsia="Arial" w:hAnsi="Arial"/>
          <w:sz w:val="16"/>
          <w:szCs w:val="16"/>
          <w:color w:val="auto"/>
        </w:rPr>
        <w:t xml:space="preserve"> active employment would not include a period of “garden leave” or similar period pursuant to local law); the Administrator shall have the exclusive discretion to determine when I am no longer actively employed for purposes of my participation in the Stock Purchase Plan; and (n) the Purchase Right and the benefits under the Stock Purchase Plan, if any, will not automatically transfer to another company in the case of a merger, take-over, or transfer of liability.</w:t>
      </w:r>
    </w:p>
    <w:p>
      <w:pPr>
        <w:spacing w:after="0" w:line="56" w:lineRule="exact"/>
        <w:rPr>
          <w:rFonts w:ascii="Arial" w:cs="Arial" w:eastAsia="Arial" w:hAnsi="Arial"/>
          <w:sz w:val="16"/>
          <w:szCs w:val="16"/>
          <w:color w:val="auto"/>
        </w:rPr>
      </w:pPr>
    </w:p>
    <w:p>
      <w:pPr>
        <w:ind w:left="452" w:hanging="452"/>
        <w:spacing w:after="0" w:line="306" w:lineRule="auto"/>
        <w:tabs>
          <w:tab w:leader="none" w:pos="452" w:val="left"/>
        </w:tabs>
        <w:numPr>
          <w:ilvl w:val="0"/>
          <w:numId w:val="34"/>
        </w:numPr>
        <w:rPr>
          <w:rFonts w:ascii="Arial" w:cs="Arial" w:eastAsia="Arial" w:hAnsi="Arial"/>
          <w:sz w:val="16"/>
          <w:szCs w:val="16"/>
          <w:color w:val="auto"/>
        </w:rPr>
      </w:pPr>
      <w:r>
        <w:rPr>
          <w:rFonts w:ascii="Arial" w:cs="Arial" w:eastAsia="Arial" w:hAnsi="Arial"/>
          <w:sz w:val="16"/>
          <w:szCs w:val="16"/>
          <w:color w:val="auto"/>
        </w:rPr>
        <w:t>The Company is not providing any tax, legal, or financial advice, nor is the Company making any recommendations regarding my participation in the Stock Purchase Plan, or my acquisition or sale of the underlying shares of Common Stock. I am hereby advised to consult with my own personal tax, legal, and financial advisors regarding my participation in the Stock Purchase Plan before taking any action related to the Stock Purchase Plan.</w:t>
      </w:r>
    </w:p>
    <w:p>
      <w:pPr>
        <w:sectPr>
          <w:pgSz w:w="11900" w:h="16838" w:orient="portrait"/>
          <w:cols w:equalWidth="0" w:num="1">
            <w:col w:w="11412"/>
          </w:cols>
          <w:pgMar w:left="248" w:top="280" w:right="239" w:bottom="1440" w:gutter="0" w:footer="0" w:header="0"/>
        </w:sectPr>
      </w:pPr>
    </w:p>
    <w:bookmarkStart w:id="61" w:name="page62"/>
    <w:bookmarkEnd w:id="61"/>
    <w:p>
      <w:pPr>
        <w:ind w:left="452" w:hanging="452"/>
        <w:spacing w:after="0" w:line="306" w:lineRule="auto"/>
        <w:tabs>
          <w:tab w:leader="none" w:pos="452" w:val="left"/>
        </w:tabs>
        <w:numPr>
          <w:ilvl w:val="0"/>
          <w:numId w:val="35"/>
        </w:numPr>
        <w:rPr>
          <w:rFonts w:ascii="Arial" w:cs="Arial" w:eastAsia="Arial" w:hAnsi="Arial"/>
          <w:sz w:val="15"/>
          <w:szCs w:val="15"/>
          <w:color w:val="auto"/>
        </w:rPr>
      </w:pPr>
      <w:r>
        <w:rPr>
          <w:rFonts w:ascii="Arial" w:cs="Arial" w:eastAsia="Arial" w:hAnsi="Arial"/>
          <w:sz w:val="15"/>
          <w:szCs w:val="15"/>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By enrolling in the Stock Purchase Plan and authorizing payroll deductions, I explicitly and unambiguously consent to the collection, use and transfer, in electronic or other form, of my personal data as described in this Subscription Agreement by and among, as applicable, the Employer, the Company and its Parent and Subsidiary for the exclusive purpose of implementing, administering and managing my participation in the Stock Purchase Plan. I understand that the Company and the Employer may hold certain personal information about me, including, but not limited to, my name, home address and telephone number, date of birth, social insurance number or other identification number, salary, nationality, job title, any shares of Common Stock or directorships held in the Company, details of all Purchase Rights or any other entitlement to shares of Common Stock awarded, canceled, exercised, vested, unvested or outstanding in my favor, for the exclusive purpose of implementing, administering and managing the Stock Purchase Plan (“Data”). I understand that Data will be transferred to the Stock Purchase Plan broker or such other stock plan service provider as may be selected by the Company, which is assisting the Company with the implementation, administration and management of the Stock Purchase Plan. I understand that the recipients of Data may be located in my country or elsewhere, and that the recipients’ country may have different data privacy laws and protections than my country. I authorize the Company, the broker, and any other possible recipients that may assist the Company (presently or in the future) with implementing, administering, and managing the Stock Purchase Plan to receive, possess, use, retain, and transfer Data, in electronic or other form, for the sole purpose of implementing, administering, and managing my participation in the Stock Purchase Plan.</w:t>
      </w:r>
    </w:p>
    <w:p>
      <w:pPr>
        <w:spacing w:after="0" w:line="31" w:lineRule="exact"/>
        <w:rPr>
          <w:rFonts w:ascii="Arial" w:cs="Arial" w:eastAsia="Arial" w:hAnsi="Arial"/>
          <w:sz w:val="15"/>
          <w:szCs w:val="15"/>
          <w:color w:val="auto"/>
        </w:rPr>
      </w:pPr>
    </w:p>
    <w:p>
      <w:pPr>
        <w:ind w:left="452" w:right="60"/>
        <w:spacing w:after="0" w:line="290" w:lineRule="auto"/>
        <w:rPr>
          <w:rFonts w:ascii="Arial" w:cs="Arial" w:eastAsia="Arial" w:hAnsi="Arial"/>
          <w:sz w:val="15"/>
          <w:szCs w:val="15"/>
          <w:color w:val="auto"/>
        </w:rPr>
      </w:pPr>
      <w:r>
        <w:rPr>
          <w:rFonts w:ascii="Arial" w:cs="Arial" w:eastAsia="Arial" w:hAnsi="Arial"/>
          <w:sz w:val="16"/>
          <w:szCs w:val="16"/>
          <w:b w:val="1"/>
          <w:bCs w:val="1"/>
          <w:i w:val="1"/>
          <w:iCs w:val="1"/>
          <w:color w:val="auto"/>
        </w:rPr>
        <w:t>If I am employed outside of the U.S., I understand that I may request a list with the names and addresses of any potential recipients of the Data by contacting my local human resources representative. I understand that Data will be held only as long as is necessary to implement, administer, and manage my participation in the Stock Purchase Plan. I understand that I may, at any time, view Data, request additional information about the storage and processing of Data, require any necessary amendments to Data or refuse or withdraw the consents herein, in any case without cost, by contacting in writing the Company’s human resources department. I understand, however, that refusing or withdrawing my consent may affect my ability to participate in the Stock Purchase Plan. For more information on the consequences of my refusal to consent or withdrawal of consent, I understand that I may contact the Company’s human resources department.</w:t>
      </w:r>
    </w:p>
    <w:p>
      <w:pPr>
        <w:spacing w:after="0" w:line="37" w:lineRule="exact"/>
        <w:rPr>
          <w:rFonts w:ascii="Arial" w:cs="Arial" w:eastAsia="Arial" w:hAnsi="Arial"/>
          <w:sz w:val="15"/>
          <w:szCs w:val="15"/>
          <w:color w:val="auto"/>
        </w:rPr>
      </w:pPr>
    </w:p>
    <w:p>
      <w:pPr>
        <w:ind w:left="452" w:right="160" w:hanging="452"/>
        <w:spacing w:after="0" w:line="255" w:lineRule="auto"/>
        <w:tabs>
          <w:tab w:leader="none" w:pos="452"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Purchase Right and the provisions of this Subscription Agreement will be governed by, and subject to, the laws of the State of California, without giving effect to the conflict of law principles thereof. For purposes of litigating any dispute that arises under the grant or this Subscription Agreement, the parties hereby submit to and consent to the exclusive jurisdiction of the State of California and agree that such litigation will be conducted in the courts of Santa Clara County, California, or the federal courts for the United States for the Northern District of California, and no other courts, where this grant is made and/or to be performed.</w:t>
      </w:r>
    </w:p>
    <w:p>
      <w:pPr>
        <w:spacing w:after="0" w:line="61" w:lineRule="exact"/>
        <w:rPr>
          <w:rFonts w:ascii="Arial" w:cs="Arial" w:eastAsia="Arial" w:hAnsi="Arial"/>
          <w:sz w:val="18"/>
          <w:szCs w:val="18"/>
          <w:color w:val="auto"/>
        </w:rPr>
      </w:pPr>
    </w:p>
    <w:p>
      <w:pPr>
        <w:ind w:left="452" w:right="100" w:hanging="452"/>
        <w:spacing w:after="0" w:line="268" w:lineRule="auto"/>
        <w:tabs>
          <w:tab w:leader="none" w:pos="452" w:val="left"/>
        </w:tabs>
        <w:numPr>
          <w:ilvl w:val="0"/>
          <w:numId w:val="35"/>
        </w:numPr>
        <w:rPr>
          <w:rFonts w:ascii="Arial" w:cs="Arial" w:eastAsia="Arial" w:hAnsi="Arial"/>
          <w:sz w:val="18"/>
          <w:szCs w:val="18"/>
          <w:color w:val="auto"/>
        </w:rPr>
      </w:pPr>
      <w:r>
        <w:rPr>
          <w:rFonts w:ascii="Arial" w:cs="Arial" w:eastAsia="Arial" w:hAnsi="Arial"/>
          <w:sz w:val="18"/>
          <w:szCs w:val="18"/>
          <w:color w:val="auto"/>
        </w:rPr>
        <w:t>If I have received this Subscription Agreement or any other document related to the Stock Purchase Plan translated into a language other than English, and if the meaning of the translated version is different from the English version, the English version will control.</w:t>
      </w:r>
    </w:p>
    <w:p>
      <w:pPr>
        <w:spacing w:after="0" w:line="50" w:lineRule="exact"/>
        <w:rPr>
          <w:rFonts w:ascii="Arial" w:cs="Arial" w:eastAsia="Arial" w:hAnsi="Arial"/>
          <w:sz w:val="18"/>
          <w:szCs w:val="18"/>
          <w:color w:val="auto"/>
        </w:rPr>
      </w:pPr>
    </w:p>
    <w:p>
      <w:pPr>
        <w:ind w:left="452" w:right="80" w:hanging="452"/>
        <w:spacing w:after="0" w:line="306" w:lineRule="auto"/>
        <w:tabs>
          <w:tab w:leader="none" w:pos="452" w:val="left"/>
        </w:tabs>
        <w:numPr>
          <w:ilvl w:val="0"/>
          <w:numId w:val="35"/>
        </w:numPr>
        <w:rPr>
          <w:rFonts w:ascii="Arial" w:cs="Arial" w:eastAsia="Arial" w:hAnsi="Arial"/>
          <w:sz w:val="16"/>
          <w:szCs w:val="16"/>
          <w:color w:val="auto"/>
        </w:rPr>
      </w:pPr>
      <w:r>
        <w:rPr>
          <w:rFonts w:ascii="Arial" w:cs="Arial" w:eastAsia="Arial" w:hAnsi="Arial"/>
          <w:sz w:val="16"/>
          <w:szCs w:val="16"/>
          <w:color w:val="auto"/>
        </w:rPr>
        <w:t>The Company may, in its sole discretion, decide to deliver any documents related to current or future participation in the Stock Purchase Plan by electronic means. I hereby consent to receive such documents by electronic delivery and agree to participate in the Stock Purchase Plan through an on-line or electronic system established and maintained by the Company or a third party designated by the Company.</w:t>
      </w:r>
    </w:p>
    <w:p>
      <w:pPr>
        <w:spacing w:after="0" w:line="25" w:lineRule="exact"/>
        <w:rPr>
          <w:rFonts w:ascii="Arial" w:cs="Arial" w:eastAsia="Arial" w:hAnsi="Arial"/>
          <w:sz w:val="16"/>
          <w:szCs w:val="16"/>
          <w:color w:val="auto"/>
        </w:rPr>
      </w:pPr>
    </w:p>
    <w:p>
      <w:pPr>
        <w:ind w:left="452" w:right="160" w:hanging="452"/>
        <w:spacing w:after="0" w:line="268" w:lineRule="auto"/>
        <w:tabs>
          <w:tab w:leader="none" w:pos="452"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provisions of this Subscription Agreement are severable and if any one or more provisions are determined to be illegal or otherwise unenforceable, in whole or in part, the remaining provisions shall nevertheless be binding and enforceable.</w:t>
      </w:r>
    </w:p>
    <w:p>
      <w:pPr>
        <w:spacing w:after="0" w:line="50" w:lineRule="exact"/>
        <w:rPr>
          <w:rFonts w:ascii="Arial" w:cs="Arial" w:eastAsia="Arial" w:hAnsi="Arial"/>
          <w:sz w:val="18"/>
          <w:szCs w:val="18"/>
          <w:color w:val="auto"/>
        </w:rPr>
      </w:pPr>
    </w:p>
    <w:p>
      <w:pPr>
        <w:ind w:left="452" w:right="100" w:hanging="452"/>
        <w:spacing w:after="0" w:line="298" w:lineRule="auto"/>
        <w:tabs>
          <w:tab w:leader="none" w:pos="452" w:val="left"/>
        </w:tabs>
        <w:numPr>
          <w:ilvl w:val="0"/>
          <w:numId w:val="35"/>
        </w:numPr>
        <w:rPr>
          <w:rFonts w:ascii="Arial" w:cs="Arial" w:eastAsia="Arial" w:hAnsi="Arial"/>
          <w:sz w:val="16"/>
          <w:szCs w:val="16"/>
          <w:color w:val="auto"/>
        </w:rPr>
      </w:pPr>
      <w:r>
        <w:rPr>
          <w:rFonts w:ascii="Arial" w:cs="Arial" w:eastAsia="Arial" w:hAnsi="Arial"/>
          <w:sz w:val="16"/>
          <w:szCs w:val="16"/>
          <w:color w:val="auto"/>
        </w:rPr>
        <w:t>Notwithstanding any provisions in this Subscription Agreement, the Purchase Right shall be subject to any special terms and conditions set forth in the Addendum to this Subscription Agreement. Moreover, if I relocate to one of the countries included in the Addendum, the special terms and conditions for such country will apply to me, to the extent the Company determines that the application of such terms and conditions is necessary or advisable in order to comply with local law or facilitate the administration of the Stock Purchase Plan. The Addendum constitutes part of this Subscription Agreement.</w:t>
      </w:r>
    </w:p>
    <w:p>
      <w:pPr>
        <w:sectPr>
          <w:pgSz w:w="11900" w:h="16838" w:orient="portrait"/>
          <w:cols w:equalWidth="0" w:num="1">
            <w:col w:w="11412"/>
          </w:cols>
          <w:pgMar w:left="248" w:top="280" w:right="239" w:bottom="1440" w:gutter="0" w:footer="0" w:header="0"/>
        </w:sectPr>
      </w:pPr>
    </w:p>
    <w:bookmarkStart w:id="62" w:name="page63"/>
    <w:bookmarkEnd w:id="62"/>
    <w:p>
      <w:pPr>
        <w:ind w:left="460" w:right="20" w:hanging="452"/>
        <w:spacing w:after="0" w:line="256" w:lineRule="auto"/>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reserves the right to impose other requirements on my participation in the Stock Purchase Plan, on the Purchase Right, and on any shares of Common Stock acquired under the Stock Purchase Plan, to the extent the Company determines it is necessary or advisable in order to comply with local law or facilitate the administration of the Stock Purchase Plan, and to require me to sign any additional agreements or undertakings that may be necessary to accomplish the foregoing.</w:t>
      </w:r>
    </w:p>
    <w:p>
      <w:pPr>
        <w:spacing w:after="0" w:line="62" w:lineRule="exact"/>
        <w:rPr>
          <w:rFonts w:ascii="Arial" w:cs="Arial" w:eastAsia="Arial" w:hAnsi="Arial"/>
          <w:sz w:val="18"/>
          <w:szCs w:val="18"/>
          <w:color w:val="auto"/>
        </w:rPr>
      </w:pPr>
    </w:p>
    <w:p>
      <w:pPr>
        <w:ind w:left="460" w:hanging="452"/>
        <w:spacing w:after="0" w:line="259" w:lineRule="auto"/>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 hereby agree to be bound by, and understand that my participation in the Stock Purchase Plan is in all respects subject to, the terms of the Stock Purchase Plan and this Subscription Agreement, including the Addendum. The effectiveness of this Subscription Agreement and my participation in the Stock Purchase Plan is dependent upon my eligibility to participate in the Stock Purchase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394335</wp:posOffset>
            </wp:positionV>
            <wp:extent cx="3593465"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35934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p>
      <w:pPr>
        <w:spacing w:after="0"/>
        <w:tabs>
          <w:tab w:leader="none" w:pos="5960" w:val="left"/>
        </w:tabs>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N</w:t>
      </w:r>
      <w:r>
        <w:rPr>
          <w:rFonts w:ascii="Arial" w:cs="Arial" w:eastAsia="Arial" w:hAnsi="Arial"/>
          <w:sz w:val="14"/>
          <w:szCs w:val="14"/>
          <w:b w:val="1"/>
          <w:bCs w:val="1"/>
          <w:color w:val="auto"/>
        </w:rPr>
        <w:t>AME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LEASE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RINT</w:t>
      </w:r>
      <w:r>
        <w:rPr>
          <w:rFonts w:ascii="Arial" w:cs="Arial" w:eastAsia="Arial" w:hAnsi="Arial"/>
          <w:sz w:val="18"/>
          <w:szCs w:val="18"/>
          <w:b w:val="1"/>
          <w:bCs w:val="1"/>
          <w:color w:val="auto"/>
        </w:rPr>
        <w:t xml:space="preserve"> F</w:t>
      </w:r>
      <w:r>
        <w:rPr>
          <w:rFonts w:ascii="Arial" w:cs="Arial" w:eastAsia="Arial" w:hAnsi="Arial"/>
          <w:sz w:val="14"/>
          <w:szCs w:val="14"/>
          <w:b w:val="1"/>
          <w:bCs w:val="1"/>
          <w:color w:val="auto"/>
        </w:rPr>
        <w:t>ULL</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EGAL</w:t>
      </w:r>
      <w:r>
        <w:rPr>
          <w:rFonts w:ascii="Arial" w:cs="Arial" w:eastAsia="Arial" w:hAnsi="Arial"/>
          <w:sz w:val="18"/>
          <w:szCs w:val="18"/>
          <w:b w:val="1"/>
          <w:bCs w:val="1"/>
          <w:color w:val="auto"/>
        </w:rPr>
        <w:t xml:space="preserve"> N</w:t>
      </w:r>
      <w:r>
        <w:rPr>
          <w:rFonts w:ascii="Arial" w:cs="Arial" w:eastAsia="Arial" w:hAnsi="Arial"/>
          <w:sz w:val="14"/>
          <w:szCs w:val="14"/>
          <w:b w:val="1"/>
          <w:bCs w:val="1"/>
          <w:color w:val="auto"/>
        </w:rPr>
        <w:t>AME</w:t>
      </w:r>
      <w:r>
        <w:rPr>
          <w:rFonts w:ascii="Arial" w:cs="Arial" w:eastAsia="Arial" w:hAnsi="Arial"/>
          <w:sz w:val="18"/>
          <w:szCs w:val="18"/>
          <w:b w:val="1"/>
          <w:bCs w:val="1"/>
          <w:color w:val="auto"/>
        </w:rPr>
        <w:t>)</w:t>
      </w:r>
      <w:r>
        <w:rPr>
          <w:sz w:val="20"/>
          <w:szCs w:val="20"/>
          <w:color w:val="auto"/>
        </w:rPr>
        <w:tab/>
      </w: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ID # (</w:t>
      </w:r>
      <w:r>
        <w:rPr>
          <w:rFonts w:ascii="Arial" w:cs="Arial" w:eastAsia="Arial" w:hAnsi="Arial"/>
          <w:sz w:val="14"/>
          <w:szCs w:val="14"/>
          <w:b w:val="1"/>
          <w:bCs w:val="1"/>
          <w:color w:val="auto"/>
        </w:rPr>
        <w:t>PAYROLL FILE NUMBER</w:t>
      </w:r>
      <w:r>
        <w:rPr>
          <w:rFonts w:ascii="Arial" w:cs="Arial" w:eastAsia="Arial" w:hAnsi="Arial"/>
          <w:sz w:val="18"/>
          <w:szCs w:val="18"/>
          <w:b w:val="1"/>
          <w:bCs w:val="1"/>
          <w:color w:val="auto"/>
        </w:rPr>
        <w:t>)</w:t>
      </w:r>
    </w:p>
    <w:p>
      <w:pPr>
        <w:sectPr>
          <w:pgSz w:w="11900" w:h="16838" w:orient="portrait"/>
          <w:cols w:equalWidth="0" w:num="1">
            <w:col w:w="11320"/>
          </w:cols>
          <w:pgMar w:left="240" w:top="280" w:right="339" w:bottom="1440" w:gutter="0" w:footer="0" w:header="0"/>
        </w:sectPr>
      </w:pPr>
    </w:p>
    <w:bookmarkStart w:id="63" w:name="page64"/>
    <w:bookmarkEnd w:id="63"/>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37"/>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3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3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560" w:val="left"/>
        </w:tabs>
        <w:rPr>
          <w:sz w:val="20"/>
          <w:szCs w:val="20"/>
          <w:color w:val="auto"/>
        </w:rPr>
      </w:pPr>
      <w:r>
        <w:rPr>
          <w:rFonts w:ascii="Arial" w:cs="Arial" w:eastAsia="Arial" w:hAnsi="Arial"/>
          <w:sz w:val="18"/>
          <w:szCs w:val="18"/>
          <w:color w:val="auto"/>
        </w:rPr>
        <w:t>Date: December 1, 2011</w:t>
      </w:r>
      <w:r>
        <w:rPr>
          <w:sz w:val="20"/>
          <w:szCs w:val="20"/>
          <w:color w:val="auto"/>
        </w:rPr>
        <w:tab/>
      </w:r>
      <w:r>
        <w:rPr>
          <w:rFonts w:ascii="Arial" w:cs="Arial" w:eastAsia="Arial" w:hAnsi="Arial"/>
          <w:sz w:val="16"/>
          <w:szCs w:val="16"/>
          <w:color w:val="auto"/>
        </w:rPr>
        <w:t>By:  /s/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10795</wp:posOffset>
            </wp:positionV>
            <wp:extent cx="347345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16"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125" w:right="239" w:bottom="1440" w:gutter="0" w:footer="0" w:header="0"/>
        </w:sectPr>
      </w:pPr>
    </w:p>
    <w:bookmarkStart w:id="64" w:name="page65"/>
    <w:bookmarkEnd w:id="64"/>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38"/>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3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560" w:val="left"/>
        </w:tabs>
        <w:rPr>
          <w:sz w:val="20"/>
          <w:szCs w:val="20"/>
          <w:color w:val="auto"/>
        </w:rPr>
      </w:pPr>
      <w:r>
        <w:rPr>
          <w:rFonts w:ascii="Arial" w:cs="Arial" w:eastAsia="Arial" w:hAnsi="Arial"/>
          <w:sz w:val="18"/>
          <w:szCs w:val="18"/>
          <w:color w:val="auto"/>
        </w:rPr>
        <w:t>Date: December 1, 2011</w:t>
      </w:r>
      <w:r>
        <w:rPr>
          <w:sz w:val="20"/>
          <w:szCs w:val="20"/>
          <w:color w:val="auto"/>
        </w:rPr>
        <w:tab/>
      </w:r>
      <w:r>
        <w:rPr>
          <w:rFonts w:ascii="Arial" w:cs="Arial" w:eastAsia="Arial" w:hAnsi="Arial"/>
          <w:sz w:val="16"/>
          <w:szCs w:val="16"/>
          <w:color w:val="auto"/>
        </w:rPr>
        <w:t>By:  /s/ 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10795</wp:posOffset>
            </wp:positionV>
            <wp:extent cx="347345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16"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Chief Financial Officer and Secretary</w:t>
      </w:r>
    </w:p>
    <w:p>
      <w:pPr>
        <w:sectPr>
          <w:pgSz w:w="11900" w:h="16838" w:orient="portrait"/>
          <w:cols w:equalWidth="0" w:num="1">
            <w:col w:w="11420"/>
          </w:cols>
          <w:pgMar w:left="240" w:top="125" w:right="239" w:bottom="1440" w:gutter="0" w:footer="0" w:header="0"/>
        </w:sectPr>
      </w:pPr>
    </w:p>
    <w:bookmarkStart w:id="65" w:name="page66"/>
    <w:bookmarkEnd w:id="65"/>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500"/>
        <w:spacing w:after="0" w:line="332" w:lineRule="auto"/>
        <w:rPr>
          <w:sz w:val="20"/>
          <w:szCs w:val="20"/>
          <w:color w:val="auto"/>
        </w:rPr>
      </w:pPr>
      <w:r>
        <w:rPr>
          <w:rFonts w:ascii="Arial" w:cs="Arial" w:eastAsia="Arial" w:hAnsi="Arial"/>
          <w:sz w:val="16"/>
          <w:szCs w:val="16"/>
          <w:color w:val="auto"/>
        </w:rPr>
        <w:t>I, Sehat Sutardja Ph.D., the president and chief executive officer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right="880" w:hanging="446"/>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29, 2011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December 1, 2011</w:t>
      </w:r>
    </w:p>
    <w:p>
      <w:pPr>
        <w:sectPr>
          <w:pgSz w:w="11900" w:h="16838" w:orient="portrait"/>
          <w:cols w:equalWidth="0" w:num="1">
            <w:col w:w="11420"/>
          </w:cols>
          <w:pgMar w:left="240" w:top="125" w:right="239" w:bottom="1440" w:gutter="0" w:footer="0" w:header="0"/>
        </w:sectPr>
      </w:pPr>
    </w:p>
    <w:bookmarkStart w:id="66" w:name="page67"/>
    <w:bookmarkEnd w:id="66"/>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I, Clyde Hosein, the chief financial officer and secretary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880" w:hanging="446"/>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29, 2011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 and Secretary</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December 1, 2011</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36C6125"/>
    <w:multiLevelType w:val="hybridMultilevel"/>
    <w:lvl w:ilvl="0">
      <w:lvlJc w:val="left"/>
      <w:lvlText w:val="☒"/>
      <w:numFmt w:val="bullet"/>
      <w:start w:val="1"/>
    </w:lvl>
  </w:abstractNum>
  <w:abstractNum w:abstractNumId="1">
    <w:nsid w:val="628C895D"/>
    <w:multiLevelType w:val="hybridMultilevel"/>
    <w:lvl w:ilvl="0">
      <w:lvlJc w:val="left"/>
      <w:lvlText w:val="☐"/>
      <w:numFmt w:val="bullet"/>
      <w:start w:val="1"/>
    </w:lvl>
  </w:abstractNum>
  <w:abstractNum w:abstractNumId="2">
    <w:nsid w:val="333AB105"/>
    <w:multiLevelType w:val="hybridMultilevel"/>
    <w:lvl w:ilvl="0">
      <w:lvlJc w:val="left"/>
      <w:lvlText w:val="*"/>
      <w:numFmt w:val="bullet"/>
      <w:start w:val="1"/>
    </w:lvl>
  </w:abstractNum>
  <w:abstractNum w:abstractNumId="3">
    <w:nsid w:val="721DA317"/>
    <w:multiLevelType w:val="hybridMultilevel"/>
    <w:lvl w:ilvl="0">
      <w:lvlJc w:val="left"/>
      <w:lvlText w:val="•"/>
      <w:numFmt w:val="bullet"/>
      <w:start w:val="1"/>
    </w:lvl>
  </w:abstractNum>
  <w:abstractNum w:abstractNumId="4">
    <w:nsid w:val="2443A858"/>
    <w:multiLevelType w:val="hybridMultilevel"/>
    <w:lvl w:ilvl="0">
      <w:lvlJc w:val="left"/>
      <w:lvlText w:val="•"/>
      <w:numFmt w:val="bullet"/>
      <w:start w:val="1"/>
    </w:lvl>
  </w:abstractNum>
  <w:abstractNum w:abstractNumId="5">
    <w:nsid w:val="2D1D5AE9"/>
    <w:multiLevelType w:val="hybridMultilevel"/>
    <w:lvl w:ilvl="0">
      <w:lvlJc w:val="left"/>
      <w:lvlText w:val="•"/>
      <w:numFmt w:val="bullet"/>
      <w:start w:val="1"/>
    </w:lvl>
  </w:abstractNum>
  <w:abstractNum w:abstractNumId="6">
    <w:nsid w:val="6763845E"/>
    <w:multiLevelType w:val="hybridMultilevel"/>
    <w:lvl w:ilvl="0">
      <w:lvlJc w:val="left"/>
      <w:lvlText w:val="•"/>
      <w:numFmt w:val="bullet"/>
      <w:start w:val="1"/>
    </w:lvl>
  </w:abstractNum>
  <w:abstractNum w:abstractNumId="7">
    <w:nsid w:val="75A2A8D4"/>
    <w:multiLevelType w:val="hybridMultilevel"/>
    <w:lvl w:ilvl="0">
      <w:lvlJc w:val="left"/>
      <w:lvlText w:val="•"/>
      <w:numFmt w:val="bullet"/>
      <w:start w:val="1"/>
    </w:lvl>
  </w:abstractNum>
  <w:abstractNum w:abstractNumId="8">
    <w:nsid w:val="8EDBDAB"/>
    <w:multiLevelType w:val="hybridMultilevel"/>
    <w:lvl w:ilvl="0">
      <w:lvlJc w:val="left"/>
      <w:lvlText w:val="•"/>
      <w:numFmt w:val="bullet"/>
      <w:start w:val="1"/>
    </w:lvl>
  </w:abstractNum>
  <w:abstractNum w:abstractNumId="9">
    <w:nsid w:val="79838CB2"/>
    <w:multiLevelType w:val="hybridMultilevel"/>
    <w:lvl w:ilvl="0">
      <w:lvlJc w:val="left"/>
      <w:lvlText w:val="•"/>
      <w:numFmt w:val="bullet"/>
      <w:start w:val="1"/>
    </w:lvl>
  </w:abstractNum>
  <w:abstractNum w:abstractNumId="10">
    <w:nsid w:val="4353D0CD"/>
    <w:multiLevelType w:val="hybridMultilevel"/>
    <w:lvl w:ilvl="0">
      <w:lvlJc w:val="left"/>
      <w:lvlText w:val="•"/>
      <w:numFmt w:val="bullet"/>
      <w:start w:val="1"/>
    </w:lvl>
  </w:abstractNum>
  <w:abstractNum w:abstractNumId="11">
    <w:nsid w:val="B03E0C6"/>
    <w:multiLevelType w:val="hybridMultilevel"/>
    <w:lvl w:ilvl="0">
      <w:lvlJc w:val="left"/>
      <w:lvlText w:val="•"/>
      <w:numFmt w:val="bullet"/>
      <w:start w:val="1"/>
    </w:lvl>
  </w:abstractNum>
  <w:abstractNum w:abstractNumId="12">
    <w:nsid w:val="189A769B"/>
    <w:multiLevelType w:val="hybridMultilevel"/>
    <w:lvl w:ilvl="0">
      <w:lvlJc w:val="left"/>
      <w:lvlText w:val="(%1)"/>
      <w:numFmt w:val="decimal"/>
      <w:start w:val="1"/>
    </w:lvl>
  </w:abstractNum>
  <w:abstractNum w:abstractNumId="13">
    <w:nsid w:val="54E49EB4"/>
    <w:multiLevelType w:val="hybridMultilevel"/>
    <w:lvl w:ilvl="0">
      <w:lvlJc w:val="left"/>
      <w:lvlText w:val="*"/>
      <w:numFmt w:val="bullet"/>
      <w:start w:val="1"/>
    </w:lvl>
  </w:abstractNum>
  <w:abstractNum w:abstractNumId="14">
    <w:nsid w:val="71F32454"/>
    <w:multiLevelType w:val="hybridMultilevel"/>
    <w:lvl w:ilvl="0">
      <w:lvlJc w:val="left"/>
      <w:lvlText w:val="*"/>
      <w:numFmt w:val="bullet"/>
      <w:start w:val="1"/>
    </w:lvl>
  </w:abstractNum>
  <w:abstractNum w:abstractNumId="15">
    <w:nsid w:val="2CA88611"/>
    <w:multiLevelType w:val="hybridMultilevel"/>
    <w:lvl w:ilvl="0">
      <w:lvlJc w:val="left"/>
      <w:lvlText w:val="%1."/>
      <w:numFmt w:val="decimal"/>
      <w:start w:val="1"/>
    </w:lvl>
    <w:lvl w:ilvl="1">
      <w:lvlJc w:val="left"/>
      <w:lvlText w:val="(%2)"/>
      <w:numFmt w:val="lowerLetter"/>
      <w:start w:val="1"/>
    </w:lvl>
  </w:abstractNum>
  <w:abstractNum w:abstractNumId="16">
    <w:nsid w:val="836C40E"/>
    <w:multiLevelType w:val="hybridMultilevel"/>
    <w:lvl w:ilvl="0">
      <w:lvlJc w:val="left"/>
      <w:lvlText w:val="%1."/>
      <w:numFmt w:val="decimal"/>
      <w:start w:val="4"/>
    </w:lvl>
    <w:lvl w:ilvl="1">
      <w:lvlJc w:val="left"/>
      <w:lvlText w:val="(%2)"/>
      <w:numFmt w:val="lowerLetter"/>
      <w:start w:val="1"/>
    </w:lvl>
  </w:abstractNum>
  <w:abstractNum w:abstractNumId="17">
    <w:nsid w:val="2901D82"/>
    <w:multiLevelType w:val="hybridMultilevel"/>
    <w:lvl w:ilvl="0">
      <w:lvlJc w:val="left"/>
      <w:lvlText w:val="%1"/>
      <w:numFmt w:val="decimal"/>
      <w:start w:val="1"/>
    </w:lvl>
    <w:lvl w:ilvl="1">
      <w:lvlJc w:val="left"/>
      <w:lvlText w:val="(%2)"/>
      <w:numFmt w:val="lowerLetter"/>
      <w:start w:val="3"/>
    </w:lvl>
  </w:abstractNum>
  <w:abstractNum w:abstractNumId="18">
    <w:nsid w:val="3A95F874"/>
    <w:multiLevelType w:val="hybridMultilevel"/>
    <w:lvl w:ilvl="0">
      <w:lvlJc w:val="left"/>
      <w:lvlText w:val="%1."/>
      <w:numFmt w:val="decimal"/>
      <w:start w:val="6"/>
    </w:lvl>
    <w:lvl w:ilvl="1">
      <w:lvlJc w:val="left"/>
      <w:lvlText w:val="(%2)"/>
      <w:numFmt w:val="lowerLetter"/>
      <w:start w:val="1"/>
    </w:lvl>
  </w:abstractNum>
  <w:abstractNum w:abstractNumId="19">
    <w:nsid w:val="8138641"/>
    <w:multiLevelType w:val="hybridMultilevel"/>
    <w:lvl w:ilvl="0">
      <w:lvlJc w:val="left"/>
      <w:lvlText w:val="%1"/>
      <w:numFmt w:val="lowerLetter"/>
      <w:start w:val="1"/>
    </w:lvl>
    <w:lvl w:ilvl="1">
      <w:lvlJc w:val="left"/>
      <w:lvlText w:val="%2."/>
      <w:numFmt w:val="decimal"/>
      <w:start w:val="7"/>
    </w:lvl>
    <w:lvl w:ilvl="2">
      <w:lvlJc w:val="left"/>
      <w:lvlText w:val="(%3)"/>
      <w:numFmt w:val="lowerLetter"/>
      <w:start w:val="1"/>
    </w:lvl>
    <w:lvl w:ilvl="3">
      <w:lvlJc w:val="left"/>
      <w:lvlText w:val="%4"/>
      <w:numFmt w:val="lowerRoman"/>
      <w:start w:val="1"/>
    </w:lvl>
  </w:abstractNum>
  <w:abstractNum w:abstractNumId="20">
    <w:nsid w:val="1E7FF521"/>
    <w:multiLevelType w:val="hybridMultilevel"/>
    <w:lvl w:ilvl="0">
      <w:lvlJc w:val="left"/>
      <w:lvlText w:val="(%1)"/>
      <w:numFmt w:val="lowerLetter"/>
      <w:start w:val="25"/>
    </w:lvl>
    <w:lvl w:ilvl="1">
      <w:lvlJc w:val="left"/>
      <w:lvlText w:val="%2"/>
      <w:numFmt w:val="decimal"/>
      <w:start w:val="1"/>
    </w:lvl>
    <w:lvl w:ilvl="2">
      <w:lvlJc w:val="left"/>
      <w:lvlText w:val="(%3)"/>
      <w:numFmt w:val="lowerLetter"/>
      <w:start w:val="2"/>
    </w:lvl>
    <w:lvl w:ilvl="3">
      <w:lvlJc w:val="left"/>
      <w:lvlText w:val="(%4)"/>
      <w:numFmt w:val="lowerRoman"/>
      <w:start w:val="1"/>
    </w:lvl>
  </w:abstractNum>
  <w:abstractNum w:abstractNumId="21">
    <w:nsid w:val="7C3DBD3D"/>
    <w:multiLevelType w:val="hybridMultilevel"/>
    <w:lvl w:ilvl="0">
      <w:lvlJc w:val="left"/>
      <w:lvlText w:val="%1."/>
      <w:numFmt w:val="decimal"/>
      <w:start w:val="8"/>
    </w:lvl>
    <w:lvl w:ilvl="1">
      <w:lvlJc w:val="left"/>
      <w:lvlText w:val="(%2)"/>
      <w:numFmt w:val="lowerLetter"/>
      <w:start w:val="1"/>
    </w:lvl>
  </w:abstractNum>
  <w:abstractNum w:abstractNumId="22">
    <w:nsid w:val="737B8DDC"/>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23">
    <w:nsid w:val="6CEAF087"/>
    <w:multiLevelType w:val="hybridMultilevel"/>
    <w:lvl w:ilvl="0">
      <w:lvlJc w:val="left"/>
      <w:lvlText w:val="%1."/>
      <w:numFmt w:val="decimal"/>
      <w:start w:val="11"/>
    </w:lvl>
    <w:lvl w:ilvl="1">
      <w:lvlJc w:val="left"/>
      <w:lvlText w:val="(%2)"/>
      <w:numFmt w:val="lowerLetter"/>
      <w:start w:val="1"/>
    </w:lvl>
    <w:lvl w:ilvl="2">
      <w:lvlJc w:val="left"/>
      <w:lvlText w:val="(%3)"/>
      <w:numFmt w:val="lowerRoman"/>
      <w:start w:val="1"/>
    </w:lvl>
  </w:abstractNum>
  <w:abstractNum w:abstractNumId="24">
    <w:nsid w:val="22221A70"/>
    <w:multiLevelType w:val="hybridMultilevel"/>
    <w:lvl w:ilvl="0">
      <w:lvlJc w:val="left"/>
      <w:lvlText w:val="%1."/>
      <w:numFmt w:val="decimal"/>
      <w:start w:val="13"/>
    </w:lvl>
    <w:lvl w:ilvl="1">
      <w:lvlJc w:val="left"/>
      <w:lvlText w:val="(%2)"/>
      <w:numFmt w:val="lowerLetter"/>
      <w:start w:val="1"/>
    </w:lvl>
  </w:abstractNum>
  <w:abstractNum w:abstractNumId="25">
    <w:nsid w:val="4516DDE9"/>
    <w:multiLevelType w:val="hybridMultilevel"/>
    <w:lvl w:ilvl="0">
      <w:lvlJc w:val="left"/>
      <w:lvlText w:val="%1."/>
      <w:numFmt w:val="decimal"/>
      <w:start w:val="16"/>
    </w:lvl>
    <w:lvl w:ilvl="1">
      <w:lvlJc w:val="left"/>
      <w:lvlText w:val="(%2)"/>
      <w:numFmt w:val="lowerLetter"/>
      <w:start w:val="1"/>
    </w:lvl>
  </w:abstractNum>
  <w:abstractNum w:abstractNumId="26">
    <w:nsid w:val="3006C83E"/>
    <w:multiLevelType w:val="hybridMultilevel"/>
    <w:lvl w:ilvl="0">
      <w:lvlJc w:val="left"/>
      <w:lvlText w:val="%1."/>
      <w:numFmt w:val="decimal"/>
      <w:start w:val="18"/>
    </w:lvl>
    <w:lvl w:ilvl="1">
      <w:lvlJc w:val="left"/>
      <w:lvlText w:val="(%2)"/>
      <w:numFmt w:val="lowerLetter"/>
      <w:start w:val="1"/>
    </w:lvl>
  </w:abstractNum>
  <w:abstractNum w:abstractNumId="27">
    <w:nsid w:val="614FD4A1"/>
    <w:multiLevelType w:val="hybridMultilevel"/>
    <w:lvl w:ilvl="0">
      <w:lvlJc w:val="left"/>
      <w:lvlText w:val="%1"/>
      <w:numFmt w:val="lowerLetter"/>
      <w:start w:val="1"/>
    </w:lvl>
    <w:lvl w:ilvl="1">
      <w:lvlJc w:val="left"/>
      <w:lvlText w:val="%2."/>
      <w:numFmt w:val="decimal"/>
      <w:start w:val="23"/>
    </w:lvl>
    <w:lvl w:ilvl="2">
      <w:lvlJc w:val="left"/>
      <w:lvlText w:val="(%3)"/>
      <w:numFmt w:val="lowerLetter"/>
      <w:start w:val="1"/>
    </w:lvl>
  </w:abstractNum>
  <w:abstractNum w:abstractNumId="28">
    <w:nsid w:val="419AC241"/>
    <w:multiLevelType w:val="hybridMultilevel"/>
    <w:lvl w:ilvl="0">
      <w:lvlJc w:val="left"/>
      <w:lvlText w:val="(%1)"/>
      <w:numFmt w:val="lowerLetter"/>
      <w:start w:val="35"/>
    </w:lvl>
    <w:lvl w:ilvl="1">
      <w:lvlJc w:val="left"/>
      <w:lvlText w:val="%2"/>
      <w:numFmt w:val="decimal"/>
      <w:start w:val="1"/>
    </w:lvl>
    <w:lvl w:ilvl="2">
      <w:lvlJc w:val="left"/>
      <w:lvlText w:val="(%3)"/>
      <w:numFmt w:val="lowerLetter"/>
      <w:start w:val="8"/>
    </w:lvl>
  </w:abstractNum>
  <w:abstractNum w:abstractNumId="29">
    <w:nsid w:val="5577F8E1"/>
    <w:multiLevelType w:val="hybridMultilevel"/>
    <w:lvl w:ilvl="0">
      <w:lvlJc w:val="left"/>
      <w:lvlText w:val="(%1)"/>
      <w:numFmt w:val="lowerLetter"/>
      <w:start w:val="10"/>
    </w:lvl>
    <w:lvl w:ilvl="1">
      <w:lvlJc w:val="left"/>
      <w:lvlText w:val="(%2)"/>
      <w:numFmt w:val="lowerRoman"/>
      <w:start w:val="1"/>
    </w:lvl>
  </w:abstractNum>
  <w:abstractNum w:abstractNumId="30">
    <w:nsid w:val="440BADFC"/>
    <w:multiLevelType w:val="hybridMultilevel"/>
    <w:lvl w:ilvl="0">
      <w:lvlJc w:val="left"/>
      <w:lvlText w:val="(%1)"/>
      <w:numFmt w:val="lowerLetter"/>
      <w:start w:val="20"/>
    </w:lvl>
  </w:abstractNum>
  <w:abstractNum w:abstractNumId="31">
    <w:nsid w:val="5072367"/>
    <w:multiLevelType w:val="hybridMultilevel"/>
    <w:lvl w:ilvl="0">
      <w:lvlJc w:val="left"/>
      <w:lvlText w:val="%1."/>
      <w:numFmt w:val="decimal"/>
      <w:start w:val="1"/>
    </w:lvl>
  </w:abstractNum>
  <w:abstractNum w:abstractNumId="32">
    <w:nsid w:val="3804823E"/>
    <w:multiLevelType w:val="hybridMultilevel"/>
    <w:lvl w:ilvl="0">
      <w:lvlJc w:val="left"/>
      <w:lvlText w:val="%1."/>
      <w:numFmt w:val="decimal"/>
      <w:start w:val="3"/>
    </w:lvl>
  </w:abstractNum>
  <w:abstractNum w:abstractNumId="33">
    <w:nsid w:val="77465F01"/>
    <w:multiLevelType w:val="hybridMultilevel"/>
    <w:lvl w:ilvl="0">
      <w:lvlJc w:val="left"/>
      <w:lvlText w:val="%1."/>
      <w:numFmt w:val="decimal"/>
      <w:start w:val="6"/>
    </w:lvl>
  </w:abstractNum>
  <w:abstractNum w:abstractNumId="34">
    <w:nsid w:val="7724C67E"/>
    <w:multiLevelType w:val="hybridMultilevel"/>
    <w:lvl w:ilvl="0">
      <w:lvlJc w:val="left"/>
      <w:lvlText w:val="%1."/>
      <w:numFmt w:val="decimal"/>
      <w:start w:val="8"/>
    </w:lvl>
  </w:abstractNum>
  <w:abstractNum w:abstractNumId="35">
    <w:nsid w:val="5C482A97"/>
    <w:multiLevelType w:val="hybridMultilevel"/>
    <w:lvl w:ilvl="0">
      <w:lvlJc w:val="left"/>
      <w:lvlText w:val="%1."/>
      <w:numFmt w:val="decimal"/>
      <w:start w:val="14"/>
    </w:lvl>
  </w:abstractNum>
  <w:abstractNum w:abstractNumId="36">
    <w:nsid w:val="2463B9EA"/>
    <w:multiLevelType w:val="hybridMultilevel"/>
    <w:lvl w:ilvl="0">
      <w:lvlJc w:val="left"/>
      <w:lvlText w:val="%1."/>
      <w:numFmt w:val="decimal"/>
      <w:start w:val="1"/>
    </w:lvl>
    <w:lvl w:ilvl="1">
      <w:lvlJc w:val="left"/>
      <w:lvlText w:val="%2)"/>
      <w:numFmt w:val="lowerLetter"/>
      <w:start w:val="1"/>
    </w:lvl>
  </w:abstractNum>
  <w:abstractNum w:abstractNumId="37">
    <w:nsid w:val="5E884ADC"/>
    <w:multiLevelType w:val="hybridMultilevel"/>
    <w:lvl w:ilvl="0">
      <w:lvlJc w:val="left"/>
      <w:lvlText w:val="%1."/>
      <w:numFmt w:val="decimal"/>
      <w:start w:val="1"/>
    </w:lvl>
    <w:lvl w:ilvl="1">
      <w:lvlJc w:val="left"/>
      <w:lvlText w:val="%2)"/>
      <w:numFmt w:val="lowerLetter"/>
      <w:start w:val="1"/>
    </w:lvl>
  </w:abstractNum>
  <w:abstractNum w:abstractNumId="38">
    <w:nsid w:val="51EAD36B"/>
    <w:multiLevelType w:val="hybridMultilevel"/>
    <w:lvl w:ilvl="0">
      <w:lvlJc w:val="left"/>
      <w:lvlText w:val="(%1)"/>
      <w:numFmt w:val="lowerRoman"/>
      <w:start w:val="1"/>
    </w:lvl>
  </w:abstractNum>
  <w:abstractNum w:abstractNumId="39">
    <w:nsid w:val="2D517796"/>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2019-12-10T17:07:49Z</dcterms:created>
  <dcterms:modified xsi:type="dcterms:W3CDTF">2019-12-10T17:07:49Z</dcterms:modified>
</cp:coreProperties>
</file>