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286385</wp:posOffset>
            </wp:positionH>
            <wp:positionV relativeFrom="page">
              <wp:posOffset>166370</wp:posOffset>
            </wp:positionV>
            <wp:extent cx="6997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page">
              <wp:posOffset>286385</wp:posOffset>
            </wp:positionH>
            <wp:positionV relativeFrom="page">
              <wp:posOffset>208915</wp:posOffset>
            </wp:positionV>
            <wp:extent cx="6997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7700" cy="8890"/>
                    </a:xfrm>
                    <a:prstGeom prst="rect">
                      <a:avLst/>
                    </a:prstGeom>
                    <a:noFill/>
                  </pic:spPr>
                </pic:pic>
              </a:graphicData>
            </a:graphic>
          </wp:anchor>
        </w:drawing>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210185</wp:posOffset>
            </wp:positionV>
            <wp:extent cx="146621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59"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229870</wp:posOffset>
            </wp:positionV>
            <wp:extent cx="146621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17"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Pursuant to Section 13 or 15(d)</w:t>
      </w:r>
    </w:p>
    <w:p>
      <w:pPr>
        <w:jc w:val="center"/>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42"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Date of Report (Date of earliest event reported): October 16, 2018</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217170</wp:posOffset>
            </wp:positionV>
            <wp:extent cx="14662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81"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210820</wp:posOffset>
            </wp:positionV>
            <wp:extent cx="146621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sectPr>
      </w:pPr>
    </w:p>
    <w:p>
      <w:pPr>
        <w:spacing w:after="0" w:line="200" w:lineRule="exact"/>
        <w:rPr>
          <w:sz w:val="24"/>
          <w:szCs w:val="24"/>
          <w:color w:val="auto"/>
        </w:rPr>
      </w:pPr>
    </w:p>
    <w:p>
      <w:pPr>
        <w:spacing w:after="0" w:line="383" w:lineRule="exact"/>
        <w:rPr>
          <w:sz w:val="24"/>
          <w:szCs w:val="24"/>
          <w:color w:val="auto"/>
        </w:rPr>
      </w:pPr>
    </w:p>
    <w:p>
      <w:pPr>
        <w:ind w:left="15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63" w:lineRule="exact"/>
        <w:rPr>
          <w:sz w:val="24"/>
          <w:szCs w:val="24"/>
          <w:color w:val="auto"/>
        </w:rPr>
      </w:pPr>
    </w:p>
    <w:p>
      <w:pPr>
        <w:jc w:val="center"/>
        <w:ind w:right="208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63"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520" w:space="720"/>
            <w:col w:w="2860" w:space="720"/>
            <w:col w:w="2200"/>
          </w:cols>
          <w:pgMar w:left="440" w:top="368" w:right="439" w:bottom="1440" w:gutter="0" w:footer="0" w:header="0"/>
          <w:type w:val="continuous"/>
        </w:sectPr>
      </w:pPr>
    </w:p>
    <w:p>
      <w:pPr>
        <w:spacing w:after="0" w:line="12" w:lineRule="exact"/>
        <w:rPr>
          <w:sz w:val="24"/>
          <w:szCs w:val="24"/>
          <w:color w:val="auto"/>
        </w:rPr>
      </w:pPr>
    </w:p>
    <w:p>
      <w:pPr>
        <w:jc w:val="center"/>
        <w:ind w:right="740"/>
        <w:spacing w:after="0"/>
        <w:rPr>
          <w:sz w:val="20"/>
          <w:szCs w:val="20"/>
          <w:color w:val="auto"/>
        </w:rPr>
      </w:pPr>
      <w:r>
        <w:rPr>
          <w:rFonts w:ascii="Arial" w:cs="Arial" w:eastAsia="Arial" w:hAnsi="Arial"/>
          <w:sz w:val="13"/>
          <w:szCs w:val="13"/>
          <w:b w:val="1"/>
          <w:bCs w:val="1"/>
          <w:color w:val="auto"/>
        </w:rPr>
        <w:t>(State or other jurisdiction</w:t>
      </w:r>
    </w:p>
    <w:p>
      <w:pPr>
        <w:jc w:val="center"/>
        <w:ind w:right="7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176" w:lineRule="exact"/>
        <w:rPr>
          <w:sz w:val="24"/>
          <w:szCs w:val="24"/>
          <w:color w:val="auto"/>
        </w:rPr>
      </w:pPr>
    </w:p>
    <w:p>
      <w:pPr>
        <w:sectPr>
          <w:pgSz w:w="11900" w:h="16838" w:orient="portrait"/>
          <w:cols w:equalWidth="0" w:num="3">
            <w:col w:w="4500" w:space="720"/>
            <w:col w:w="2760" w:space="720"/>
            <w:col w:w="2320"/>
          </w:cols>
          <w:pgMar w:left="440" w:top="368" w:right="439" w:bottom="1440" w:gutter="0" w:footer="0" w:header="0"/>
          <w:type w:val="continuous"/>
        </w:sectPr>
      </w:pPr>
    </w:p>
    <w:p>
      <w:pPr>
        <w:jc w:val="center"/>
        <w:ind w:right="-1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52"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65"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216535</wp:posOffset>
            </wp:positionV>
            <wp:extent cx="146621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p>
      <w:pPr>
        <w:spacing w:after="0" w:line="200" w:lineRule="exact"/>
        <w:rPr>
          <w:sz w:val="24"/>
          <w:szCs w:val="24"/>
          <w:color w:val="auto"/>
        </w:rPr>
      </w:pPr>
    </w:p>
    <w:p>
      <w:pPr>
        <w:spacing w:after="0" w:line="316" w:lineRule="exact"/>
        <w:rPr>
          <w:sz w:val="24"/>
          <w:szCs w:val="24"/>
          <w:color w:val="auto"/>
        </w:rPr>
      </w:pPr>
    </w:p>
    <w:p>
      <w:pPr>
        <w:ind w:right="40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98" w:lineRule="exact"/>
        <w:rPr>
          <w:sz w:val="24"/>
          <w:szCs w:val="24"/>
          <w:color w:val="auto"/>
        </w:rPr>
      </w:pPr>
    </w:p>
    <w:p>
      <w:pPr>
        <w:ind w:right="300"/>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97" w:lineRule="exact"/>
        <w:rPr>
          <w:sz w:val="24"/>
          <w:szCs w:val="24"/>
          <w:color w:val="auto"/>
        </w:rPr>
      </w:pPr>
    </w:p>
    <w:p>
      <w:pPr>
        <w:ind w:left="8800"/>
        <w:spacing w:after="0" w:line="184" w:lineRule="exact"/>
        <w:rPr>
          <w:sz w:val="20"/>
          <w:szCs w:val="20"/>
          <w:color w:val="auto"/>
        </w:rPr>
      </w:pPr>
      <w:r>
        <w:rPr>
          <w:rFonts w:ascii="Arial" w:cs="Arial" w:eastAsia="Arial" w:hAnsi="Arial"/>
          <w:sz w:val="16"/>
          <w:szCs w:val="16"/>
          <w:color w:val="auto"/>
        </w:rPr>
        <w:t xml:space="preserve">Emerging growth company </w:t>
      </w:r>
      <w:r>
        <w:rPr>
          <w:rFonts w:ascii="MS PGothic" w:cs="MS PGothic" w:eastAsia="MS PGothic" w:hAnsi="MS PGothic"/>
          <w:sz w:val="16"/>
          <w:szCs w:val="16"/>
          <w:color w:val="auto"/>
        </w:rPr>
        <w:t>☐</w:t>
      </w:r>
    </w:p>
    <w:p>
      <w:pPr>
        <w:spacing w:after="0" w:line="240" w:lineRule="exact"/>
        <w:rPr>
          <w:sz w:val="24"/>
          <w:szCs w:val="24"/>
          <w:color w:val="auto"/>
        </w:rPr>
      </w:pPr>
    </w:p>
    <w:p>
      <w:pPr>
        <w:ind w:right="28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133350</wp:posOffset>
            </wp:positionV>
            <wp:extent cx="699770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176530</wp:posOffset>
            </wp:positionV>
            <wp:extent cx="699770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8.01 Other Events.</w:t>
      </w:r>
    </w:p>
    <w:p>
      <w:pPr>
        <w:spacing w:after="0" w:line="121"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On October 16, 2018, Marvell Technology Group Ltd. (the “Company”) issued a press release announcing that its Board of Directors had authorized a $700 million addition to the balance of its existing share repurchase program. A copy of the press release is furnished herewith as Exhibit 99.1 and is incorporated by reference herein.</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121" w:lineRule="exact"/>
        <w:rPr>
          <w:sz w:val="20"/>
          <w:szCs w:val="20"/>
          <w:color w:val="auto"/>
        </w:rPr>
      </w:pPr>
    </w:p>
    <w:p>
      <w:pPr>
        <w:ind w:left="440"/>
        <w:spacing w:after="0"/>
        <w:tabs>
          <w:tab w:leader="none" w:pos="820" w:val="left"/>
        </w:tabs>
        <w:rPr>
          <w:sz w:val="20"/>
          <w:szCs w:val="20"/>
          <w:color w:val="auto"/>
        </w:rPr>
      </w:pPr>
      <w:r>
        <w:rPr>
          <w:rFonts w:ascii="Arial" w:cs="Arial" w:eastAsia="Arial" w:hAnsi="Arial"/>
          <w:sz w:val="18"/>
          <w:szCs w:val="18"/>
          <w:color w:val="auto"/>
        </w:rPr>
        <w:t>(d)</w:t>
      </w:r>
      <w:r>
        <w:rPr>
          <w:sz w:val="20"/>
          <w:szCs w:val="20"/>
          <w:color w:val="auto"/>
        </w:rPr>
        <w:tab/>
      </w:r>
      <w:r>
        <w:rPr>
          <w:rFonts w:ascii="Arial" w:cs="Arial" w:eastAsia="Arial" w:hAnsi="Arial"/>
          <w:sz w:val="16"/>
          <w:szCs w:val="16"/>
          <w:color w:val="auto"/>
        </w:rPr>
        <w:t>Exhibits.</w:t>
      </w:r>
    </w:p>
    <w:p>
      <w:pPr>
        <w:spacing w:after="0" w:line="252" w:lineRule="exact"/>
        <w:rPr>
          <w:sz w:val="20"/>
          <w:szCs w:val="20"/>
          <w:color w:val="auto"/>
        </w:rPr>
      </w:pPr>
    </w:p>
    <w:p>
      <w:pPr>
        <w:spacing w:after="0"/>
        <w:tabs>
          <w:tab w:leader="none" w:pos="640" w:val="left"/>
        </w:tabs>
        <w:rPr>
          <w:rFonts w:ascii="Arial" w:cs="Arial" w:eastAsia="Arial" w:hAnsi="Arial"/>
          <w:sz w:val="16"/>
          <w:szCs w:val="16"/>
          <w:u w:val="single" w:color="auto"/>
          <w:color w:val="0000EE"/>
        </w:rPr>
      </w:pPr>
      <w:r>
        <w:rPr>
          <w:rFonts w:ascii="Arial" w:cs="Arial" w:eastAsia="Arial" w:hAnsi="Arial"/>
          <w:sz w:val="18"/>
          <w:szCs w:val="18"/>
          <w:color w:val="auto"/>
        </w:rPr>
        <w:t>99.1</w:t>
      </w:r>
      <w:r>
        <w:rPr>
          <w:sz w:val="20"/>
          <w:szCs w:val="20"/>
          <w:color w:val="auto"/>
        </w:rPr>
        <w:tab/>
      </w:r>
      <w:hyperlink w:anchor="page4">
        <w:r>
          <w:rPr>
            <w:rFonts w:ascii="Arial" w:cs="Arial" w:eastAsia="Arial" w:hAnsi="Arial"/>
            <w:sz w:val="16"/>
            <w:szCs w:val="16"/>
            <w:u w:val="single" w:color="auto"/>
            <w:color w:val="0000EE"/>
          </w:rPr>
          <w:t>Press Release dated October 16, 2018, titled “Marvell Technology Group Ltd. Increases Share Repurchase Plan to $1 Billion”</w:t>
        </w:r>
      </w:hyperlink>
    </w:p>
    <w:p>
      <w:pPr>
        <w:sectPr>
          <w:pgSz w:w="11900" w:h="16838" w:orient="portrait"/>
          <w:cols w:equalWidth="0" w:num="1">
            <w:col w:w="10840"/>
          </w:cols>
          <w:pgMar w:left="440" w:top="270" w:right="619" w:bottom="1440" w:gutter="0" w:footer="0" w:header="0"/>
        </w:sectPr>
      </w:pPr>
    </w:p>
    <w:bookmarkStart w:id="2" w:name="page3"/>
    <w:bookmarkEnd w:id="2"/>
    <w:p>
      <w:pPr>
        <w:jc w:val="center"/>
        <w:ind w:right="-3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41"/>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Dated: October 16, 2018</w:t>
      </w:r>
    </w:p>
    <w:p>
      <w:pPr>
        <w:spacing w:after="0" w:line="25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 xml:space="preserve">By: </w:t>
      </w:r>
      <w:r>
        <w:rPr>
          <w:rFonts w:ascii="Arial" w:cs="Arial" w:eastAsia="Arial" w:hAnsi="Arial"/>
          <w:sz w:val="18"/>
          <w:szCs w:val="18"/>
          <w:i w:val="1"/>
          <w:iCs w:val="1"/>
          <w:color w:val="auto"/>
        </w:rPr>
        <w:t>/s/ Jean Hu</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4389120</wp:posOffset>
            </wp:positionH>
            <wp:positionV relativeFrom="paragraph">
              <wp:posOffset>-130810</wp:posOffset>
            </wp:positionV>
            <wp:extent cx="261556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15565" cy="8890"/>
                    </a:xfrm>
                    <a:prstGeom prst="rect">
                      <a:avLst/>
                    </a:prstGeom>
                    <a:noFill/>
                  </pic:spPr>
                </pic:pic>
              </a:graphicData>
            </a:graphic>
          </wp:anchor>
        </w:drawing>
      </w:r>
    </w:p>
    <w:p>
      <w:pPr>
        <w:spacing w:after="0" w:line="3" w:lineRule="exact"/>
        <w:rPr>
          <w:sz w:val="20"/>
          <w:szCs w:val="20"/>
          <w:color w:val="auto"/>
        </w:rPr>
      </w:pPr>
    </w:p>
    <w:p>
      <w:pPr>
        <w:ind w:left="6980"/>
        <w:spacing w:after="0"/>
        <w:rPr>
          <w:sz w:val="20"/>
          <w:szCs w:val="20"/>
          <w:color w:val="auto"/>
        </w:rPr>
      </w:pPr>
      <w:r>
        <w:rPr>
          <w:rFonts w:ascii="Arial" w:cs="Arial" w:eastAsia="Arial" w:hAnsi="Arial"/>
          <w:sz w:val="18"/>
          <w:szCs w:val="18"/>
          <w:i w:val="1"/>
          <w:iCs w:val="1"/>
          <w:color w:val="auto"/>
        </w:rPr>
        <w:t>Chief Financial Officer</w:t>
      </w:r>
    </w:p>
    <w:p>
      <w:pPr>
        <w:sectPr>
          <w:pgSz w:w="11900" w:h="16838" w:orient="portrait"/>
          <w:cols w:equalWidth="0" w:num="1">
            <w:col w:w="10680"/>
          </w:cols>
          <w:pgMar w:left="440" w:top="270" w:right="77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4963795</wp:posOffset>
            </wp:positionH>
            <wp:positionV relativeFrom="paragraph">
              <wp:posOffset>172085</wp:posOffset>
            </wp:positionV>
            <wp:extent cx="2040890" cy="21463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040890" cy="21463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Increases Share Repurchase Plan to $1 Billion</w:t>
      </w:r>
    </w:p>
    <w:p>
      <w:pPr>
        <w:spacing w:after="0" w:line="225" w:lineRule="exact"/>
        <w:rPr>
          <w:sz w:val="20"/>
          <w:szCs w:val="20"/>
          <w:color w:val="auto"/>
        </w:rPr>
      </w:pPr>
    </w:p>
    <w:p>
      <w:pPr>
        <w:ind w:right="240"/>
        <w:spacing w:after="0" w:line="266" w:lineRule="auto"/>
        <w:rPr>
          <w:sz w:val="20"/>
          <w:szCs w:val="20"/>
          <w:color w:val="auto"/>
        </w:rPr>
      </w:pPr>
      <w:r>
        <w:rPr>
          <w:rFonts w:ascii="Arial" w:cs="Arial" w:eastAsia="Arial" w:hAnsi="Arial"/>
          <w:sz w:val="18"/>
          <w:szCs w:val="18"/>
          <w:b w:val="1"/>
          <w:bCs w:val="1"/>
          <w:color w:val="auto"/>
        </w:rPr>
        <w:t xml:space="preserve">Santa Clara, Calif. (October 16, 2018) </w:t>
      </w:r>
      <w:r>
        <w:rPr>
          <w:rFonts w:ascii="Arial" w:cs="Arial" w:eastAsia="Arial" w:hAnsi="Arial"/>
          <w:sz w:val="18"/>
          <w:szCs w:val="18"/>
          <w:color w:val="auto"/>
        </w:rPr>
        <w:t>- Marvell Technology Group Ltd. (NASDAQ: MRVL), a leader in infrastructure semiconductor solutions,</w:t>
      </w:r>
      <w:r>
        <w:rPr>
          <w:rFonts w:ascii="Arial" w:cs="Arial" w:eastAsia="Arial" w:hAnsi="Arial"/>
          <w:sz w:val="18"/>
          <w:szCs w:val="18"/>
          <w:b w:val="1"/>
          <w:bCs w:val="1"/>
          <w:color w:val="auto"/>
        </w:rPr>
        <w:t xml:space="preserve"> </w:t>
      </w:r>
      <w:r>
        <w:rPr>
          <w:rFonts w:ascii="Arial" w:cs="Arial" w:eastAsia="Arial" w:hAnsi="Arial"/>
          <w:sz w:val="18"/>
          <w:szCs w:val="18"/>
          <w:color w:val="auto"/>
        </w:rPr>
        <w:t>today announced that its Board of Directors has authorized a $700 million addition to the balance of its existing share repurchase program, increasing the total current repurchase authority to $1 billion.</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color w:val="auto"/>
        </w:rPr>
        <w:t>Marvell’s existing share repurchase program had approximately $307 million of repurchase authority remaining as of October 12, 2018.</w:t>
      </w:r>
    </w:p>
    <w:p>
      <w:pPr>
        <w:spacing w:after="0" w:line="225" w:lineRule="exact"/>
        <w:rPr>
          <w:sz w:val="20"/>
          <w:szCs w:val="20"/>
          <w:color w:val="auto"/>
        </w:rPr>
      </w:pPr>
    </w:p>
    <w:p>
      <w:pPr>
        <w:ind w:right="40"/>
        <w:spacing w:after="0" w:line="312" w:lineRule="auto"/>
        <w:rPr>
          <w:sz w:val="20"/>
          <w:szCs w:val="20"/>
          <w:color w:val="auto"/>
        </w:rPr>
      </w:pPr>
      <w:r>
        <w:rPr>
          <w:rFonts w:ascii="Arial" w:cs="Arial" w:eastAsia="Arial" w:hAnsi="Arial"/>
          <w:sz w:val="16"/>
          <w:szCs w:val="16"/>
          <w:color w:val="auto"/>
        </w:rPr>
        <w:t>Under the program authorized by its Board of Directors, Marvell may repurchase shares in the open-market or through privately negotiated transactions. The extent to which Marvell repurchases its shares and the timing of such repurchases will depend upon market conditions and other corporate considerations, as determined by Marvell’s management team. The repurchase program may be suspended or discontinued at any time.</w:t>
      </w:r>
    </w:p>
    <w:p>
      <w:pPr>
        <w:spacing w:after="0" w:line="25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21" w:lineRule="exact"/>
        <w:rPr>
          <w:sz w:val="20"/>
          <w:szCs w:val="20"/>
          <w:color w:val="auto"/>
        </w:rPr>
      </w:pPr>
    </w:p>
    <w:p>
      <w:pPr>
        <w:ind w:right="40"/>
        <w:spacing w:after="0" w:line="273" w:lineRule="auto"/>
        <w:rPr>
          <w:sz w:val="20"/>
          <w:szCs w:val="20"/>
          <w:color w:val="auto"/>
        </w:rPr>
      </w:pPr>
      <w:r>
        <w:rPr>
          <w:rFonts w:ascii="Arial" w:cs="Arial" w:eastAsia="Arial" w:hAnsi="Arial"/>
          <w:sz w:val="17"/>
          <w:szCs w:val="17"/>
          <w:color w:val="auto"/>
        </w:rPr>
        <w:t>This press release contains forward-looking statements within the meaning of the federal securities laws that involve risks and uncertainties. Words such as “anticipates,” “expects,” “intends,” “plans,” “projects,” “believes,” “seeks,” “estimates,” “can,” “may,” “will,” “would”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but not limited to: the amount, timing and execution of Marvell’s stock repurchase program; and other risks detailed in Marvell’s SEC filings from time to time. For other factors that could cause Marvell’s results to</w:t>
      </w:r>
    </w:p>
    <w:p>
      <w:pPr>
        <w:sectPr>
          <w:pgSz w:w="11900" w:h="16838" w:orient="portrait"/>
          <w:cols w:equalWidth="0" w:num="1">
            <w:col w:w="11020"/>
          </w:cols>
          <w:pgMar w:left="440" w:top="121" w:right="439" w:bottom="1440" w:gutter="0" w:footer="0" w:header="0"/>
        </w:sectPr>
      </w:pPr>
    </w:p>
    <w:bookmarkStart w:id="4" w:name="page5"/>
    <w:bookmarkEnd w:id="4"/>
    <w:p>
      <w:pPr>
        <w:ind w:right="4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vary from expectations, please see the risk factors identified in Marvell’s Quarterly Report on Form 10-Q for the fiscal quarter ended August 4, 2018 as filed with the SEC on September 12, 2018, and other factors detailed from time to time in Marvell’s filings with the SEC. Marvell undertakes no obligation to revise or update publicly any forward-looking statements.</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 xml:space="preserve">Marvell first revolutionized the digital storage industry by moving information at speeds never thought possible. Today, that same breakthrough innovation remains at the heart of the company’s storage, processing, networking, security and connectivity solutions. With leading intellectual property and deep system-level knowledge, Marvell’s semiconductor solutions continue to transform the enterprise, cloud, automotive, industrial, and consumer markets. To learn more, visit: </w:t>
      </w:r>
      <w:r>
        <w:rPr>
          <w:rFonts w:ascii="Arial" w:cs="Arial" w:eastAsia="Arial" w:hAnsi="Arial"/>
          <w:sz w:val="18"/>
          <w:szCs w:val="18"/>
          <w:u w:val="single" w:color="auto"/>
          <w:color w:val="auto"/>
        </w:rPr>
        <w:t>https://www.marvell.com/</w:t>
      </w:r>
    </w:p>
    <w:p>
      <w:pPr>
        <w:spacing w:after="0" w:line="187" w:lineRule="exact"/>
        <w:rPr>
          <w:sz w:val="20"/>
          <w:szCs w:val="20"/>
          <w:color w:val="auto"/>
        </w:rPr>
      </w:pPr>
    </w:p>
    <w:p>
      <w:pPr>
        <w:ind w:left="2360"/>
        <w:spacing w:after="0"/>
        <w:rPr>
          <w:sz w:val="20"/>
          <w:szCs w:val="20"/>
          <w:color w:val="auto"/>
        </w:rPr>
      </w:pPr>
      <w:r>
        <w:rPr>
          <w:rFonts w:ascii="Arial" w:cs="Arial" w:eastAsia="Arial" w:hAnsi="Arial"/>
          <w:sz w:val="18"/>
          <w:szCs w:val="18"/>
          <w:i w:val="1"/>
          <w:iCs w:val="1"/>
          <w:color w:val="auto"/>
        </w:rPr>
        <w:t>Marvell and the Marvell logo are registered trademarks of Marvell and/or its affiliates.</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ir@marvell.com</w:t>
      </w:r>
    </w:p>
    <w:sectPr>
      <w:pgSz w:w="11900" w:h="16838" w:orient="portrait"/>
      <w:cols w:equalWidth="0" w:num="1">
        <w:col w:w="10960"/>
      </w:cols>
      <w:pgMar w:left="440" w:top="274" w:right="4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jpeg"/><Relationship Id="rId21" Type="http://schemas.openxmlformats.org/officeDocument/2006/relationships/image" Target="media/image1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2019-12-28T19:17:30Z</dcterms:created>
  <dcterms:modified xsi:type="dcterms:W3CDTF">2019-12-28T19:17:30Z</dcterms:modified>
</cp:coreProperties>
</file>