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182"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SCHEDULE 13D</w:t>
      </w:r>
    </w:p>
    <w:p>
      <w:pPr>
        <w:spacing w:after="0" w:line="14"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(Rule 13d-101)</w:t>
      </w:r>
    </w:p>
    <w:p>
      <w:pPr>
        <w:spacing w:after="0" w:line="188" w:lineRule="exact"/>
        <w:rPr>
          <w:sz w:val="24"/>
          <w:szCs w:val="24"/>
          <w:color w:val="auto"/>
        </w:rPr>
      </w:pPr>
    </w:p>
    <w:p>
      <w:pPr>
        <w:ind w:left="2280"/>
        <w:spacing w:after="0"/>
        <w:rPr>
          <w:sz w:val="20"/>
          <w:szCs w:val="20"/>
          <w:color w:val="auto"/>
        </w:rPr>
      </w:pPr>
      <w:r>
        <w:rPr>
          <w:rFonts w:ascii="Arial" w:cs="Arial" w:eastAsia="Arial" w:hAnsi="Arial"/>
          <w:sz w:val="22"/>
          <w:szCs w:val="22"/>
          <w:color w:val="auto"/>
        </w:rPr>
        <w:t>INFORMATION TO BE INCLUDED IN STATEMENTS FILED PURSUANT</w:t>
      </w:r>
    </w:p>
    <w:p>
      <w:pPr>
        <w:ind w:left="2240"/>
        <w:spacing w:after="0" w:line="238" w:lineRule="auto"/>
        <w:rPr>
          <w:sz w:val="20"/>
          <w:szCs w:val="20"/>
          <w:color w:val="auto"/>
        </w:rPr>
      </w:pPr>
      <w:r>
        <w:rPr>
          <w:rFonts w:ascii="Arial" w:cs="Arial" w:eastAsia="Arial" w:hAnsi="Arial"/>
          <w:sz w:val="22"/>
          <w:szCs w:val="22"/>
          <w:color w:val="auto"/>
        </w:rPr>
        <w:t>TO § 240.13d-1(a) AND AMENDMENTS THERETO FILED PURSUANT TO</w:t>
      </w:r>
    </w:p>
    <w:p>
      <w:pPr>
        <w:ind w:left="4820" w:right="4660" w:firstLine="252"/>
        <w:spacing w:after="0" w:line="498" w:lineRule="auto"/>
        <w:tabs>
          <w:tab w:leader="none" w:pos="5243" w:val="left"/>
        </w:tabs>
        <w:numPr>
          <w:ilvl w:val="0"/>
          <w:numId w:val="1"/>
        </w:numPr>
        <w:rPr>
          <w:rFonts w:ascii="Arial" w:cs="Arial" w:eastAsia="Arial" w:hAnsi="Arial"/>
          <w:sz w:val="19"/>
          <w:szCs w:val="19"/>
          <w:color w:val="auto"/>
        </w:rPr>
      </w:pPr>
      <w:r>
        <w:rPr>
          <w:rFonts w:ascii="Arial" w:cs="Arial" w:eastAsia="Arial" w:hAnsi="Arial"/>
          <w:sz w:val="19"/>
          <w:szCs w:val="19"/>
          <w:color w:val="auto"/>
        </w:rPr>
        <w:t>240.13d-2(a) (Amendment No. 5)</w:t>
      </w:r>
      <w:r>
        <w:rPr>
          <w:rFonts w:ascii="Arial" w:cs="Arial" w:eastAsia="Arial" w:hAnsi="Arial"/>
          <w:sz w:val="10"/>
          <w:szCs w:val="10"/>
          <w:color w:val="auto"/>
        </w:rPr>
        <w:t>1</w:t>
      </w:r>
    </w:p>
    <w:p>
      <w:pPr>
        <w:spacing w:after="0" w:line="1"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Marvell Technology Group Ltd.</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(Name of Issuer)</w:t>
      </w:r>
    </w:p>
    <w:p>
      <w:pPr>
        <w:spacing w:after="0" w:line="195"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Common Stock, $0.002 par value per share</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(Title of Class of Securities)</w:t>
      </w:r>
    </w:p>
    <w:p>
      <w:pPr>
        <w:spacing w:after="0" w:line="195"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G5876H105</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(CUSIP Number)</w:t>
      </w:r>
    </w:p>
    <w:p>
      <w:pPr>
        <w:spacing w:after="0" w:line="195" w:lineRule="exact"/>
        <w:rPr>
          <w:sz w:val="24"/>
          <w:szCs w:val="24"/>
          <w:color w:val="auto"/>
        </w:rPr>
      </w:pPr>
    </w:p>
    <w:p>
      <w:pPr>
        <w:jc w:val="center"/>
        <w:ind w:right="-139"/>
        <w:spacing w:after="0"/>
        <w:rPr>
          <w:sz w:val="20"/>
          <w:szCs w:val="20"/>
          <w:color w:val="auto"/>
        </w:rPr>
      </w:pPr>
      <w:r>
        <w:rPr>
          <w:rFonts w:ascii="Arial" w:cs="Arial" w:eastAsia="Arial" w:hAnsi="Arial"/>
          <w:sz w:val="18"/>
          <w:szCs w:val="18"/>
          <w:color w:val="auto"/>
        </w:rPr>
        <w:t>JEFFREY C. SMITH</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STARBOARD VALUE LP</w:t>
      </w:r>
    </w:p>
    <w:p>
      <w:pPr>
        <w:jc w:val="center"/>
        <w:ind w:right="-159"/>
        <w:spacing w:after="0" w:line="186" w:lineRule="auto"/>
        <w:rPr>
          <w:sz w:val="20"/>
          <w:szCs w:val="20"/>
          <w:color w:val="auto"/>
        </w:rPr>
      </w:pPr>
      <w:r>
        <w:rPr>
          <w:rFonts w:ascii="Arial" w:cs="Arial" w:eastAsia="Arial" w:hAnsi="Arial"/>
          <w:sz w:val="18"/>
          <w:szCs w:val="18"/>
          <w:color w:val="auto"/>
        </w:rPr>
        <w:t>777 Third Avenue, 18</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Floor</w:t>
      </w:r>
    </w:p>
    <w:p>
      <w:pPr>
        <w:jc w:val="center"/>
        <w:ind w:right="-159"/>
        <w:spacing w:after="0"/>
        <w:rPr>
          <w:sz w:val="20"/>
          <w:szCs w:val="20"/>
          <w:color w:val="auto"/>
        </w:rPr>
      </w:pPr>
      <w:r>
        <w:rPr>
          <w:rFonts w:ascii="Arial" w:cs="Arial" w:eastAsia="Arial" w:hAnsi="Arial"/>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(212) 845-7977</w:t>
      </w:r>
    </w:p>
    <w:p>
      <w:pPr>
        <w:spacing w:after="0" w:line="211"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STEVE WOLOSKY, ESQ.</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New York, New York 10019</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(212) 451-2300</w:t>
      </w:r>
    </w:p>
    <w:p>
      <w:pPr>
        <w:jc w:val="center"/>
        <w:ind w:right="-159"/>
        <w:spacing w:after="0" w:line="236" w:lineRule="auto"/>
        <w:rPr>
          <w:sz w:val="20"/>
          <w:szCs w:val="20"/>
          <w:color w:val="auto"/>
        </w:rPr>
      </w:pPr>
      <w:r>
        <w:rPr>
          <w:rFonts w:ascii="Arial" w:cs="Arial" w:eastAsia="Arial" w:hAnsi="Arial"/>
          <w:sz w:val="22"/>
          <w:szCs w:val="22"/>
          <w:color w:val="auto"/>
        </w:rPr>
        <w:t>(Name, Address and Telephone Number of Person</w:t>
      </w:r>
    </w:p>
    <w:p>
      <w:pPr>
        <w:jc w:val="center"/>
        <w:ind w:right="-159"/>
        <w:spacing w:after="0"/>
        <w:rPr>
          <w:sz w:val="20"/>
          <w:szCs w:val="20"/>
          <w:color w:val="auto"/>
        </w:rPr>
      </w:pPr>
      <w:r>
        <w:rPr>
          <w:rFonts w:ascii="Arial" w:cs="Arial" w:eastAsia="Arial" w:hAnsi="Arial"/>
          <w:sz w:val="22"/>
          <w:szCs w:val="22"/>
          <w:color w:val="auto"/>
        </w:rPr>
        <w:t>Authorized to Receive Notices and Communications)</w:t>
      </w:r>
    </w:p>
    <w:p>
      <w:pPr>
        <w:spacing w:after="0" w:line="222"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October 22, 2018</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(Date of Event Which Requires Filing of This Statement)</w:t>
      </w:r>
    </w:p>
    <w:p>
      <w:pPr>
        <w:spacing w:after="0" w:line="222" w:lineRule="exact"/>
        <w:rPr>
          <w:sz w:val="24"/>
          <w:szCs w:val="24"/>
          <w:color w:val="auto"/>
        </w:rPr>
      </w:pPr>
    </w:p>
    <w:p>
      <w:pPr>
        <w:ind w:right="100" w:firstLine="648"/>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142"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i w:val="1"/>
          <w:i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w:t>
      </w:r>
      <w:r>
        <w:rPr>
          <w:rFonts w:ascii="Arial" w:cs="Arial" w:eastAsia="Arial" w:hAnsi="Arial"/>
          <w:sz w:val="18"/>
          <w:szCs w:val="18"/>
          <w:i w:val="1"/>
          <w:iCs w:val="1"/>
          <w:color w:val="auto"/>
        </w:rPr>
        <w:t xml:space="preserve"> See </w:t>
      </w:r>
      <w:r>
        <w:rPr>
          <w:rFonts w:ascii="Arial" w:cs="Arial" w:eastAsia="Arial" w:hAnsi="Arial"/>
          <w:sz w:val="18"/>
          <w:szCs w:val="18"/>
          <w:color w:val="auto"/>
        </w:rPr>
        <w:t>§ 240.13d-7 for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parties to whom copies are to be sent.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443230</wp:posOffset>
            </wp:positionV>
            <wp:extent cx="18097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38" w:lineRule="exact"/>
        <w:rPr>
          <w:sz w:val="24"/>
          <w:szCs w:val="24"/>
          <w:color w:val="auto"/>
        </w:rPr>
      </w:pPr>
    </w:p>
    <w:p>
      <w:pPr>
        <w:jc w:val="both"/>
        <w:ind w:right="40" w:firstLine="8"/>
        <w:spacing w:after="0"/>
        <w:tabs>
          <w:tab w:leader="none" w:pos="815" w:val="left"/>
        </w:tabs>
        <w:numPr>
          <w:ilvl w:val="0"/>
          <w:numId w:val="2"/>
        </w:numPr>
        <w:rPr>
          <w:rFonts w:ascii="Arial" w:cs="Arial" w:eastAsia="Arial" w:hAnsi="Arial"/>
          <w:sz w:val="13"/>
          <w:szCs w:val="13"/>
          <w:color w:val="auto"/>
        </w:rPr>
      </w:pPr>
      <w:r>
        <w:rPr>
          <w:rFonts w:ascii="Arial" w:cs="Arial" w:eastAsia="Arial" w:hAnsi="Arial"/>
          <w:sz w:val="22"/>
          <w:szCs w:val="22"/>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53"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Arial" w:cs="Arial" w:eastAsia="Arial" w:hAnsi="Arial"/>
          <w:sz w:val="18"/>
          <w:szCs w:val="18"/>
          <w:i w:val="1"/>
          <w:iCs w:val="1"/>
          <w:color w:val="auto"/>
        </w:rPr>
        <w:t xml:space="preserve">see </w:t>
      </w:r>
      <w:r>
        <w:rPr>
          <w:rFonts w:ascii="Arial" w:cs="Arial" w:eastAsia="Arial" w:hAnsi="Arial"/>
          <w:sz w:val="18"/>
          <w:szCs w:val="18"/>
          <w:color w:val="auto"/>
        </w:rPr>
        <w:t>the</w:t>
      </w:r>
      <w:r>
        <w:rPr>
          <w:rFonts w:ascii="Arial" w:cs="Arial" w:eastAsia="Arial" w:hAnsi="Arial"/>
          <w:sz w:val="18"/>
          <w:szCs w:val="18"/>
          <w:i w:val="1"/>
          <w:iCs w:val="1"/>
          <w:color w:val="auto"/>
        </w:rPr>
        <w:t xml:space="preserve"> Notes</w:t>
      </w:r>
      <w:r>
        <w:rPr>
          <w:rFonts w:ascii="Arial" w:cs="Arial" w:eastAsia="Arial" w:hAnsi="Arial"/>
          <w:sz w:val="18"/>
          <w:szCs w:val="18"/>
          <w:color w:val="auto"/>
        </w:rPr>
        <w:t>).</w:t>
      </w:r>
    </w:p>
    <w:p>
      <w:pPr>
        <w:spacing w:after="0" w:line="154"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280"/>
          </w:cols>
          <w:pgMar w:left="240" w:top="220" w:right="379" w:bottom="1440" w:gutter="0" w:footer="0" w:header="0"/>
        </w:sectPr>
      </w:pPr>
    </w:p>
    <w:bookmarkStart w:id="1" w:name="page2"/>
    <w:bookmarkEnd w:id="1"/>
    <w:p>
      <w:pPr>
        <w:spacing w:after="0"/>
        <w:rPr>
          <w:sz w:val="20"/>
          <w:szCs w:val="20"/>
          <w:color w:val="auto"/>
        </w:rPr>
      </w:pPr>
      <w:r>
        <w:rPr>
          <w:rFonts w:ascii="Arial" w:cs="Arial" w:eastAsia="Arial" w:hAnsi="Arial"/>
          <w:sz w:val="22"/>
          <w:szCs w:val="22"/>
          <w:color w:val="auto"/>
        </w:rPr>
        <w:t>CUSIP NO. G5876H105</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9"/>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70"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70"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70"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0"/>
        </w:trPr>
        <w:tc>
          <w:tcPr>
            <w:tcW w:w="40" w:type="dxa"/>
            <w:vAlign w:val="bottom"/>
            <w:tcBorders>
              <w:bottom w:val="single" w:sz="8" w:color="auto"/>
              <w:right w:val="single" w:sz="8" w:color="auto"/>
            </w:tcBorders>
            <w:shd w:val="clear" w:color="auto" w:fill="000000"/>
          </w:tcPr>
          <w:p>
            <w:pPr>
              <w:spacing w:after="0"/>
              <w:rPr>
                <w:sz w:val="16"/>
                <w:szCs w:val="16"/>
                <w:color w:val="auto"/>
              </w:rPr>
            </w:pPr>
          </w:p>
        </w:tc>
        <w:tc>
          <w:tcPr>
            <w:tcW w:w="1740" w:type="dxa"/>
            <w:vAlign w:val="bottom"/>
            <w:tcBorders>
              <w:bottom w:val="single" w:sz="8" w:color="auto"/>
              <w:right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6620" w:type="dxa"/>
            <w:vAlign w:val="bottom"/>
            <w:tcBorders>
              <w:bottom w:val="single" w:sz="8" w:color="auto"/>
            </w:tcBorders>
          </w:tcPr>
          <w:p>
            <w:pPr>
              <w:spacing w:after="0"/>
              <w:rPr>
                <w:sz w:val="16"/>
                <w:szCs w:val="16"/>
                <w:color w:val="auto"/>
              </w:rPr>
            </w:pPr>
          </w:p>
        </w:tc>
        <w:tc>
          <w:tcPr>
            <w:tcW w:w="1260" w:type="dxa"/>
            <w:vAlign w:val="bottom"/>
            <w:tcBorders>
              <w:bottom w:val="single" w:sz="8" w:color="auto"/>
              <w:right w:val="single" w:sz="8" w:color="auto"/>
            </w:tcBorders>
          </w:tcPr>
          <w:p>
            <w:pPr>
              <w:spacing w:after="0"/>
              <w:rPr>
                <w:sz w:val="16"/>
                <w:szCs w:val="16"/>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9"/>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19"/>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5.9%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84" w:lineRule="exact"/>
        <w:rPr>
          <w:sz w:val="20"/>
          <w:szCs w:val="20"/>
          <w:color w:val="auto"/>
        </w:rPr>
      </w:pPr>
    </w:p>
    <w:p>
      <w:pPr>
        <w:ind w:left="5660" w:right="3480" w:hanging="5652"/>
        <w:spacing w:after="0" w:line="349" w:lineRule="auto"/>
        <w:tabs>
          <w:tab w:leader="none" w:pos="161" w:val="left"/>
        </w:tabs>
        <w:numPr>
          <w:ilvl w:val="0"/>
          <w:numId w:val="3"/>
        </w:numPr>
        <w:rPr>
          <w:rFonts w:ascii="Arial" w:cs="Arial" w:eastAsia="Arial" w:hAnsi="Arial"/>
          <w:sz w:val="22"/>
          <w:szCs w:val="22"/>
          <w:color w:val="auto"/>
        </w:rPr>
      </w:pPr>
      <w:r>
        <w:rPr>
          <w:rFonts w:ascii="Arial" w:cs="Arial" w:eastAsia="Arial" w:hAnsi="Arial"/>
          <w:sz w:val="18"/>
          <w:szCs w:val="18"/>
          <w:color w:val="auto"/>
        </w:rPr>
        <w:t>Includes 3,096,701 Shares underlying certain forward purchase contracts exercisable within 60 days hereof.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-71755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 w:name="page3"/>
    <w:bookmarkEnd w:id="2"/>
    <w:p>
      <w:pPr>
        <w:spacing w:after="0"/>
        <w:rPr>
          <w:sz w:val="20"/>
          <w:szCs w:val="20"/>
          <w:color w:val="auto"/>
        </w:rPr>
      </w:pPr>
      <w:r>
        <w:rPr>
          <w:rFonts w:ascii="Arial" w:cs="Arial" w:eastAsia="Arial" w:hAnsi="Arial"/>
          <w:sz w:val="22"/>
          <w:szCs w:val="22"/>
          <w:color w:val="auto"/>
        </w:rPr>
        <w:t>CUSIP NO. G5876H105</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MASTER FUND LTD</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CAYMAN ISLANDS</w:t>
            </w: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13,942,409</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13,942,409</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13,942,409</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CO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60" w:right="3620" w:hanging="5652"/>
        <w:spacing w:after="0" w:line="349" w:lineRule="auto"/>
        <w:tabs>
          <w:tab w:leader="none" w:pos="161" w:val="left"/>
        </w:tabs>
        <w:numPr>
          <w:ilvl w:val="0"/>
          <w:numId w:val="4"/>
        </w:numPr>
        <w:rPr>
          <w:rFonts w:ascii="Arial" w:cs="Arial" w:eastAsia="Arial" w:hAnsi="Arial"/>
          <w:sz w:val="22"/>
          <w:szCs w:val="22"/>
          <w:color w:val="auto"/>
        </w:rPr>
      </w:pPr>
      <w:r>
        <w:rPr>
          <w:rFonts w:ascii="Arial" w:cs="Arial" w:eastAsia="Arial" w:hAnsi="Arial"/>
          <w:sz w:val="18"/>
          <w:szCs w:val="18"/>
          <w:color w:val="auto"/>
        </w:rPr>
        <w:t>Includes 446,918 Shares underlying certain forward purchase contracts exercisable within 60 days hereof.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 w:name="page4"/>
    <w:bookmarkEnd w:id="3"/>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S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1,788,471</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1,788,471</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1,788,471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4</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4" w:name="page5"/>
    <w:bookmarkEnd w:id="4"/>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C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1,023,203</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1,023,203</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1,023,203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5</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5" w:name="page6"/>
    <w:bookmarkEnd w:id="5"/>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R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3,829,943</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3,829,943</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3,829,943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6" w:name="page7"/>
    <w:bookmarkEnd w:id="6"/>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VALUE R GP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3,829,943</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3,829,943</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3,829,943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80" w:type="dxa"/>
            <w:vAlign w:val="bottom"/>
            <w:gridSpan w:val="2"/>
          </w:tcPr>
          <w:p>
            <w:pPr>
              <w:ind w:left="580"/>
              <w:spacing w:after="0"/>
              <w:rPr>
                <w:sz w:val="20"/>
                <w:szCs w:val="20"/>
                <w:color w:val="auto"/>
              </w:rPr>
            </w:pPr>
            <w:r>
              <w:rPr>
                <w:rFonts w:ascii="Arial" w:cs="Arial" w:eastAsia="Arial" w:hAnsi="Arial"/>
                <w:sz w:val="18"/>
                <w:szCs w:val="18"/>
                <w:color w:val="auto"/>
              </w:rPr>
              <w:t>Less than 1%</w:t>
            </w: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7" w:name="page8"/>
    <w:bookmarkEnd w:id="7"/>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JULIET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9,760,028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9,760,028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9,760,028</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60" w:right="3620" w:hanging="5652"/>
        <w:spacing w:after="0" w:line="349" w:lineRule="auto"/>
        <w:tabs>
          <w:tab w:leader="none" w:pos="161" w:val="left"/>
        </w:tabs>
        <w:numPr>
          <w:ilvl w:val="0"/>
          <w:numId w:val="6"/>
        </w:numPr>
        <w:rPr>
          <w:rFonts w:ascii="Arial" w:cs="Arial" w:eastAsia="Arial" w:hAnsi="Arial"/>
          <w:sz w:val="22"/>
          <w:szCs w:val="22"/>
          <w:color w:val="auto"/>
        </w:rPr>
      </w:pPr>
      <w:r>
        <w:rPr>
          <w:rFonts w:ascii="Arial" w:cs="Arial" w:eastAsia="Arial" w:hAnsi="Arial"/>
          <w:sz w:val="18"/>
          <w:szCs w:val="18"/>
          <w:color w:val="auto"/>
        </w:rPr>
        <w:t>Includes 449,783 Shares underlying certain forward purchase contracts exercisable within 60 days hereof. 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8" w:name="page9"/>
    <w:bookmarkEnd w:id="8"/>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9,760,028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9,760,028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9,760,028</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60" w:right="3620" w:hanging="5652"/>
        <w:spacing w:after="0" w:line="349" w:lineRule="auto"/>
        <w:tabs>
          <w:tab w:leader="none" w:pos="161" w:val="left"/>
        </w:tabs>
        <w:numPr>
          <w:ilvl w:val="0"/>
          <w:numId w:val="7"/>
        </w:numPr>
        <w:rPr>
          <w:rFonts w:ascii="Arial" w:cs="Arial" w:eastAsia="Arial" w:hAnsi="Arial"/>
          <w:sz w:val="22"/>
          <w:szCs w:val="22"/>
          <w:color w:val="auto"/>
        </w:rPr>
      </w:pPr>
      <w:r>
        <w:rPr>
          <w:rFonts w:ascii="Arial" w:cs="Arial" w:eastAsia="Arial" w:hAnsi="Arial"/>
          <w:sz w:val="18"/>
          <w:szCs w:val="18"/>
          <w:color w:val="auto"/>
        </w:rPr>
        <w:t>Includes 449,783 Shares underlying certain forward purchase contracts exercisable within 60 days hereof. 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9" w:name="page10"/>
    <w:bookmarkEnd w:id="9"/>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II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3,975,755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3,975,755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3,975,755</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6" w:val="left"/>
        </w:tabs>
        <w:numPr>
          <w:ilvl w:val="0"/>
          <w:numId w:val="8"/>
        </w:numPr>
        <w:rPr>
          <w:rFonts w:ascii="Arial" w:cs="Arial" w:eastAsia="Arial" w:hAnsi="Arial"/>
          <w:sz w:val="22"/>
          <w:szCs w:val="22"/>
          <w:color w:val="auto"/>
        </w:rPr>
      </w:pPr>
      <w:r>
        <w:rPr>
          <w:rFonts w:ascii="Arial" w:cs="Arial" w:eastAsia="Arial" w:hAnsi="Arial"/>
          <w:sz w:val="18"/>
          <w:szCs w:val="18"/>
          <w:color w:val="auto"/>
        </w:rPr>
        <w:t>Includes 2,200,000 Shares underlying certain forward purchase contracts exercisable within 60 days hereof. 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0" w:name="page11"/>
    <w:bookmarkEnd w:id="10"/>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II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3,975,755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3,975,755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3,975,755</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3" w:val="left"/>
        </w:tabs>
        <w:numPr>
          <w:ilvl w:val="0"/>
          <w:numId w:val="9"/>
        </w:numPr>
        <w:rPr>
          <w:rFonts w:ascii="Arial" w:cs="Arial" w:eastAsia="Arial" w:hAnsi="Arial"/>
          <w:sz w:val="22"/>
          <w:szCs w:val="22"/>
          <w:color w:val="auto"/>
        </w:rPr>
      </w:pPr>
      <w:r>
        <w:rPr>
          <w:rFonts w:ascii="Arial" w:cs="Arial" w:eastAsia="Arial" w:hAnsi="Arial"/>
          <w:sz w:val="18"/>
          <w:szCs w:val="18"/>
          <w:color w:val="auto"/>
        </w:rPr>
        <w:t>Includes 2,200,000 Shares underlying certain forward purchase contracts exercisable within 60 days hereof. 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1" w:name="page12"/>
    <w:bookmarkEnd w:id="11"/>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3,975,755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3,975,755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3,975,755</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6" w:val="left"/>
        </w:tabs>
        <w:numPr>
          <w:ilvl w:val="0"/>
          <w:numId w:val="10"/>
        </w:numPr>
        <w:rPr>
          <w:rFonts w:ascii="Arial" w:cs="Arial" w:eastAsia="Arial" w:hAnsi="Arial"/>
          <w:sz w:val="22"/>
          <w:szCs w:val="22"/>
          <w:color w:val="auto"/>
        </w:rPr>
      </w:pPr>
      <w:r>
        <w:rPr>
          <w:rFonts w:ascii="Arial" w:cs="Arial" w:eastAsia="Arial" w:hAnsi="Arial"/>
          <w:sz w:val="18"/>
          <w:szCs w:val="18"/>
          <w:color w:val="auto"/>
        </w:rPr>
        <w:t>Includes 2,200,000 Shares underlying certain forward purchase contracts exercisable within 60 days hereof. 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2" w:name="page13"/>
    <w:bookmarkEnd w:id="12"/>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2,883,842</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2,883,842</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2,883,842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13</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3" w:name="page14"/>
    <w:bookmarkEnd w:id="13"/>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16,619,625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16,619,625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16,619,625</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6"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Includes 2,649,783 Shares underlying certain forward purchase contracts exercisable within 60 days hereof. 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4" w:name="page15"/>
    <w:bookmarkEnd w:id="14"/>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16,619,625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16,619,625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16,619,625</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6" w:val="left"/>
        </w:tabs>
        <w:numPr>
          <w:ilvl w:val="0"/>
          <w:numId w:val="12"/>
        </w:numPr>
        <w:rPr>
          <w:rFonts w:ascii="Arial" w:cs="Arial" w:eastAsia="Arial" w:hAnsi="Arial"/>
          <w:sz w:val="22"/>
          <w:szCs w:val="22"/>
          <w:color w:val="auto"/>
        </w:rPr>
      </w:pPr>
      <w:r>
        <w:rPr>
          <w:rFonts w:ascii="Arial" w:cs="Arial" w:eastAsia="Arial" w:hAnsi="Arial"/>
          <w:sz w:val="18"/>
          <w:szCs w:val="18"/>
          <w:color w:val="auto"/>
        </w:rPr>
        <w:t>Includes 2,649,783 Shares underlying certain forward purchase contracts exercisable within 60 days hereof. 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5" w:name="page16"/>
    <w:bookmarkEnd w:id="15"/>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P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CAYMAN ISLANDS</w:t>
            </w: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2,806,740</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2,806,740</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2,806,740</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6" w:name="page17"/>
    <w:bookmarkEnd w:id="16"/>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P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2,806,740</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2,806,740</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2,806,740</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17</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7" w:name="page18"/>
    <w:bookmarkEnd w:id="17"/>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VALUE GP LLC</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5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38,530,786</w:t>
            </w:r>
            <w:r>
              <w:rPr>
                <w:rFonts w:ascii="Arial" w:cs="Arial" w:eastAsia="Arial" w:hAnsi="Arial"/>
                <w:sz w:val="30"/>
                <w:szCs w:val="30"/>
                <w:color w:val="auto"/>
                <w:vertAlign w:val="superscript"/>
              </w:rPr>
              <w:t>*</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5.9%</w:t>
      </w:r>
    </w:p>
    <w:p>
      <w:pPr>
        <w:spacing w:after="0" w:line="23" w:lineRule="exact"/>
        <w:rPr>
          <w:sz w:val="20"/>
          <w:szCs w:val="20"/>
          <w:color w:val="auto"/>
        </w:rPr>
      </w:pPr>
    </w:p>
    <w:p>
      <w:pPr>
        <w:ind w:left="2340" w:right="7040" w:hanging="1551"/>
        <w:spacing w:after="0" w:line="527" w:lineRule="auto"/>
        <w:tabs>
          <w:tab w:leader="none" w:pos="1885" w:val="left"/>
        </w:tabs>
        <w:numPr>
          <w:ilvl w:val="1"/>
          <w:numId w:val="17"/>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149" w:lineRule="exact"/>
        <w:rPr>
          <w:rFonts w:ascii="Arial" w:cs="Arial" w:eastAsia="Arial" w:hAnsi="Arial"/>
          <w:sz w:val="18"/>
          <w:szCs w:val="18"/>
          <w:color w:val="auto"/>
        </w:rPr>
      </w:pPr>
    </w:p>
    <w:p>
      <w:pPr>
        <w:ind w:left="5620" w:right="3480" w:hanging="5616"/>
        <w:spacing w:after="0" w:line="318" w:lineRule="auto"/>
        <w:rPr>
          <w:rFonts w:ascii="Arial" w:cs="Arial" w:eastAsia="Arial" w:hAnsi="Arial"/>
          <w:sz w:val="18"/>
          <w:szCs w:val="18"/>
          <w:color w:val="auto"/>
        </w:rPr>
      </w:pPr>
      <w:r>
        <w:rPr>
          <w:rFonts w:ascii="Arial" w:cs="Arial" w:eastAsia="Arial" w:hAnsi="Arial"/>
          <w:sz w:val="22"/>
          <w:szCs w:val="22"/>
          <w:color w:val="auto"/>
        </w:rPr>
        <w:t xml:space="preserve">* </w:t>
      </w:r>
      <w:r>
        <w:rPr>
          <w:rFonts w:ascii="Arial" w:cs="Arial" w:eastAsia="Arial" w:hAnsi="Arial"/>
          <w:sz w:val="18"/>
          <w:szCs w:val="18"/>
          <w:color w:val="auto"/>
        </w:rPr>
        <w:t>Includes 3,096,701 Shares underlying certain forward purchase contracts exercisable within 60 days hereof.</w:t>
      </w:r>
      <w:r>
        <w:rPr>
          <w:rFonts w:ascii="Arial" w:cs="Arial" w:eastAsia="Arial" w:hAnsi="Arial"/>
          <w:sz w:val="22"/>
          <w:szCs w:val="22"/>
          <w:color w:val="auto"/>
        </w:rPr>
        <w:t xml:space="preserve"> </w:t>
      </w: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-1097280</wp:posOffset>
            </wp:positionV>
            <wp:extent cx="360045"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-814705</wp:posOffset>
            </wp:positionV>
            <wp:extent cx="8890" cy="16319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-814705</wp:posOffset>
            </wp:positionV>
            <wp:extent cx="8890" cy="16319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-814705</wp:posOffset>
            </wp:positionV>
            <wp:extent cx="8890" cy="16319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-814705</wp:posOffset>
            </wp:positionV>
            <wp:extent cx="360045" cy="16319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-462915</wp:posOffset>
            </wp:positionV>
            <wp:extent cx="108902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08902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-42545</wp:posOffset>
            </wp:positionV>
            <wp:extent cx="724662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8" w:name="page19"/>
    <w:bookmarkEnd w:id="18"/>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PRINCIPAL CO LP</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5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38,530,786</w:t>
            </w:r>
            <w:r>
              <w:rPr>
                <w:rFonts w:ascii="Arial" w:cs="Arial" w:eastAsia="Arial" w:hAnsi="Arial"/>
                <w:sz w:val="30"/>
                <w:szCs w:val="30"/>
                <w:color w:val="auto"/>
                <w:vertAlign w:val="superscript"/>
              </w:rPr>
              <w:t>*</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5.9%</w:t>
      </w:r>
    </w:p>
    <w:p>
      <w:pPr>
        <w:spacing w:after="0" w:line="23" w:lineRule="exact"/>
        <w:rPr>
          <w:sz w:val="20"/>
          <w:szCs w:val="20"/>
          <w:color w:val="auto"/>
        </w:rPr>
      </w:pPr>
    </w:p>
    <w:p>
      <w:pPr>
        <w:ind w:left="2340" w:right="7040" w:hanging="1551"/>
        <w:spacing w:after="0" w:line="527" w:lineRule="auto"/>
        <w:tabs>
          <w:tab w:leader="none" w:pos="1885" w:val="left"/>
        </w:tabs>
        <w:numPr>
          <w:ilvl w:val="1"/>
          <w:numId w:val="22"/>
        </w:numPr>
        <w:rPr>
          <w:rFonts w:ascii="Arial" w:cs="Arial" w:eastAsia="Arial" w:hAnsi="Arial"/>
          <w:sz w:val="18"/>
          <w:szCs w:val="18"/>
          <w:color w:val="auto"/>
        </w:rPr>
      </w:pPr>
      <w:r>
        <w:rPr>
          <w:rFonts w:ascii="Arial" w:cs="Arial" w:eastAsia="Arial" w:hAnsi="Arial"/>
          <w:sz w:val="18"/>
          <w:szCs w:val="18"/>
          <w:color w:val="auto"/>
        </w:rPr>
        <w:t>TYPE OF REPORTING PERSON PN</w:t>
      </w:r>
    </w:p>
    <w:p>
      <w:pPr>
        <w:spacing w:after="0" w:line="149" w:lineRule="exact"/>
        <w:rPr>
          <w:rFonts w:ascii="Arial" w:cs="Arial" w:eastAsia="Arial" w:hAnsi="Arial"/>
          <w:sz w:val="18"/>
          <w:szCs w:val="18"/>
          <w:color w:val="auto"/>
        </w:rPr>
      </w:pPr>
    </w:p>
    <w:p>
      <w:pPr>
        <w:ind w:left="5620" w:right="3480" w:hanging="5616"/>
        <w:spacing w:after="0" w:line="318" w:lineRule="auto"/>
        <w:rPr>
          <w:rFonts w:ascii="Arial" w:cs="Arial" w:eastAsia="Arial" w:hAnsi="Arial"/>
          <w:sz w:val="18"/>
          <w:szCs w:val="18"/>
          <w:color w:val="auto"/>
        </w:rPr>
      </w:pPr>
      <w:r>
        <w:rPr>
          <w:rFonts w:ascii="Arial" w:cs="Arial" w:eastAsia="Arial" w:hAnsi="Arial"/>
          <w:sz w:val="22"/>
          <w:szCs w:val="22"/>
          <w:color w:val="auto"/>
        </w:rPr>
        <w:t xml:space="preserve">* </w:t>
      </w:r>
      <w:r>
        <w:rPr>
          <w:rFonts w:ascii="Arial" w:cs="Arial" w:eastAsia="Arial" w:hAnsi="Arial"/>
          <w:sz w:val="18"/>
          <w:szCs w:val="18"/>
          <w:color w:val="auto"/>
        </w:rPr>
        <w:t>Includes 3,096,701 Shares underlying certain forward purchase contracts exercisable within 60 days hereof.</w:t>
      </w:r>
      <w:r>
        <w:rPr>
          <w:rFonts w:ascii="Arial" w:cs="Arial" w:eastAsia="Arial" w:hAnsi="Arial"/>
          <w:sz w:val="22"/>
          <w:szCs w:val="22"/>
          <w:color w:val="auto"/>
        </w:rPr>
        <w:t xml:space="preserve"> </w:t>
      </w: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-1097280</wp:posOffset>
            </wp:positionV>
            <wp:extent cx="360045"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-814705</wp:posOffset>
            </wp:positionV>
            <wp:extent cx="8890" cy="16319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-814705</wp:posOffset>
            </wp:positionV>
            <wp:extent cx="8890" cy="16319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-814705</wp:posOffset>
            </wp:positionV>
            <wp:extent cx="8890" cy="16319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-814705</wp:posOffset>
            </wp:positionV>
            <wp:extent cx="360045" cy="16319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-462915</wp:posOffset>
            </wp:positionV>
            <wp:extent cx="108902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08902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-42545</wp:posOffset>
            </wp:positionV>
            <wp:extent cx="724662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9" w:name="page20"/>
    <w:bookmarkEnd w:id="19"/>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PRINCIPAL CO GP LLC</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OO</w:t>
            </w:r>
          </w:p>
        </w:tc>
        <w:tc>
          <w:tcPr>
            <w:tcW w:w="6760" w:type="dxa"/>
            <w:vAlign w:val="bottom"/>
            <w:tcBorders>
              <w:bottom w:val="single" w:sz="8" w:color="auto"/>
            </w:tcBorders>
          </w:tcPr>
          <w:p>
            <w:pPr>
              <w:spacing w:after="0"/>
              <w:rPr>
                <w:sz w:val="20"/>
                <w:szCs w:val="20"/>
                <w:color w:val="auto"/>
              </w:rPr>
            </w:pPr>
          </w:p>
        </w:tc>
        <w:tc>
          <w:tcPr>
            <w:tcW w:w="11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80" w:type="dxa"/>
            <w:vAlign w:val="bottom"/>
            <w:gridSpan w:val="2"/>
          </w:tcPr>
          <w:p>
            <w:pPr>
              <w:ind w:left="12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20" w:type="dxa"/>
            <w:vAlign w:val="bottom"/>
          </w:tcPr>
          <w:p>
            <w:pPr>
              <w:ind w:left="120"/>
              <w:spacing w:after="0"/>
              <w:rPr>
                <w:sz w:val="20"/>
                <w:szCs w:val="20"/>
                <w:color w:val="auto"/>
              </w:rPr>
            </w:pPr>
            <w:r>
              <w:rPr>
                <w:rFonts w:ascii="Arial" w:cs="Arial" w:eastAsia="Arial" w:hAnsi="Arial"/>
                <w:sz w:val="18"/>
                <w:szCs w:val="18"/>
                <w:color w:val="auto"/>
              </w:rPr>
              <w:t>2(e)</w:t>
            </w:r>
          </w:p>
        </w:tc>
        <w:tc>
          <w:tcPr>
            <w:tcW w:w="676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76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80" w:type="dxa"/>
            <w:vAlign w:val="bottom"/>
            <w:gridSpan w:val="2"/>
          </w:tcPr>
          <w:p>
            <w:pPr>
              <w:ind w:left="120"/>
              <w:spacing w:after="0"/>
              <w:rPr>
                <w:sz w:val="20"/>
                <w:szCs w:val="20"/>
                <w:color w:val="auto"/>
              </w:rPr>
            </w:pPr>
            <w:r>
              <w:rPr>
                <w:rFonts w:ascii="Arial" w:cs="Arial" w:eastAsia="Arial" w:hAnsi="Arial"/>
                <w:sz w:val="18"/>
                <w:szCs w:val="18"/>
                <w:color w:val="auto"/>
              </w:rPr>
              <w:t>CITIZENSHIP OR PLACE OF ORGANIZATION</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76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7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7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7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p>
        </w:tc>
        <w:tc>
          <w:tcPr>
            <w:tcW w:w="11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7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7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7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7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7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38,530,786</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7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7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180" w:type="dxa"/>
            <w:vAlign w:val="bottom"/>
          </w:tcPr>
          <w:p>
            <w:pPr>
              <w:spacing w:after="0"/>
              <w:rPr>
                <w:sz w:val="19"/>
                <w:szCs w:val="19"/>
                <w:color w:val="auto"/>
              </w:rPr>
            </w:pPr>
          </w:p>
        </w:tc>
      </w:tr>
      <w:tr>
        <w:trPr>
          <w:trHeight w:val="45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38,530,786</w:t>
            </w:r>
            <w:r>
              <w:rPr>
                <w:rFonts w:ascii="Arial" w:cs="Arial" w:eastAsia="Arial" w:hAnsi="Arial"/>
                <w:sz w:val="30"/>
                <w:szCs w:val="30"/>
                <w:color w:val="auto"/>
                <w:vertAlign w:val="superscript"/>
              </w:rPr>
              <w:t>*</w:t>
            </w:r>
          </w:p>
        </w:tc>
        <w:tc>
          <w:tcPr>
            <w:tcW w:w="676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80" w:type="dxa"/>
            <w:vAlign w:val="bottom"/>
            <w:tcBorders>
              <w:bottom w:val="single" w:sz="8" w:color="auto"/>
            </w:tcBorders>
            <w:gridSpan w:val="2"/>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5.9%</w:t>
            </w:r>
          </w:p>
        </w:tc>
        <w:tc>
          <w:tcPr>
            <w:tcW w:w="676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8480" w:type="dxa"/>
            <w:vAlign w:val="bottom"/>
            <w:gridSpan w:val="2"/>
          </w:tcPr>
          <w:p>
            <w:pPr>
              <w:ind w:left="120"/>
              <w:spacing w:after="0"/>
              <w:rPr>
                <w:sz w:val="20"/>
                <w:szCs w:val="20"/>
                <w:color w:val="auto"/>
              </w:rPr>
            </w:pPr>
            <w:r>
              <w:rPr>
                <w:rFonts w:ascii="Arial" w:cs="Arial" w:eastAsia="Arial" w:hAnsi="Arial"/>
                <w:sz w:val="18"/>
                <w:szCs w:val="18"/>
                <w:color w:val="auto"/>
              </w:rPr>
              <w:t>TYPE OF REPORTING PERSON</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Pr>
          <w:p>
            <w:pPr>
              <w:ind w:left="580"/>
              <w:spacing w:after="0"/>
              <w:rPr>
                <w:sz w:val="20"/>
                <w:szCs w:val="20"/>
                <w:color w:val="auto"/>
              </w:rPr>
            </w:pPr>
            <w:r>
              <w:rPr>
                <w:rFonts w:ascii="Arial" w:cs="Arial" w:eastAsia="Arial" w:hAnsi="Arial"/>
                <w:sz w:val="18"/>
                <w:szCs w:val="18"/>
                <w:color w:val="auto"/>
              </w:rPr>
              <w:t>OO</w:t>
            </w:r>
          </w:p>
        </w:tc>
        <w:tc>
          <w:tcPr>
            <w:tcW w:w="676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-136525</wp:posOffset>
            </wp:positionV>
            <wp:extent cx="8890" cy="16319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-136525</wp:posOffset>
            </wp:positionV>
            <wp:extent cx="8890" cy="16319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-136525</wp:posOffset>
            </wp:positionV>
            <wp:extent cx="8890" cy="16319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-136525</wp:posOffset>
            </wp:positionV>
            <wp:extent cx="360045" cy="16319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214630</wp:posOffset>
            </wp:positionV>
            <wp:extent cx="1089025"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5620" w:right="3480" w:hanging="5612"/>
        <w:spacing w:after="0" w:line="349" w:lineRule="auto"/>
        <w:tabs>
          <w:tab w:leader="none" w:pos="166" w:val="left"/>
        </w:tabs>
        <w:numPr>
          <w:ilvl w:val="0"/>
          <w:numId w:val="26"/>
        </w:numPr>
        <w:rPr>
          <w:rFonts w:ascii="Arial" w:cs="Arial" w:eastAsia="Arial" w:hAnsi="Arial"/>
          <w:sz w:val="22"/>
          <w:szCs w:val="22"/>
          <w:color w:val="auto"/>
        </w:rPr>
      </w:pPr>
      <w:r>
        <w:rPr>
          <w:rFonts w:ascii="Arial" w:cs="Arial" w:eastAsia="Arial" w:hAnsi="Arial"/>
          <w:sz w:val="18"/>
          <w:szCs w:val="18"/>
          <w:color w:val="auto"/>
        </w:rPr>
        <w:t>Includes 3,096,701 Shares underlying certain forward purchase contracts exercisable within 60 days hereof.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0" w:name="page21"/>
    <w:bookmarkEnd w:id="20"/>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JEFFREY C. SMITH</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70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8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70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760" w:type="dxa"/>
            <w:vAlign w:val="bottom"/>
            <w:tcBorders>
              <w:bottom w:val="single" w:sz="8" w:color="auto"/>
            </w:tcBorders>
            <w:gridSpan w:val="2"/>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USA</w:t>
            </w: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70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70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70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70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1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70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70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180" w:type="dxa"/>
            <w:vAlign w:val="bottom"/>
          </w:tcPr>
          <w:p>
            <w:pPr>
              <w:spacing w:after="0"/>
              <w:rPr>
                <w:sz w:val="19"/>
                <w:szCs w:val="19"/>
                <w:color w:val="auto"/>
              </w:rPr>
            </w:pPr>
          </w:p>
        </w:tc>
      </w:tr>
      <w:tr>
        <w:trPr>
          <w:trHeight w:val="45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38,530,786</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80" w:type="dxa"/>
            <w:vAlign w:val="bottom"/>
            <w:tcBorders>
              <w:bottom w:val="single" w:sz="8" w:color="auto"/>
            </w:tcBorders>
            <w:gridSpan w:val="3"/>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5.9%</w:t>
            </w: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TYPE OF REPORTING PERSON</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80" w:type="dxa"/>
            <w:vAlign w:val="bottom"/>
            <w:gridSpan w:val="2"/>
          </w:tcPr>
          <w:p>
            <w:pPr>
              <w:ind w:left="580"/>
              <w:spacing w:after="0"/>
              <w:rPr>
                <w:sz w:val="20"/>
                <w:szCs w:val="20"/>
                <w:color w:val="auto"/>
              </w:rPr>
            </w:pPr>
            <w:r>
              <w:rPr>
                <w:rFonts w:ascii="Arial" w:cs="Arial" w:eastAsia="Arial" w:hAnsi="Arial"/>
                <w:sz w:val="18"/>
                <w:szCs w:val="18"/>
                <w:color w:val="auto"/>
              </w:rPr>
              <w:t>IN</w:t>
            </w:r>
          </w:p>
        </w:tc>
        <w:tc>
          <w:tcPr>
            <w:tcW w:w="670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-4784725</wp:posOffset>
            </wp:positionV>
            <wp:extent cx="360045"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-136525</wp:posOffset>
            </wp:positionV>
            <wp:extent cx="8890" cy="16319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-136525</wp:posOffset>
            </wp:positionV>
            <wp:extent cx="8890" cy="16319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-136525</wp:posOffset>
            </wp:positionV>
            <wp:extent cx="8890" cy="16319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-136525</wp:posOffset>
            </wp:positionV>
            <wp:extent cx="360045" cy="16319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214630</wp:posOffset>
            </wp:positionV>
            <wp:extent cx="108902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5620" w:right="3480" w:hanging="5612"/>
        <w:spacing w:after="0" w:line="349" w:lineRule="auto"/>
        <w:tabs>
          <w:tab w:leader="none" w:pos="166" w:val="left"/>
        </w:tabs>
        <w:numPr>
          <w:ilvl w:val="0"/>
          <w:numId w:val="29"/>
        </w:numPr>
        <w:rPr>
          <w:rFonts w:ascii="Arial" w:cs="Arial" w:eastAsia="Arial" w:hAnsi="Arial"/>
          <w:sz w:val="22"/>
          <w:szCs w:val="22"/>
          <w:color w:val="auto"/>
        </w:rPr>
      </w:pPr>
      <w:r>
        <w:rPr>
          <w:rFonts w:ascii="Arial" w:cs="Arial" w:eastAsia="Arial" w:hAnsi="Arial"/>
          <w:sz w:val="18"/>
          <w:szCs w:val="18"/>
          <w:color w:val="auto"/>
        </w:rPr>
        <w:t>Includes 3,096,701 Shares underlying certain forward purchase contracts exercisable within 60 days hereof. 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1" w:name="page22"/>
    <w:bookmarkEnd w:id="21"/>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MARK R. MITCHELL</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70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8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70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760" w:type="dxa"/>
            <w:vAlign w:val="bottom"/>
            <w:tcBorders>
              <w:bottom w:val="single" w:sz="8" w:color="auto"/>
            </w:tcBorders>
            <w:gridSpan w:val="2"/>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USA</w:t>
            </w: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70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70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70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70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1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70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70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180" w:type="dxa"/>
            <w:vAlign w:val="bottom"/>
          </w:tcPr>
          <w:p>
            <w:pPr>
              <w:spacing w:after="0"/>
              <w:rPr>
                <w:sz w:val="19"/>
                <w:szCs w:val="19"/>
                <w:color w:val="auto"/>
              </w:rPr>
            </w:pPr>
          </w:p>
        </w:tc>
      </w:tr>
      <w:tr>
        <w:trPr>
          <w:trHeight w:val="45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38,530,786</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80" w:type="dxa"/>
            <w:vAlign w:val="bottom"/>
            <w:tcBorders>
              <w:bottom w:val="single" w:sz="8" w:color="auto"/>
            </w:tcBorders>
            <w:gridSpan w:val="3"/>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5.9%</w:t>
            </w: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TYPE OF REPORTING PERSON</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80" w:type="dxa"/>
            <w:vAlign w:val="bottom"/>
            <w:gridSpan w:val="2"/>
          </w:tcPr>
          <w:p>
            <w:pPr>
              <w:ind w:left="580"/>
              <w:spacing w:after="0"/>
              <w:rPr>
                <w:sz w:val="20"/>
                <w:szCs w:val="20"/>
                <w:color w:val="auto"/>
              </w:rPr>
            </w:pPr>
            <w:r>
              <w:rPr>
                <w:rFonts w:ascii="Arial" w:cs="Arial" w:eastAsia="Arial" w:hAnsi="Arial"/>
                <w:sz w:val="18"/>
                <w:szCs w:val="18"/>
                <w:color w:val="auto"/>
              </w:rPr>
              <w:t>IN</w:t>
            </w:r>
          </w:p>
        </w:tc>
        <w:tc>
          <w:tcPr>
            <w:tcW w:w="670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-4784725</wp:posOffset>
            </wp:positionV>
            <wp:extent cx="36004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-136525</wp:posOffset>
            </wp:positionV>
            <wp:extent cx="8890" cy="16319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-136525</wp:posOffset>
            </wp:positionV>
            <wp:extent cx="8890" cy="16319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-136525</wp:posOffset>
            </wp:positionV>
            <wp:extent cx="8890" cy="16319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-136525</wp:posOffset>
            </wp:positionV>
            <wp:extent cx="360045" cy="16319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214630</wp:posOffset>
            </wp:positionV>
            <wp:extent cx="108902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5620" w:right="3480" w:hanging="5612"/>
        <w:spacing w:after="0" w:line="349" w:lineRule="auto"/>
        <w:tabs>
          <w:tab w:leader="none" w:pos="166" w:val="left"/>
        </w:tabs>
        <w:numPr>
          <w:ilvl w:val="0"/>
          <w:numId w:val="32"/>
        </w:numPr>
        <w:rPr>
          <w:rFonts w:ascii="Arial" w:cs="Arial" w:eastAsia="Arial" w:hAnsi="Arial"/>
          <w:sz w:val="22"/>
          <w:szCs w:val="22"/>
          <w:color w:val="auto"/>
        </w:rPr>
      </w:pPr>
      <w:r>
        <w:rPr>
          <w:rFonts w:ascii="Arial" w:cs="Arial" w:eastAsia="Arial" w:hAnsi="Arial"/>
          <w:sz w:val="18"/>
          <w:szCs w:val="18"/>
          <w:color w:val="auto"/>
        </w:rPr>
        <w:t>Includes 3,096,701 Shares underlying certain forward purchase contracts exercisable within 60 days hereof. 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2" w:name="page23"/>
    <w:bookmarkEnd w:id="22"/>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PETER A. FELD</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USA</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33,204</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33,204</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38,530,786</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5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38,563,990</w:t>
            </w:r>
            <w:r>
              <w:rPr>
                <w:rFonts w:ascii="Arial" w:cs="Arial" w:eastAsia="Arial" w:hAnsi="Arial"/>
                <w:sz w:val="30"/>
                <w:szCs w:val="30"/>
                <w:color w:val="auto"/>
                <w:vertAlign w:val="superscript"/>
              </w:rPr>
              <w:t>*</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5.9%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IN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089025"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089025"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6" w:val="left"/>
        </w:tabs>
        <w:numPr>
          <w:ilvl w:val="0"/>
          <w:numId w:val="33"/>
        </w:numPr>
        <w:rPr>
          <w:rFonts w:ascii="Arial" w:cs="Arial" w:eastAsia="Arial" w:hAnsi="Arial"/>
          <w:sz w:val="22"/>
          <w:szCs w:val="22"/>
          <w:color w:val="auto"/>
        </w:rPr>
      </w:pPr>
      <w:r>
        <w:rPr>
          <w:rFonts w:ascii="Arial" w:cs="Arial" w:eastAsia="Arial" w:hAnsi="Arial"/>
          <w:sz w:val="18"/>
          <w:szCs w:val="18"/>
          <w:color w:val="auto"/>
        </w:rPr>
        <w:t>Includes 3,096,701 Shares underlying certain forward purchase contracts exercisable within 60 days hereof. 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3" w:name="page24"/>
    <w:bookmarkEnd w:id="23"/>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firstLine="1297"/>
        <w:spacing w:after="0" w:line="277" w:lineRule="auto"/>
        <w:rPr>
          <w:sz w:val="20"/>
          <w:szCs w:val="20"/>
          <w:color w:val="auto"/>
        </w:rPr>
      </w:pPr>
      <w:r>
        <w:rPr>
          <w:rFonts w:ascii="Arial" w:cs="Arial" w:eastAsia="Arial" w:hAnsi="Arial"/>
          <w:sz w:val="18"/>
          <w:szCs w:val="18"/>
          <w:color w:val="auto"/>
        </w:rPr>
        <w:t>The following constitutes Amendment No. 5 to the Schedule 13D filed by the undersigned (“Amendment No. 5”). This Amendment No. 5 amends the Schedule 13D as specifically set forth herein.</w:t>
      </w:r>
    </w:p>
    <w:p>
      <w:pPr>
        <w:spacing w:after="0" w:line="170"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2.</w:t>
      </w:r>
      <w:r>
        <w:rPr>
          <w:sz w:val="20"/>
          <w:szCs w:val="20"/>
          <w:color w:val="auto"/>
        </w:rPr>
        <w:tab/>
      </w:r>
      <w:r>
        <w:rPr>
          <w:rFonts w:ascii="Arial" w:cs="Arial" w:eastAsia="Arial" w:hAnsi="Arial"/>
          <w:sz w:val="16"/>
          <w:szCs w:val="16"/>
          <w:u w:val="single" w:color="auto"/>
          <w:color w:val="auto"/>
        </w:rPr>
        <w:t>Identity and Background.</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2 is hereby amended and restated to read as follows:</w:t>
      </w:r>
    </w:p>
    <w:p>
      <w:pPr>
        <w:spacing w:after="0" w:line="225" w:lineRule="exact"/>
        <w:rPr>
          <w:sz w:val="20"/>
          <w:szCs w:val="20"/>
          <w:color w:val="auto"/>
        </w:rPr>
      </w:pPr>
    </w:p>
    <w:p>
      <w:pPr>
        <w:ind w:left="1820" w:hanging="515"/>
        <w:spacing w:after="0"/>
        <w:tabs>
          <w:tab w:leader="none" w:pos="182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This statement is filed by:</w:t>
      </w:r>
    </w:p>
    <w:p>
      <w:pPr>
        <w:spacing w:after="0" w:line="225" w:lineRule="exact"/>
        <w:rPr>
          <w:rFonts w:ascii="Arial" w:cs="Arial" w:eastAsia="Arial" w:hAnsi="Arial"/>
          <w:sz w:val="18"/>
          <w:szCs w:val="18"/>
          <w:color w:val="auto"/>
        </w:rPr>
      </w:pPr>
    </w:p>
    <w:p>
      <w:pPr>
        <w:ind w:left="244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Value and Opportunity Master Fund Ltd, a Cayman Islands exempted company (“Starboard V&amp;O Fund”), with respect to the Shares directly and beneficially owned by it;</w:t>
      </w:r>
    </w:p>
    <w:p>
      <w:pPr>
        <w:spacing w:after="0" w:line="170" w:lineRule="exact"/>
        <w:rPr>
          <w:rFonts w:ascii="Arial" w:cs="Arial" w:eastAsia="Arial" w:hAnsi="Arial"/>
          <w:sz w:val="18"/>
          <w:szCs w:val="18"/>
          <w:color w:val="auto"/>
        </w:rPr>
      </w:pPr>
    </w:p>
    <w:p>
      <w:pPr>
        <w:ind w:left="244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Value and Opportunity S LLC, a Delaware limited liability company (“Starboard S LLC”), with respect to the Shares directly and beneficially owned by it;</w:t>
      </w:r>
    </w:p>
    <w:p>
      <w:pPr>
        <w:spacing w:after="0" w:line="170" w:lineRule="exact"/>
        <w:rPr>
          <w:rFonts w:ascii="Arial" w:cs="Arial" w:eastAsia="Arial" w:hAnsi="Arial"/>
          <w:sz w:val="18"/>
          <w:szCs w:val="18"/>
          <w:color w:val="auto"/>
        </w:rPr>
      </w:pPr>
    </w:p>
    <w:p>
      <w:pPr>
        <w:ind w:left="2440" w:right="2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Value and Opportunity C LP, a Delaware limited partnership (“Starboard C LP”), with respect to the Shares directly and beneficially owned by it;</w:t>
      </w:r>
    </w:p>
    <w:p>
      <w:pPr>
        <w:spacing w:after="0" w:line="170" w:lineRule="exact"/>
        <w:rPr>
          <w:rFonts w:ascii="Arial" w:cs="Arial" w:eastAsia="Arial" w:hAnsi="Arial"/>
          <w:sz w:val="18"/>
          <w:szCs w:val="18"/>
          <w:color w:val="auto"/>
        </w:rPr>
      </w:pPr>
    </w:p>
    <w:p>
      <w:pPr>
        <w:ind w:left="2440" w:right="2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Leaders Juliet LLC, a Delaware limited liability company (“Starboard Juliet LLC”), with respect to the Shares directly and beneficially owned by it;</w:t>
      </w:r>
    </w:p>
    <w:p>
      <w:pPr>
        <w:spacing w:after="0" w:line="170" w:lineRule="exact"/>
        <w:rPr>
          <w:rFonts w:ascii="Arial" w:cs="Arial" w:eastAsia="Arial" w:hAnsi="Arial"/>
          <w:sz w:val="18"/>
          <w:szCs w:val="18"/>
          <w:color w:val="auto"/>
        </w:rPr>
      </w:pPr>
    </w:p>
    <w:p>
      <w:pPr>
        <w:ind w:left="2440" w:hanging="649"/>
        <w:spacing w:after="0"/>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Leaders Fund LP (“Starboard Leaders Fund”), as a member of Starboard Juliet LLC;</w:t>
      </w:r>
    </w:p>
    <w:p>
      <w:pPr>
        <w:spacing w:after="0" w:line="225" w:lineRule="exact"/>
        <w:rPr>
          <w:rFonts w:ascii="Arial" w:cs="Arial" w:eastAsia="Arial" w:hAnsi="Arial"/>
          <w:sz w:val="18"/>
          <w:szCs w:val="18"/>
          <w:color w:val="auto"/>
        </w:rPr>
      </w:pPr>
    </w:p>
    <w:p>
      <w:pPr>
        <w:ind w:left="244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Leaders Select II LP, a Delaware limited partnership (“Starboard Select II LP”), with respect to the Shares directly and beneficially owned by it;</w:t>
      </w:r>
    </w:p>
    <w:p>
      <w:pPr>
        <w:spacing w:after="0" w:line="170" w:lineRule="exact"/>
        <w:rPr>
          <w:rFonts w:ascii="Arial" w:cs="Arial" w:eastAsia="Arial" w:hAnsi="Arial"/>
          <w:sz w:val="18"/>
          <w:szCs w:val="18"/>
          <w:color w:val="auto"/>
        </w:rPr>
      </w:pPr>
    </w:p>
    <w:p>
      <w:pPr>
        <w:ind w:left="2440" w:hanging="649"/>
        <w:spacing w:after="0"/>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Leaders Select II GP LLC (“Starboard Select II GP”), as the general partner of Starboard Select II LP;</w:t>
      </w:r>
    </w:p>
    <w:p>
      <w:pPr>
        <w:spacing w:after="0" w:line="225" w:lineRule="exact"/>
        <w:rPr>
          <w:rFonts w:ascii="Arial" w:cs="Arial" w:eastAsia="Arial" w:hAnsi="Arial"/>
          <w:sz w:val="18"/>
          <w:szCs w:val="18"/>
          <w:color w:val="auto"/>
        </w:rPr>
      </w:pPr>
    </w:p>
    <w:p>
      <w:pPr>
        <w:ind w:left="2440" w:hanging="649"/>
        <w:spacing w:after="0"/>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Leaders Select Fund LP (“Starboard Select Fund”), as the sole member of Starboard Select II GP;</w:t>
      </w:r>
    </w:p>
    <w:p>
      <w:pPr>
        <w:spacing w:after="0" w:line="225" w:lineRule="exact"/>
        <w:rPr>
          <w:rFonts w:ascii="Arial" w:cs="Arial" w:eastAsia="Arial" w:hAnsi="Arial"/>
          <w:sz w:val="18"/>
          <w:szCs w:val="18"/>
          <w:color w:val="auto"/>
        </w:rPr>
      </w:pPr>
    </w:p>
    <w:p>
      <w:pPr>
        <w:ind w:left="2440" w:right="2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T Fund LP, a Delaware limited partnership (“Starboard T LP”), with respect to the Shares directly and beneficially owned by it;</w:t>
      </w:r>
    </w:p>
    <w:p>
      <w:pPr>
        <w:spacing w:after="0" w:line="170" w:lineRule="exact"/>
        <w:rPr>
          <w:rFonts w:ascii="Arial" w:cs="Arial" w:eastAsia="Arial" w:hAnsi="Arial"/>
          <w:sz w:val="18"/>
          <w:szCs w:val="18"/>
          <w:color w:val="auto"/>
        </w:rPr>
      </w:pPr>
    </w:p>
    <w:p>
      <w:pPr>
        <w:ind w:left="2440" w:hanging="649"/>
        <w:spacing w:after="0" w:line="277" w:lineRule="auto"/>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Value A LP (“Starboard A LP”), as the general partner of Starboard Leaders Fund, Starboard Select Fund and Starboard T LP and the managing member of Starboard Juliet LLC;</w:t>
      </w:r>
    </w:p>
    <w:p>
      <w:pPr>
        <w:spacing w:after="0" w:line="170" w:lineRule="exact"/>
        <w:rPr>
          <w:rFonts w:ascii="Arial" w:cs="Arial" w:eastAsia="Arial" w:hAnsi="Arial"/>
          <w:sz w:val="18"/>
          <w:szCs w:val="18"/>
          <w:color w:val="auto"/>
        </w:rPr>
      </w:pPr>
    </w:p>
    <w:p>
      <w:pPr>
        <w:ind w:left="2440" w:hanging="649"/>
        <w:spacing w:after="0"/>
        <w:tabs>
          <w:tab w:leader="none" w:pos="24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Starboard Value A GP LLC (“Starboard A GP”), as the general partner of Starboard A LP;</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4" w:name="page25"/>
    <w:bookmarkEnd w:id="24"/>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2440" w:right="20" w:hanging="649"/>
        <w:spacing w:after="0" w:line="277" w:lineRule="auto"/>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P Fund LP, a Cayman Islands limited partnership (“Starboard P LP”), with respect to the Shares directly and beneficially owned by it;</w:t>
      </w:r>
    </w:p>
    <w:p>
      <w:pPr>
        <w:spacing w:after="0" w:line="170" w:lineRule="exact"/>
        <w:rPr>
          <w:rFonts w:ascii="Arial" w:cs="Arial" w:eastAsia="Arial" w:hAnsi="Arial"/>
          <w:sz w:val="18"/>
          <w:szCs w:val="18"/>
          <w:color w:val="auto"/>
        </w:rPr>
      </w:pPr>
    </w:p>
    <w:p>
      <w:pPr>
        <w:ind w:left="2440" w:hanging="649"/>
        <w:spacing w:after="0"/>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Value P GP LLC (“Starboard P GP”), as the general partner of Starboard P LP;</w:t>
      </w:r>
    </w:p>
    <w:p>
      <w:pPr>
        <w:spacing w:after="0" w:line="225" w:lineRule="exact"/>
        <w:rPr>
          <w:rFonts w:ascii="Arial" w:cs="Arial" w:eastAsia="Arial" w:hAnsi="Arial"/>
          <w:sz w:val="18"/>
          <w:szCs w:val="18"/>
          <w:color w:val="auto"/>
        </w:rPr>
      </w:pPr>
    </w:p>
    <w:p>
      <w:pPr>
        <w:ind w:left="2440" w:hanging="649"/>
        <w:spacing w:after="0"/>
        <w:tabs>
          <w:tab w:leader="none" w:pos="2440" w:val="left"/>
        </w:tabs>
        <w:numPr>
          <w:ilvl w:val="0"/>
          <w:numId w:val="35"/>
        </w:numPr>
        <w:rPr>
          <w:rFonts w:ascii="Arial" w:cs="Arial" w:eastAsia="Arial" w:hAnsi="Arial"/>
          <w:sz w:val="16"/>
          <w:szCs w:val="16"/>
          <w:color w:val="auto"/>
        </w:rPr>
      </w:pPr>
      <w:r>
        <w:rPr>
          <w:rFonts w:ascii="Arial" w:cs="Arial" w:eastAsia="Arial" w:hAnsi="Arial"/>
          <w:sz w:val="16"/>
          <w:szCs w:val="16"/>
          <w:color w:val="auto"/>
        </w:rPr>
        <w:t>Starboard Value R LP (“Starboard R LP”), as the general partner of Starboard C LP and the sole member of Starboard P GP;</w:t>
      </w:r>
    </w:p>
    <w:p>
      <w:pPr>
        <w:spacing w:after="0" w:line="248" w:lineRule="exact"/>
        <w:rPr>
          <w:rFonts w:ascii="Arial" w:cs="Arial" w:eastAsia="Arial" w:hAnsi="Arial"/>
          <w:sz w:val="16"/>
          <w:szCs w:val="16"/>
          <w:color w:val="auto"/>
        </w:rPr>
      </w:pPr>
    </w:p>
    <w:p>
      <w:pPr>
        <w:ind w:left="2440" w:hanging="649"/>
        <w:spacing w:after="0"/>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Value R GP LLC (“Starboard R GP”), as the general partner of Starboard R LP;</w:t>
      </w:r>
    </w:p>
    <w:p>
      <w:pPr>
        <w:spacing w:after="0" w:line="225" w:lineRule="exact"/>
        <w:rPr>
          <w:rFonts w:ascii="Arial" w:cs="Arial" w:eastAsia="Arial" w:hAnsi="Arial"/>
          <w:sz w:val="18"/>
          <w:szCs w:val="18"/>
          <w:color w:val="auto"/>
        </w:rPr>
      </w:pPr>
    </w:p>
    <w:p>
      <w:pPr>
        <w:jc w:val="both"/>
        <w:ind w:left="2440" w:hanging="649"/>
        <w:spacing w:after="0" w:line="264" w:lineRule="auto"/>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Value LP, as the investment manager of Starboard V&amp;O Fund, Starboard C LP, Starboard Juliet LLC, Starboard Select II LP, Starboard T LP, Starboard P LP, Starboard Leaders Fund, Starboard Select Fund and of a certain managed account (the “Starboard Value LP Account”) and the manager of Starboard S LLC;</w:t>
      </w:r>
    </w:p>
    <w:p>
      <w:pPr>
        <w:spacing w:after="0" w:line="181" w:lineRule="exact"/>
        <w:rPr>
          <w:rFonts w:ascii="Arial" w:cs="Arial" w:eastAsia="Arial" w:hAnsi="Arial"/>
          <w:sz w:val="18"/>
          <w:szCs w:val="18"/>
          <w:color w:val="auto"/>
        </w:rPr>
      </w:pPr>
    </w:p>
    <w:p>
      <w:pPr>
        <w:ind w:left="2440" w:hanging="649"/>
        <w:spacing w:after="0"/>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Value GP LLC (“Starboard Value GP”), as the general partner of Starboard Value LP;</w:t>
      </w:r>
    </w:p>
    <w:p>
      <w:pPr>
        <w:spacing w:after="0" w:line="225" w:lineRule="exact"/>
        <w:rPr>
          <w:rFonts w:ascii="Arial" w:cs="Arial" w:eastAsia="Arial" w:hAnsi="Arial"/>
          <w:sz w:val="18"/>
          <w:szCs w:val="18"/>
          <w:color w:val="auto"/>
        </w:rPr>
      </w:pPr>
    </w:p>
    <w:p>
      <w:pPr>
        <w:ind w:left="2440" w:hanging="649"/>
        <w:spacing w:after="0"/>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Principal Co LP (“Principal Co”), as a member of Starboard Value GP;</w:t>
      </w:r>
    </w:p>
    <w:p>
      <w:pPr>
        <w:spacing w:after="0" w:line="225" w:lineRule="exact"/>
        <w:rPr>
          <w:rFonts w:ascii="Arial" w:cs="Arial" w:eastAsia="Arial" w:hAnsi="Arial"/>
          <w:sz w:val="18"/>
          <w:szCs w:val="18"/>
          <w:color w:val="auto"/>
        </w:rPr>
      </w:pPr>
    </w:p>
    <w:p>
      <w:pPr>
        <w:ind w:left="2440" w:hanging="649"/>
        <w:spacing w:after="0"/>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Starboard Principal Co GP LLC (“Principal GP”), as the general partner of Principal Co;</w:t>
      </w:r>
    </w:p>
    <w:p>
      <w:pPr>
        <w:spacing w:after="0" w:line="225" w:lineRule="exact"/>
        <w:rPr>
          <w:rFonts w:ascii="Arial" w:cs="Arial" w:eastAsia="Arial" w:hAnsi="Arial"/>
          <w:sz w:val="18"/>
          <w:szCs w:val="18"/>
          <w:color w:val="auto"/>
        </w:rPr>
      </w:pPr>
    </w:p>
    <w:p>
      <w:pPr>
        <w:ind w:left="2440" w:hanging="649"/>
        <w:spacing w:after="0" w:line="277" w:lineRule="auto"/>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Jeffrey C. Smith, as a member of Principal GP and as a member of each of the Management Committee of Starboard Value GP and the Management Committee of Principal GP;</w:t>
      </w:r>
    </w:p>
    <w:p>
      <w:pPr>
        <w:spacing w:after="0" w:line="170" w:lineRule="exact"/>
        <w:rPr>
          <w:rFonts w:ascii="Arial" w:cs="Arial" w:eastAsia="Arial" w:hAnsi="Arial"/>
          <w:sz w:val="18"/>
          <w:szCs w:val="18"/>
          <w:color w:val="auto"/>
        </w:rPr>
      </w:pPr>
    </w:p>
    <w:p>
      <w:pPr>
        <w:ind w:left="2440" w:hanging="649"/>
        <w:spacing w:after="0" w:line="277" w:lineRule="auto"/>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Mark R. Mitchell, as a member of Principal GP and as a member of each of the Management Committee of Starboard Value GP and the Management Committee of Principal GP; and</w:t>
      </w:r>
    </w:p>
    <w:p>
      <w:pPr>
        <w:spacing w:after="0" w:line="170" w:lineRule="exact"/>
        <w:rPr>
          <w:rFonts w:ascii="Arial" w:cs="Arial" w:eastAsia="Arial" w:hAnsi="Arial"/>
          <w:sz w:val="18"/>
          <w:szCs w:val="18"/>
          <w:color w:val="auto"/>
        </w:rPr>
      </w:pPr>
    </w:p>
    <w:p>
      <w:pPr>
        <w:ind w:left="2440" w:hanging="649"/>
        <w:spacing w:after="0" w:line="277" w:lineRule="auto"/>
        <w:tabs>
          <w:tab w:leader="none" w:pos="2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Peter A. Feld, as a member of Principal GP and as a member of each of the Management Committee of Starboard Value GP and the Management Committee of Principal GP.</w:t>
      </w:r>
    </w:p>
    <w:p>
      <w:pPr>
        <w:spacing w:after="0" w:line="170" w:lineRule="exact"/>
        <w:rPr>
          <w:sz w:val="20"/>
          <w:szCs w:val="20"/>
          <w:color w:val="auto"/>
        </w:rPr>
      </w:pPr>
    </w:p>
    <w:p>
      <w:pPr>
        <w:ind w:firstLine="648"/>
        <w:spacing w:after="0" w:line="308" w:lineRule="auto"/>
        <w:rPr>
          <w:sz w:val="20"/>
          <w:szCs w:val="20"/>
          <w:color w:val="auto"/>
        </w:rPr>
      </w:pPr>
      <w:r>
        <w:rPr>
          <w:rFonts w:ascii="Arial" w:cs="Arial" w:eastAsia="Arial" w:hAnsi="Arial"/>
          <w:sz w:val="17"/>
          <w:szCs w:val="17"/>
          <w:color w:val="auto"/>
        </w:rPr>
        <w:t>Each of the foregoing is referred to as a “Reporting Person” and collectively as the “Reporting Persons.” Each of the Reporting Persons is party to that certain Joint Filing Agreement, as further described in Item 6. Accordingly, the Reporting Persons are hereby filing a joint Schedule 13D.</w:t>
      </w:r>
    </w:p>
    <w:p>
      <w:pPr>
        <w:spacing w:after="0" w:line="147" w:lineRule="exact"/>
        <w:rPr>
          <w:sz w:val="20"/>
          <w:szCs w:val="20"/>
          <w:color w:val="auto"/>
        </w:rPr>
      </w:pPr>
    </w:p>
    <w:p>
      <w:pPr>
        <w:jc w:val="both"/>
        <w:ind w:firstLine="1305"/>
        <w:spacing w:after="0" w:line="291" w:lineRule="auto"/>
        <w:tabs>
          <w:tab w:leader="none" w:pos="188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address of the principal office of each of Starboard S LLC, Starboard C LP, Starboard R LP, Starboard R GP, Starboard Juliet LLC, Starboard Leaders Fund, Starboard Select II LP, Starboard Select II GP, Starboard Select Fund, Starboard T LP, Starboard A LP, Starboard A GP,</w:t>
      </w:r>
    </w:p>
    <w:p>
      <w:pPr>
        <w:jc w:val="both"/>
        <w:spacing w:after="0" w:line="239" w:lineRule="auto"/>
        <w:rPr>
          <w:sz w:val="20"/>
          <w:szCs w:val="20"/>
          <w:color w:val="auto"/>
        </w:rPr>
      </w:pPr>
      <w:r>
        <w:rPr>
          <w:rFonts w:ascii="Arial" w:cs="Arial" w:eastAsia="Arial" w:hAnsi="Arial"/>
          <w:sz w:val="17"/>
          <w:szCs w:val="17"/>
          <w:color w:val="auto"/>
        </w:rPr>
        <w:t>Starboard P GP, Starboard Value LP, Starboard Value GP, Principal Co, Principal GP, and Messrs. Smith, Mitchell and Feld is 777 Third Avenue, 18</w:t>
      </w:r>
      <w:r>
        <w:rPr>
          <w:rFonts w:ascii="Arial" w:cs="Arial" w:eastAsia="Arial" w:hAnsi="Arial"/>
          <w:sz w:val="28"/>
          <w:szCs w:val="28"/>
          <w:color w:val="auto"/>
          <w:vertAlign w:val="superscript"/>
        </w:rPr>
        <w:t>th</w:t>
      </w:r>
      <w:r>
        <w:rPr>
          <w:rFonts w:ascii="Arial" w:cs="Arial" w:eastAsia="Arial" w:hAnsi="Arial"/>
          <w:sz w:val="17"/>
          <w:szCs w:val="17"/>
          <w:color w:val="auto"/>
        </w:rPr>
        <w:t xml:space="preserve"> Floor, New York, New York 10017. The address of the principal office of each of Starboard V&amp;O Fund and Starboard P LP is 89 Nexus Way, Camana Bay, PO Box 31106, Grand Cayman KY1-1205, Cayman Islands. The officers and directors of Starboard V&amp;O Fund and their principal occupations and business addresses are set forth on Schedule A to the Schedule 13D and are incorporated by reference in this Item 2.</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5" w:name="page26"/>
    <w:bookmarkEnd w:id="25"/>
    <w:p>
      <w:pPr>
        <w:spacing w:after="0"/>
        <w:rPr>
          <w:sz w:val="20"/>
          <w:szCs w:val="20"/>
          <w:color w:val="auto"/>
        </w:rPr>
      </w:pPr>
      <w:r>
        <w:rPr>
          <w:rFonts w:ascii="Arial" w:cs="Arial" w:eastAsia="Arial" w:hAnsi="Arial"/>
          <w:sz w:val="22"/>
          <w:szCs w:val="22"/>
          <w:color w:val="auto"/>
        </w:rPr>
        <w:t>CUSIP NO. G5876H105</w:t>
      </w:r>
    </w:p>
    <w:p>
      <w:pPr>
        <w:spacing w:after="0" w:line="321" w:lineRule="exact"/>
        <w:rPr>
          <w:sz w:val="20"/>
          <w:szCs w:val="20"/>
          <w:color w:val="auto"/>
        </w:rPr>
      </w:pPr>
    </w:p>
    <w:p>
      <w:pPr>
        <w:jc w:val="both"/>
        <w:ind w:firstLine="1305"/>
        <w:spacing w:after="0" w:line="286" w:lineRule="auto"/>
        <w:tabs>
          <w:tab w:leader="none" w:pos="1852"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principal business of Starboard V&amp;O Fund is serving as a private investment fund. Starboard V&amp;O Fund has been formed for the purpose of making equity investments and, on occasion, taking an active role in the management of portfolio companies in order to enhance shareholder value. Starboard S LLC, Starboard C LP, Starboard Juliet LLC, Starboard Select II LP, Starboard T LP, and Starboard P LP have been formed for the purpose of investing in securities and engaging in all related activities and transactions. The principal business of each of Starboard Leaders Fund and Starboard Select Fund is serving as a private investment partnership. Starboard Value LP provides investment advisory and management services and acts as the investment manager of Starboard V&amp;O Fund, Starboard C LP, Starboard Juliet LLC, Starboard Select II LP, Starboard T LP, Starboard P LP, Starboard Leaders Fund, Starboard Select Fund and the Starboard Value LP Account and the manager of Starboard S LLC. The principal business of Starboard Value GP is providing a full range of investment advisory, pension advisory and management services and serving as the general partner of Starboard Value LP. The principal business of Principal Co is providing investment advisory and management services. Principal Co is a member of Starboard Value GP. Principal GP serves as the general partner of Principal Co. Starboard R LP serves as the general partner of Starboard C LP. Starboard R GP serves as the general partner of Starboard R LP. Starboard Select II GP serves as the general partner of Starboard Select II LP. Starboard A LP serves as the general partner of Starboard Leaders Fund, Starboard Select Fund and Starboard T LP and the managing member of Starboard Juliet LLC. Starboard A GP serves as the general partner of Starboard A LP. Starboard P GP serves as the general partner of Starboard P LP. Messrs. Smith, Mitchell and Feld serve as members of Principal GP and the members of each of the Management Committee of Starboard Value GP and the Management Committee of Principal GP.</w:t>
      </w:r>
    </w:p>
    <w:p>
      <w:pPr>
        <w:spacing w:after="0" w:line="171" w:lineRule="exact"/>
        <w:rPr>
          <w:rFonts w:ascii="Arial" w:cs="Arial" w:eastAsia="Arial" w:hAnsi="Arial"/>
          <w:sz w:val="16"/>
          <w:szCs w:val="16"/>
          <w:color w:val="auto"/>
        </w:rPr>
      </w:pPr>
    </w:p>
    <w:p>
      <w:pPr>
        <w:ind w:firstLine="1305"/>
        <w:spacing w:after="0" w:line="277" w:lineRule="auto"/>
        <w:tabs>
          <w:tab w:leader="none" w:pos="1831" w:val="left"/>
        </w:tabs>
        <w:numPr>
          <w:ilvl w:val="0"/>
          <w:numId w:val="37"/>
        </w:numPr>
        <w:rPr>
          <w:rFonts w:ascii="Arial" w:cs="Arial" w:eastAsia="Arial" w:hAnsi="Arial"/>
          <w:sz w:val="18"/>
          <w:szCs w:val="18"/>
          <w:color w:val="auto"/>
        </w:rPr>
      </w:pPr>
      <w:r>
        <w:rPr>
          <w:rFonts w:ascii="Arial" w:cs="Arial" w:eastAsia="Arial" w:hAnsi="Arial"/>
          <w:sz w:val="18"/>
          <w:szCs w:val="18"/>
          <w:color w:val="auto"/>
        </w:rPr>
        <w:t>No Reporting Person, nor any person listed on Schedule A to the Schedule 13D, annexed hereto, has, during the last five years, been convicted in a criminal proceeding (excluding traffic violations or similar misdemeanors).</w:t>
      </w:r>
    </w:p>
    <w:p>
      <w:pPr>
        <w:spacing w:after="0" w:line="170" w:lineRule="exact"/>
        <w:rPr>
          <w:rFonts w:ascii="Arial" w:cs="Arial" w:eastAsia="Arial" w:hAnsi="Arial"/>
          <w:sz w:val="18"/>
          <w:szCs w:val="18"/>
          <w:color w:val="auto"/>
        </w:rPr>
      </w:pPr>
    </w:p>
    <w:p>
      <w:pPr>
        <w:jc w:val="both"/>
        <w:ind w:firstLine="1305"/>
        <w:spacing w:after="0" w:line="259" w:lineRule="auto"/>
        <w:tabs>
          <w:tab w:leader="none" w:pos="1824" w:val="left"/>
        </w:tabs>
        <w:numPr>
          <w:ilvl w:val="0"/>
          <w:numId w:val="37"/>
        </w:numPr>
        <w:rPr>
          <w:rFonts w:ascii="Arial" w:cs="Arial" w:eastAsia="Arial" w:hAnsi="Arial"/>
          <w:sz w:val="18"/>
          <w:szCs w:val="18"/>
          <w:color w:val="auto"/>
        </w:rPr>
      </w:pPr>
      <w:r>
        <w:rPr>
          <w:rFonts w:ascii="Arial" w:cs="Arial" w:eastAsia="Arial" w:hAnsi="Arial"/>
          <w:sz w:val="18"/>
          <w:szCs w:val="18"/>
          <w:color w:val="auto"/>
        </w:rPr>
        <w:t>No Reporting Person, nor any person listed on Schedule A to the Schedule 13D, annexed hereto, has, during the last five years, been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186" w:lineRule="exact"/>
        <w:rPr>
          <w:rFonts w:ascii="Arial" w:cs="Arial" w:eastAsia="Arial" w:hAnsi="Arial"/>
          <w:sz w:val="18"/>
          <w:szCs w:val="18"/>
          <w:color w:val="auto"/>
        </w:rPr>
      </w:pPr>
    </w:p>
    <w:p>
      <w:pPr>
        <w:ind w:firstLine="1305"/>
        <w:spacing w:after="0" w:line="277" w:lineRule="auto"/>
        <w:tabs>
          <w:tab w:leader="none" w:pos="1804" w:val="left"/>
        </w:tabs>
        <w:numPr>
          <w:ilvl w:val="0"/>
          <w:numId w:val="37"/>
        </w:numPr>
        <w:rPr>
          <w:rFonts w:ascii="Arial" w:cs="Arial" w:eastAsia="Arial" w:hAnsi="Arial"/>
          <w:sz w:val="18"/>
          <w:szCs w:val="18"/>
          <w:color w:val="auto"/>
        </w:rPr>
      </w:pPr>
      <w:r>
        <w:rPr>
          <w:rFonts w:ascii="Arial" w:cs="Arial" w:eastAsia="Arial" w:hAnsi="Arial"/>
          <w:sz w:val="18"/>
          <w:szCs w:val="18"/>
          <w:color w:val="auto"/>
        </w:rPr>
        <w:t>Messrs. Smith, Mitchell and Feld are citizens of the United States of America. The citizenship of the persons listed on Schedule A to the Schedule 13D is set forth therein.</w:t>
      </w:r>
    </w:p>
    <w:p>
      <w:pPr>
        <w:spacing w:after="0" w:line="170"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u w:val="single" w:color="auto"/>
          <w:color w:val="auto"/>
        </w:rPr>
        <w:t>Source and Amount of Funds or Other Consideration</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3 is hereby amended and restated to read as follows:</w:t>
      </w:r>
    </w:p>
    <w:p>
      <w:pPr>
        <w:spacing w:after="0" w:line="225" w:lineRule="exact"/>
        <w:rPr>
          <w:sz w:val="20"/>
          <w:szCs w:val="20"/>
          <w:color w:val="auto"/>
        </w:rPr>
      </w:pPr>
    </w:p>
    <w:p>
      <w:pPr>
        <w:jc w:val="both"/>
        <w:ind w:firstLine="1297"/>
        <w:spacing w:after="0" w:line="267" w:lineRule="auto"/>
        <w:rPr>
          <w:sz w:val="20"/>
          <w:szCs w:val="20"/>
          <w:color w:val="auto"/>
        </w:rPr>
      </w:pPr>
      <w:r>
        <w:rPr>
          <w:rFonts w:ascii="Arial" w:cs="Arial" w:eastAsia="Arial" w:hAnsi="Arial"/>
          <w:sz w:val="17"/>
          <w:szCs w:val="17"/>
          <w:color w:val="auto"/>
        </w:rPr>
        <w:t>The Shares purchased by each of Starboard V&amp;O Fund, Starboard S LLC, Starboard C LP, Starboard Juliet LLC, Starboard Select II LP, Starboard T LP, and Starboard P LP, and held in the Starboard Value LP Account were purchased with working capital (which may, at any given time, include margin loans made by brokerage firms in the ordinary course of business) in open market purchases, except as otherwise noted, as set forth in Schedule A, which is incorporated by reference herein. The aggregate purchase price of the 13,495,491 Shares beneficially owned by Starboard V&amp;O Fund is approximately $114,184,450, excluding brokerage commissions. The aggregate purchase price of the entered into over-the-counter forward purchase contract providing for the purchase of 446,918 Shares by Starboard V&amp;O Fund is approximately $7,837,422, excluding brokerage commissions. The aggregate purchase price of the 1,788,471 Shares beneficially owned by Starboard S LLC is approximately $16,972,456, excluding brokerage commissions. The aggregate purchase price of the 1,023,203 Shares beneficially owned by Starboard C LP is approximately $10,017,322, excluding brokerage commissions. The aggregate purchase price of the 9,310,245 Shares beneficially owned by Starboard Juliet LLC is approximately $76,534,955, excluding brokerage commissions. The aggregate purchase price of the entered into over-the-counter forward purchase contracts providing for the purchase of 449,783 Shares by Starboard Juliet LLC is approximately $8,390,865, excluding brokerage commissions. The aggregate purchase price of the 1,775,755 Shares beneficially owned by Starboard Select II LP is approximately $14,605,809, excluding brokerage commissions. The aggregate purchase price of the entered into over-the-counter forward purchase contracts providing for the purchase of 2,200,000 Shares by Starboard Select II LP is approximately $40,517,510, excluding brokerage commissions. The aggregate purchase price of the 2,883,842 Shares beneficially owned by Starboard T LP is approximately $24,054,941, excluding brokerage commissions. The aggregate purchase price of the 2,806,740 Shares beneficially owned by Starboard P LP is approximately $49,670,906, excluding brokerage commissions. The aggregate purchase price of the 2,350,338 Shares held in the Starboard Value LP Account is approximately $26,156,688, excluding brokerage commissions.</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6" w:name="page27"/>
    <w:bookmarkEnd w:id="26"/>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spacing w:after="0"/>
        <w:rPr>
          <w:sz w:val="20"/>
          <w:szCs w:val="20"/>
          <w:color w:val="auto"/>
        </w:rPr>
      </w:pPr>
      <w:r>
        <w:rPr>
          <w:rFonts w:ascii="Arial" w:cs="Arial" w:eastAsia="Arial" w:hAnsi="Arial"/>
          <w:sz w:val="17"/>
          <w:szCs w:val="17"/>
          <w:color w:val="auto"/>
        </w:rPr>
        <w:t>The 33,204 Shares beneficially owned by Mr. Feld were granted to Mr. Feld by the Issuer in his capacity as a director of the Issuer.</w:t>
      </w:r>
    </w:p>
    <w:p>
      <w:pPr>
        <w:spacing w:after="0" w:line="23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u w:val="single" w:color="auto"/>
          <w:color w:val="auto"/>
        </w:rPr>
        <w:t>Purpose of Transaction.</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4 is hereby amended to add the following:</w:t>
      </w:r>
    </w:p>
    <w:p>
      <w:pPr>
        <w:spacing w:after="0" w:line="225" w:lineRule="exact"/>
        <w:rPr>
          <w:sz w:val="20"/>
          <w:szCs w:val="20"/>
          <w:color w:val="auto"/>
        </w:rPr>
      </w:pPr>
    </w:p>
    <w:p>
      <w:pPr>
        <w:jc w:val="both"/>
        <w:ind w:firstLine="1297"/>
        <w:spacing w:after="0" w:line="342" w:lineRule="auto"/>
        <w:rPr>
          <w:sz w:val="20"/>
          <w:szCs w:val="20"/>
          <w:color w:val="auto"/>
        </w:rPr>
      </w:pPr>
      <w:r>
        <w:rPr>
          <w:rFonts w:ascii="Arial" w:cs="Arial" w:eastAsia="Arial" w:hAnsi="Arial"/>
          <w:sz w:val="16"/>
          <w:szCs w:val="16"/>
          <w:color w:val="auto"/>
        </w:rPr>
        <w:t>On October 24, 2018, at the Capitalize for Kids Investors Conference held in Toronto, Canada, the Reporting Persons issued a presentation in connection with their investment in the Issuer. The presentation is attached hereto as Exhibit 99.2 and is incorporated herein by reference.</w:t>
      </w:r>
    </w:p>
    <w:p>
      <w:pPr>
        <w:spacing w:after="0" w:line="124"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u w:val="single" w:color="auto"/>
          <w:color w:val="auto"/>
        </w:rPr>
        <w:t>Interest in Securities of the Issuer.</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5 is hereby amended and restated to read as follows:</w:t>
      </w:r>
    </w:p>
    <w:p>
      <w:pPr>
        <w:spacing w:after="0" w:line="225"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The aggregate percentage of Shares reported owned by each person named herein is based upon 658,400,000 Shares outstanding, as of September 5, 2018, which is the total number of Shares outstanding as reported in the Issuer’s Quarterly Report on Form 10-Q filed with the Securities and Exchange Commission on September 12, 2018.</w:t>
      </w:r>
    </w:p>
    <w:p>
      <w:pPr>
        <w:spacing w:after="0" w:line="181" w:lineRule="exact"/>
        <w:rPr>
          <w:sz w:val="20"/>
          <w:szCs w:val="20"/>
          <w:color w:val="auto"/>
        </w:rPr>
      </w:pPr>
    </w:p>
    <w:p>
      <w:pPr>
        <w:ind w:left="660" w:hanging="652"/>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Starboard V&amp;O Fund</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V&amp;O Fund beneficially owned 13,942,409 Shares, including 446,918 Shares underlying certain forward purchase contracts.</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2.1%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1. Sole power to vote or direct vote: 13,942,409</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8"/>
        </w:numPr>
        <w:rPr>
          <w:rFonts w:ascii="Arial" w:cs="Arial" w:eastAsia="Arial" w:hAnsi="Arial"/>
          <w:sz w:val="18"/>
          <w:szCs w:val="18"/>
          <w:color w:val="auto"/>
        </w:rPr>
      </w:pPr>
      <w:r>
        <w:rPr>
          <w:rFonts w:ascii="Arial" w:cs="Arial" w:eastAsia="Arial" w:hAnsi="Arial"/>
          <w:sz w:val="18"/>
          <w:szCs w:val="18"/>
          <w:color w:val="auto"/>
        </w:rPr>
        <w:t>Sole power to dispose or direct the disposition: 13,942,409</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The transactions in the Shares by Starboard V&amp;O Fund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Starboard S LLC</w:t>
      </w:r>
    </w:p>
    <w:p>
      <w:pPr>
        <w:spacing w:after="0" w:line="225" w:lineRule="exact"/>
        <w:rPr>
          <w:rFonts w:ascii="Arial" w:cs="Arial" w:eastAsia="Arial" w:hAnsi="Arial"/>
          <w:sz w:val="18"/>
          <w:szCs w:val="18"/>
          <w:color w:val="auto"/>
        </w:rPr>
      </w:pPr>
    </w:p>
    <w:p>
      <w:pPr>
        <w:ind w:left="1300" w:right="2600" w:hanging="644"/>
        <w:spacing w:after="0" w:line="501" w:lineRule="auto"/>
        <w:tabs>
          <w:tab w:leader="none" w:pos="13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S LLC beneficially owned 1,788,471 Shares. Percentage: Less than 1%</w:t>
      </w: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7" w:name="page28"/>
    <w:bookmarkEnd w:id="27"/>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1. Sole power to vote or direct vote: 1,788,471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Sole power to dispose or direct the disposition: 1,788,471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The transactions in the Shares by Starboard S LLC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C LP</w:t>
      </w:r>
    </w:p>
    <w:p>
      <w:pPr>
        <w:spacing w:after="0" w:line="225" w:lineRule="exact"/>
        <w:rPr>
          <w:rFonts w:ascii="Arial" w:cs="Arial" w:eastAsia="Arial" w:hAnsi="Arial"/>
          <w:sz w:val="18"/>
          <w:szCs w:val="18"/>
          <w:color w:val="auto"/>
        </w:rPr>
      </w:pPr>
    </w:p>
    <w:p>
      <w:pPr>
        <w:ind w:left="1300" w:right="2700" w:hanging="644"/>
        <w:spacing w:after="0" w:line="501" w:lineRule="auto"/>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C LP beneficially owned 1,023,203 Shares. Percentage: Less than 1%</w:t>
      </w:r>
    </w:p>
    <w:p>
      <w:pPr>
        <w:ind w:left="1300" w:hanging="644"/>
        <w:spacing w:after="0"/>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1. Sole power to vote or direct vote: 1,023,203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0"/>
        </w:numPr>
        <w:rPr>
          <w:rFonts w:ascii="Arial" w:cs="Arial" w:eastAsia="Arial" w:hAnsi="Arial"/>
          <w:sz w:val="18"/>
          <w:szCs w:val="18"/>
          <w:color w:val="auto"/>
        </w:rPr>
      </w:pPr>
      <w:r>
        <w:rPr>
          <w:rFonts w:ascii="Arial" w:cs="Arial" w:eastAsia="Arial" w:hAnsi="Arial"/>
          <w:sz w:val="18"/>
          <w:szCs w:val="18"/>
          <w:color w:val="auto"/>
        </w:rPr>
        <w:t>Sole power to dispose or direct the disposition: 1,023,203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transactions in the Shares by Starboard C LP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Juliet LLC</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Juliet LLC beneficially owned 9,760,028 Shares, including 449,783 Shares underlying certain forward purchase contracts.</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1.5%</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1. Sole power to vote or direct vote: 9,760,028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0"/>
        </w:numPr>
        <w:rPr>
          <w:rFonts w:ascii="Arial" w:cs="Arial" w:eastAsia="Arial" w:hAnsi="Arial"/>
          <w:sz w:val="18"/>
          <w:szCs w:val="18"/>
          <w:color w:val="auto"/>
        </w:rPr>
      </w:pPr>
      <w:r>
        <w:rPr>
          <w:rFonts w:ascii="Arial" w:cs="Arial" w:eastAsia="Arial" w:hAnsi="Arial"/>
          <w:sz w:val="18"/>
          <w:szCs w:val="18"/>
          <w:color w:val="auto"/>
        </w:rPr>
        <w:t>Sole power to dispose or direct the disposition: 9,760,028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transactions in the Shares by Starboard Juliet LLC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Leaders Fund</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Starboard Leaders Fund, as a member of Starboard Juliet LLC, may be deemed the beneficial owner of the 9,760,028 Shares owned by Starboard Juliet LLC.</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8" w:name="page29"/>
    <w:bookmarkEnd w:id="28"/>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41"/>
        </w:numPr>
        <w:rPr>
          <w:rFonts w:ascii="Arial" w:cs="Arial" w:eastAsia="Arial" w:hAnsi="Arial"/>
          <w:sz w:val="18"/>
          <w:szCs w:val="18"/>
          <w:color w:val="auto"/>
        </w:rPr>
      </w:pPr>
      <w:r>
        <w:rPr>
          <w:rFonts w:ascii="Arial" w:cs="Arial" w:eastAsia="Arial" w:hAnsi="Arial"/>
          <w:sz w:val="18"/>
          <w:szCs w:val="18"/>
          <w:color w:val="auto"/>
        </w:rPr>
        <w:t>1. Sole power to vote or direct vote: 9,760,028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1"/>
        </w:numPr>
        <w:rPr>
          <w:rFonts w:ascii="Arial" w:cs="Arial" w:eastAsia="Arial" w:hAnsi="Arial"/>
          <w:sz w:val="18"/>
          <w:szCs w:val="18"/>
          <w:color w:val="auto"/>
        </w:rPr>
      </w:pPr>
      <w:r>
        <w:rPr>
          <w:rFonts w:ascii="Arial" w:cs="Arial" w:eastAsia="Arial" w:hAnsi="Arial"/>
          <w:sz w:val="18"/>
          <w:szCs w:val="18"/>
          <w:color w:val="auto"/>
        </w:rPr>
        <w:t>Sole power to dispose or direct the disposition: 9,760,028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41"/>
        </w:numPr>
        <w:rPr>
          <w:rFonts w:ascii="Arial" w:cs="Arial" w:eastAsia="Arial" w:hAnsi="Arial"/>
          <w:sz w:val="17"/>
          <w:szCs w:val="17"/>
          <w:color w:val="auto"/>
        </w:rPr>
      </w:pPr>
      <w:r>
        <w:rPr>
          <w:rFonts w:ascii="Arial" w:cs="Arial" w:eastAsia="Arial" w:hAnsi="Arial"/>
          <w:sz w:val="17"/>
          <w:szCs w:val="17"/>
          <w:color w:val="auto"/>
        </w:rPr>
        <w:t>Starboard Leaders Fund has not entered into any transactions in the Shares during the past sixty days. The transactions in the Shares on behalf of Starboard Juliet LLC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Starboard Select II LP</w:t>
      </w:r>
    </w:p>
    <w:p>
      <w:pPr>
        <w:spacing w:after="0" w:line="225"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Select II LP beneficially owned 3,975,755 Shares, including 2,200,000 Shares underlying certain forward purchase contracts.</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1. Sole power to vote or direct vote: 3,975,755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3,975,755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transactions in the Shares by Starboard Select II LP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Starboard Select II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Starboard Select II GP, as the general partner of Starboard Select II LP, may be deemed the beneficial owner of the 3,975,755 Shares owned by Starboard Select II LP.</w:t>
      </w:r>
    </w:p>
    <w:p>
      <w:pPr>
        <w:spacing w:after="0" w:line="170"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Percentage: Less than 1%</w:t>
      </w:r>
    </w:p>
    <w:p>
      <w:pPr>
        <w:spacing w:after="0" w:line="225" w:lineRule="exact"/>
        <w:rPr>
          <w:sz w:val="20"/>
          <w:szCs w:val="20"/>
          <w:color w:val="auto"/>
        </w:rPr>
      </w:pPr>
    </w:p>
    <w:p>
      <w:pPr>
        <w:ind w:left="1300" w:hanging="644"/>
        <w:spacing w:after="0"/>
        <w:tabs>
          <w:tab w:leader="none" w:pos="13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1. Sole power to vote or direct vote: 3,975,755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Sole power to dispose or direct the disposition: 3,975,755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43"/>
        </w:numPr>
        <w:rPr>
          <w:rFonts w:ascii="Arial" w:cs="Arial" w:eastAsia="Arial" w:hAnsi="Arial"/>
          <w:sz w:val="17"/>
          <w:szCs w:val="17"/>
          <w:color w:val="auto"/>
        </w:rPr>
      </w:pPr>
      <w:r>
        <w:rPr>
          <w:rFonts w:ascii="Arial" w:cs="Arial" w:eastAsia="Arial" w:hAnsi="Arial"/>
          <w:sz w:val="17"/>
          <w:szCs w:val="17"/>
          <w:color w:val="auto"/>
        </w:rPr>
        <w:t>Starboard Select II GP has not entered into any transactions in the Shares during the past sixty days. The transactions in the Shares on behalf of Starboard Select II LP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Starboard Select Fund</w:t>
      </w:r>
    </w:p>
    <w:p>
      <w:pPr>
        <w:spacing w:after="0" w:line="225"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Starboard Select Fund, as the sole member of Starboard Select II GP, may be deemed the beneficial owner of the 3,975,755 Shares owned by Starboard Select II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9" w:name="page30"/>
    <w:bookmarkEnd w:id="29"/>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1. Sole power to vote or direct vote: 3,975,755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Sole power to dispose or direct the disposition: 3,975,755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45"/>
        </w:numPr>
        <w:rPr>
          <w:rFonts w:ascii="Arial" w:cs="Arial" w:eastAsia="Arial" w:hAnsi="Arial"/>
          <w:sz w:val="17"/>
          <w:szCs w:val="17"/>
          <w:color w:val="auto"/>
        </w:rPr>
      </w:pPr>
      <w:r>
        <w:rPr>
          <w:rFonts w:ascii="Arial" w:cs="Arial" w:eastAsia="Arial" w:hAnsi="Arial"/>
          <w:sz w:val="17"/>
          <w:szCs w:val="17"/>
          <w:color w:val="auto"/>
        </w:rPr>
        <w:t>Starboard Select Fund has not entered into any transactions in the Shares during the past sixty days. The transactions in the Shares on behalf of Starboard Select II LP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Starboard T LP</w:t>
      </w:r>
    </w:p>
    <w:p>
      <w:pPr>
        <w:spacing w:after="0" w:line="225" w:lineRule="exact"/>
        <w:rPr>
          <w:rFonts w:ascii="Arial" w:cs="Arial" w:eastAsia="Arial" w:hAnsi="Arial"/>
          <w:sz w:val="18"/>
          <w:szCs w:val="18"/>
          <w:color w:val="auto"/>
        </w:rPr>
      </w:pPr>
    </w:p>
    <w:p>
      <w:pPr>
        <w:ind w:left="1300" w:right="2720" w:hanging="644"/>
        <w:spacing w:after="0" w:line="501" w:lineRule="auto"/>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T LP beneficially owned 2,883,842 Shares. Percentage: Less than 1%</w:t>
      </w:r>
    </w:p>
    <w:p>
      <w:pPr>
        <w:ind w:left="1300" w:hanging="644"/>
        <w:spacing w:after="0"/>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1. Sole power to vote or direct vote: 2,883,842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6"/>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2,883,842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Starboard T LP has not entered into any transactions in the Shares during the past sixty days.</w:t>
      </w:r>
    </w:p>
    <w:p>
      <w:pPr>
        <w:spacing w:after="0" w:line="225" w:lineRule="exact"/>
        <w:rPr>
          <w:rFonts w:ascii="Arial" w:cs="Arial" w:eastAsia="Arial" w:hAnsi="Arial"/>
          <w:sz w:val="18"/>
          <w:szCs w:val="18"/>
          <w:color w:val="auto"/>
        </w:rPr>
      </w:pPr>
    </w:p>
    <w:p>
      <w:pPr>
        <w:ind w:left="660" w:hanging="652"/>
        <w:spacing w:after="0"/>
        <w:tabs>
          <w:tab w:leader="none" w:pos="6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Starboard P LP</w:t>
      </w:r>
    </w:p>
    <w:p>
      <w:pPr>
        <w:spacing w:after="0" w:line="225" w:lineRule="exact"/>
        <w:rPr>
          <w:rFonts w:ascii="Arial" w:cs="Arial" w:eastAsia="Arial" w:hAnsi="Arial"/>
          <w:sz w:val="18"/>
          <w:szCs w:val="18"/>
          <w:color w:val="auto"/>
        </w:rPr>
      </w:pPr>
    </w:p>
    <w:p>
      <w:pPr>
        <w:ind w:left="1300" w:right="2720" w:hanging="644"/>
        <w:spacing w:after="0" w:line="501" w:lineRule="auto"/>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As of the close of business on October 24, 2018, Starboard P LP beneficially owned 2,806,740 Shares. Percentage: Less than 1%</w:t>
      </w:r>
    </w:p>
    <w:p>
      <w:pPr>
        <w:ind w:left="1300" w:hanging="644"/>
        <w:spacing w:after="0"/>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1. Sole power to vote or direct vote: 2,806,740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6"/>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2,806,740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The transactions in the Shares by Starboard P LP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Starboard P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Starboard P GP, as the general partner of Starboard P LP, may be deemed the beneficial owner of the 2,806,740 Shares owned by Starboard P LP.</w:t>
      </w:r>
    </w:p>
    <w:p>
      <w:pPr>
        <w:spacing w:after="0" w:line="170"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Percentage: Less than 1%</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0" w:name="page31"/>
    <w:bookmarkEnd w:id="30"/>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1. Sole power to vote or direct vote: 2,806,740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2,806,740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right="300" w:hanging="644"/>
        <w:spacing w:after="0" w:line="308" w:lineRule="auto"/>
        <w:tabs>
          <w:tab w:leader="none" w:pos="1300" w:val="left"/>
        </w:tabs>
        <w:numPr>
          <w:ilvl w:val="1"/>
          <w:numId w:val="47"/>
        </w:numPr>
        <w:rPr>
          <w:rFonts w:ascii="Arial" w:cs="Arial" w:eastAsia="Arial" w:hAnsi="Arial"/>
          <w:sz w:val="17"/>
          <w:szCs w:val="17"/>
          <w:color w:val="auto"/>
        </w:rPr>
      </w:pPr>
      <w:r>
        <w:rPr>
          <w:rFonts w:ascii="Arial" w:cs="Arial" w:eastAsia="Arial" w:hAnsi="Arial"/>
          <w:sz w:val="17"/>
          <w:szCs w:val="17"/>
          <w:color w:val="auto"/>
        </w:rPr>
        <w:t>Starboard P GP has not entered into any transactions in the Shares during the past sixty days. The transactions in the Shares on behalf of Starboard P LP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Starboard R LP</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Starboard R LP, as the general partner of Starboard C LP and sole member of Starboard P GP, may be deemed the beneficial owner of the</w:t>
      </w:r>
    </w:p>
    <w:p>
      <w:pPr>
        <w:spacing w:after="0" w:line="46" w:lineRule="exact"/>
        <w:rPr>
          <w:rFonts w:ascii="Arial" w:cs="Arial" w:eastAsia="Arial" w:hAnsi="Arial"/>
          <w:sz w:val="16"/>
          <w:szCs w:val="16"/>
          <w:color w:val="auto"/>
        </w:rPr>
      </w:pPr>
    </w:p>
    <w:p>
      <w:pPr>
        <w:ind w:left="1300" w:right="2960"/>
        <w:spacing w:after="0" w:line="492" w:lineRule="auto"/>
        <w:rPr>
          <w:rFonts w:ascii="Arial" w:cs="Arial" w:eastAsia="Arial" w:hAnsi="Arial"/>
          <w:sz w:val="16"/>
          <w:szCs w:val="16"/>
          <w:color w:val="auto"/>
        </w:rPr>
      </w:pPr>
      <w:r>
        <w:rPr>
          <w:rFonts w:ascii="Arial" w:cs="Arial" w:eastAsia="Arial" w:hAnsi="Arial"/>
          <w:sz w:val="18"/>
          <w:szCs w:val="18"/>
          <w:color w:val="auto"/>
        </w:rPr>
        <w:t>(i) 1,023,203 Shares owned by Starboard C LP and (ii) 2,806,740 Shares owned by Starboard P LP. Percentage: Less than 1%</w:t>
      </w:r>
    </w:p>
    <w:p>
      <w:pPr>
        <w:spacing w:after="0" w:line="1" w:lineRule="exact"/>
        <w:rPr>
          <w:rFonts w:ascii="Arial" w:cs="Arial" w:eastAsia="Arial" w:hAnsi="Arial"/>
          <w:sz w:val="16"/>
          <w:szCs w:val="16"/>
          <w:color w:val="auto"/>
        </w:rPr>
      </w:pPr>
    </w:p>
    <w:p>
      <w:pPr>
        <w:ind w:left="1300" w:hanging="644"/>
        <w:spacing w:after="0"/>
        <w:tabs>
          <w:tab w:leader="none" w:pos="13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1. Sole power to vote or direct vote: 3,829,943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3,829,943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42" w:lineRule="auto"/>
        <w:tabs>
          <w:tab w:leader="none" w:pos="13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Starboard R LP has not entered into any transactions in the Shares during the past sixty days. The transactions in the Shares on behalf of Starboard C LP and Starboard P LP during the past sixty days are set forth in Schedule A and are incorporated herein by reference.</w:t>
      </w:r>
    </w:p>
    <w:p>
      <w:pPr>
        <w:spacing w:after="0" w:line="123" w:lineRule="exact"/>
        <w:rPr>
          <w:rFonts w:ascii="Arial" w:cs="Arial" w:eastAsia="Arial" w:hAnsi="Arial"/>
          <w:sz w:val="16"/>
          <w:szCs w:val="16"/>
          <w:color w:val="auto"/>
        </w:rPr>
      </w:pPr>
    </w:p>
    <w:p>
      <w:pPr>
        <w:ind w:left="660" w:hanging="652"/>
        <w:spacing w:after="0"/>
        <w:tabs>
          <w:tab w:leader="none" w:pos="6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Starboard R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Starboard R GP, as the general partner of Starboard R LP, may be deemed the beneficial owner of the (i) 1,023,203 Shares owned by Starboard C LP and (ii) 2,806,740 Shares owned by Starboard P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1" w:name="page32"/>
    <w:bookmarkEnd w:id="31"/>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1. Sole power to vote or direct vote: 3,829,943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3,829,943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42" w:lineRule="auto"/>
        <w:tabs>
          <w:tab w:leader="none" w:pos="1300" w:val="left"/>
        </w:tabs>
        <w:numPr>
          <w:ilvl w:val="1"/>
          <w:numId w:val="49"/>
        </w:numPr>
        <w:rPr>
          <w:rFonts w:ascii="Arial" w:cs="Arial" w:eastAsia="Arial" w:hAnsi="Arial"/>
          <w:sz w:val="16"/>
          <w:szCs w:val="16"/>
          <w:color w:val="auto"/>
        </w:rPr>
      </w:pPr>
      <w:r>
        <w:rPr>
          <w:rFonts w:ascii="Arial" w:cs="Arial" w:eastAsia="Arial" w:hAnsi="Arial"/>
          <w:sz w:val="16"/>
          <w:szCs w:val="16"/>
          <w:color w:val="auto"/>
        </w:rPr>
        <w:t>Starboard R GP has not entered into any transactions in the Shares during the past sixty days. The transactions in the Shares on behalf of Starboard C LP and Starboard P LP during the past sixty days are set forth in Schedule A and are incorporated herein by reference.</w:t>
      </w:r>
    </w:p>
    <w:p>
      <w:pPr>
        <w:spacing w:after="0" w:line="123" w:lineRule="exact"/>
        <w:rPr>
          <w:rFonts w:ascii="Arial" w:cs="Arial" w:eastAsia="Arial" w:hAnsi="Arial"/>
          <w:sz w:val="16"/>
          <w:szCs w:val="16"/>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Starboard A LP</w:t>
      </w:r>
    </w:p>
    <w:p>
      <w:pPr>
        <w:spacing w:after="0" w:line="225" w:lineRule="exact"/>
        <w:rPr>
          <w:rFonts w:ascii="Arial" w:cs="Arial" w:eastAsia="Arial" w:hAnsi="Arial"/>
          <w:sz w:val="18"/>
          <w:szCs w:val="18"/>
          <w:color w:val="auto"/>
        </w:rPr>
      </w:pPr>
    </w:p>
    <w:p>
      <w:pPr>
        <w:jc w:val="both"/>
        <w:ind w:left="1300" w:hanging="644"/>
        <w:spacing w:after="0" w:line="286" w:lineRule="auto"/>
        <w:tabs>
          <w:tab w:leader="none" w:pos="1300" w:val="left"/>
        </w:tabs>
        <w:numPr>
          <w:ilvl w:val="1"/>
          <w:numId w:val="50"/>
        </w:numPr>
        <w:rPr>
          <w:rFonts w:ascii="Arial" w:cs="Arial" w:eastAsia="Arial" w:hAnsi="Arial"/>
          <w:sz w:val="17"/>
          <w:szCs w:val="17"/>
          <w:color w:val="auto"/>
        </w:rPr>
      </w:pPr>
      <w:r>
        <w:rPr>
          <w:rFonts w:ascii="Arial" w:cs="Arial" w:eastAsia="Arial" w:hAnsi="Arial"/>
          <w:sz w:val="17"/>
          <w:szCs w:val="17"/>
          <w:color w:val="auto"/>
        </w:rPr>
        <w:t>Starboard A LP, as the general partner of Starboard Leaders Fund, Starboard Select Fund and Starboard T LP and the managing member of Starboard Juliet LLC, may be deemed the beneficial owner of the (i) 9,760,028 Shares owned by Starboard Juliet LLC, (ii) 3,975,755 Shares owned by Starboard Select II LP and (iii) 2,883,842 Shares owned by Starboard T LP.</w:t>
      </w:r>
    </w:p>
    <w:p>
      <w:pPr>
        <w:spacing w:after="0" w:line="165"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2.5%</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1. Sole power to vote or direct vote: 16,619,625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Sole power to dispose or direct the disposition: 16,619,625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Starboard A LP has not entered into any transactions in the Shares during the past sixty days. The transactions in the Shares on behalf of Starboard Juliet LLC and Starboard Select II LP during the past sixty days are set forth in Schedule A and are incorporated herein by reference.</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Starboard A GP</w:t>
      </w:r>
    </w:p>
    <w:p>
      <w:pPr>
        <w:spacing w:after="0" w:line="225"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50"/>
        </w:numPr>
        <w:rPr>
          <w:rFonts w:ascii="Arial" w:cs="Arial" w:eastAsia="Arial" w:hAnsi="Arial"/>
          <w:sz w:val="17"/>
          <w:szCs w:val="17"/>
          <w:color w:val="auto"/>
        </w:rPr>
      </w:pPr>
      <w:r>
        <w:rPr>
          <w:rFonts w:ascii="Arial" w:cs="Arial" w:eastAsia="Arial" w:hAnsi="Arial"/>
          <w:sz w:val="17"/>
          <w:szCs w:val="17"/>
          <w:color w:val="auto"/>
        </w:rPr>
        <w:t>Starboard A GP, as the general partner of Starboard A LP, may be deemed the beneficial owner of the (i) 9,760,028 Shares owned by Starboard Juliet LLC, (ii) 3,975,755 Shares owned by Starboard Select II LP and (iii) 2,883,842 Shares owned by Starboard T LP.</w:t>
      </w:r>
    </w:p>
    <w:p>
      <w:pPr>
        <w:spacing w:after="0" w:line="146"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2.5%</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1. Sole power to vote or direct vote: 16,619,625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Sole power to dispose or direct the disposition: 16,619,625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Starboard A GP has not entered into any transactions in the Shares during the past sixty days. The transactions in the Shares on behalf of Starboard Juliet LLC and Starboard Select II LP during the past sixty days are set forth in Schedule A and are incorporated herein by reference.</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Starboard Value LP</w:t>
      </w:r>
    </w:p>
    <w:p>
      <w:pPr>
        <w:spacing w:after="0" w:line="225" w:lineRule="exact"/>
        <w:rPr>
          <w:rFonts w:ascii="Arial" w:cs="Arial" w:eastAsia="Arial" w:hAnsi="Arial"/>
          <w:sz w:val="18"/>
          <w:szCs w:val="18"/>
          <w:color w:val="auto"/>
        </w:rPr>
      </w:pPr>
    </w:p>
    <w:p>
      <w:pPr>
        <w:jc w:val="both"/>
        <w:ind w:left="1300" w:hanging="644"/>
        <w:spacing w:after="0" w:line="293" w:lineRule="auto"/>
        <w:tabs>
          <w:tab w:leader="none" w:pos="1300" w:val="left"/>
        </w:tabs>
        <w:numPr>
          <w:ilvl w:val="1"/>
          <w:numId w:val="50"/>
        </w:numPr>
        <w:rPr>
          <w:rFonts w:ascii="Arial" w:cs="Arial" w:eastAsia="Arial" w:hAnsi="Arial"/>
          <w:sz w:val="16"/>
          <w:szCs w:val="16"/>
          <w:color w:val="auto"/>
        </w:rPr>
      </w:pPr>
      <w:r>
        <w:rPr>
          <w:rFonts w:ascii="Arial" w:cs="Arial" w:eastAsia="Arial" w:hAnsi="Arial"/>
          <w:sz w:val="16"/>
          <w:szCs w:val="16"/>
          <w:color w:val="auto"/>
        </w:rPr>
        <w:t>As of the close of business on October 24, 2018, 2,350,338 Shares were held in the Starboard Value LP Account. Starboard Value LP, as the investment manager of Starboard V&amp;O Fund, Starboard C LP, Starboard Juliet LLC, Starboard Select II LP, Starboard T LP, Starboard P LP and the Starboard Value LP Account and the manager of Starboard S LLC, may be deemed the beneficial owner of the (i) 13,942,409 Shares owned by Starboard V&amp;O Fund, (ii) 1,788,471 Shares owned by Starboard S LLC, (iii) 1,023,203 Shares owned by Starboard C LP, (iv) 9,760,028 Shares owned by Starboard Juliet LLC, (v) 3,975,755 Shares owned by Starboard Select II LP, (vi) 2,883,842 Shares owned by Starboard T LP, (vii) 2,806,740 Shares owned by Starboard P LP and (viii) 2,350,338 Shares held in the Starboard Value LP Account.</w:t>
      </w:r>
    </w:p>
    <w:p>
      <w:pPr>
        <w:spacing w:after="0" w:line="16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Percentage: Approximately 5.9%</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2" w:name="page33"/>
    <w:bookmarkEnd w:id="32"/>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1. Sole power to vote or direct vote: 38,530,786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38,530,786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The transactions in the Shares by Starboard Value LP through the Starboard Value LP Account and on behalf of each of Starboard V&amp;O Fund, Starboard S LLC, Starboard C LP, Starboard Juliet LLC, Starboard Select II LP and Starboard P LP are set forth in Schedule A and are incorporated herein by reference.</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Starboard Value GP</w:t>
      </w:r>
    </w:p>
    <w:p>
      <w:pPr>
        <w:spacing w:after="0" w:line="225" w:lineRule="exact"/>
        <w:rPr>
          <w:rFonts w:ascii="Arial" w:cs="Arial" w:eastAsia="Arial" w:hAnsi="Arial"/>
          <w:sz w:val="18"/>
          <w:szCs w:val="18"/>
          <w:color w:val="auto"/>
        </w:rPr>
      </w:pPr>
    </w:p>
    <w:p>
      <w:pPr>
        <w:jc w:val="both"/>
        <w:ind w:left="1300" w:hanging="644"/>
        <w:spacing w:after="0" w:line="302" w:lineRule="auto"/>
        <w:tabs>
          <w:tab w:leader="none" w:pos="13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Starboard Value GP, as the general partner of Starboard Value LP, may be deemed the beneficial owner of the (i) 13,942,409 Shares owned by Starboard V&amp;O Fund, (ii) 1,788,471 Shares owned by Starboard S LLC, (iii) 1,023,203 Shares owned by Starboard C LP, (iv) 9,760,028 Shares owned by Starboard Juliet LLC, (v) 3,975,755 Shares owned by Starboard Select II LP, (vi) 2,883,842 Shares owned by Starboard T LP, (vii) 2,806,740 Shares owned by Starboard P LP and (viii) 2,350,338 Shares held in the Starboard Value LP Account.</w:t>
      </w:r>
    </w:p>
    <w:p>
      <w:pPr>
        <w:spacing w:after="0" w:line="154" w:lineRule="exact"/>
        <w:rPr>
          <w:rFonts w:ascii="Arial" w:cs="Arial" w:eastAsia="Arial" w:hAnsi="Arial"/>
          <w:sz w:val="16"/>
          <w:szCs w:val="16"/>
          <w:color w:val="auto"/>
        </w:rPr>
      </w:pPr>
    </w:p>
    <w:p>
      <w:pPr>
        <w:ind w:left="1300"/>
        <w:spacing w:after="0"/>
        <w:rPr>
          <w:rFonts w:ascii="Arial" w:cs="Arial" w:eastAsia="Arial" w:hAnsi="Arial"/>
          <w:sz w:val="16"/>
          <w:szCs w:val="16"/>
          <w:color w:val="auto"/>
        </w:rPr>
      </w:pPr>
      <w:r>
        <w:rPr>
          <w:rFonts w:ascii="Arial" w:cs="Arial" w:eastAsia="Arial" w:hAnsi="Arial"/>
          <w:sz w:val="18"/>
          <w:szCs w:val="18"/>
          <w:color w:val="auto"/>
        </w:rPr>
        <w:t>Percentage: Approximately 5.9%</w:t>
      </w:r>
    </w:p>
    <w:p>
      <w:pPr>
        <w:spacing w:after="0" w:line="225" w:lineRule="exact"/>
        <w:rPr>
          <w:rFonts w:ascii="Arial" w:cs="Arial" w:eastAsia="Arial" w:hAnsi="Arial"/>
          <w:sz w:val="16"/>
          <w:szCs w:val="16"/>
          <w:color w:val="auto"/>
        </w:rPr>
      </w:pPr>
    </w:p>
    <w:p>
      <w:pPr>
        <w:ind w:left="1300" w:hanging="644"/>
        <w:spacing w:after="0"/>
        <w:tabs>
          <w:tab w:leader="none" w:pos="13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1. Sole power to vote or direct vote: 38,530,786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38,530,786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Starboard Value GP has not entered into any transactions in the Shares during the past sixty days. The transactions in the Shares on behalf of each of Starboard V&amp;O Fund, Starboard S LLC, Starboard C LP, Starboard Juliet LLC, Starboard Select II LP and Starboard P LP and through the Starboard Value LP Account during the past sixty days are set forth in Schedule A and are incorporated herein by reference.</w:t>
      </w:r>
    </w:p>
    <w:p>
      <w:pPr>
        <w:spacing w:after="0" w:line="146" w:lineRule="exact"/>
        <w:rPr>
          <w:rFonts w:ascii="Arial" w:cs="Arial" w:eastAsia="Arial" w:hAnsi="Arial"/>
          <w:sz w:val="16"/>
          <w:szCs w:val="16"/>
          <w:color w:val="auto"/>
        </w:rPr>
      </w:pPr>
    </w:p>
    <w:p>
      <w:pPr>
        <w:ind w:left="660" w:hanging="652"/>
        <w:spacing w:after="0"/>
        <w:tabs>
          <w:tab w:leader="none" w:pos="6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Principal Co</w:t>
      </w:r>
    </w:p>
    <w:p>
      <w:pPr>
        <w:spacing w:after="0" w:line="225" w:lineRule="exact"/>
        <w:rPr>
          <w:rFonts w:ascii="Arial" w:cs="Arial" w:eastAsia="Arial" w:hAnsi="Arial"/>
          <w:sz w:val="18"/>
          <w:szCs w:val="18"/>
          <w:color w:val="auto"/>
        </w:rPr>
      </w:pPr>
    </w:p>
    <w:p>
      <w:pPr>
        <w:jc w:val="both"/>
        <w:ind w:left="1300" w:hanging="644"/>
        <w:spacing w:after="0" w:line="302" w:lineRule="auto"/>
        <w:tabs>
          <w:tab w:leader="none" w:pos="13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Principal Co, as a member of Starboard Value GP, may be deemed the beneficial owner of the (i) 13,942,409 Shares owned by Starboard V&amp;O Fund, (ii) 1,788,471 Shares owned by Starboard S LLC, (iii) 1,023,203 Shares owned by Starboard C LP, (iv) 9,760,028 Shares owned by Starboard Juliet LLC, (v) 3,975,755 Shares owned by Starboard Select II LP, (vi) 2,883,842 Shares owned by Starboard T LP, (vii) 2,806,740 Shares owned by Starboard P LP and (viii) 2,350,338 Shares held in the Starboard Value LP Account.</w:t>
      </w:r>
    </w:p>
    <w:p>
      <w:pPr>
        <w:spacing w:after="0" w:line="154" w:lineRule="exact"/>
        <w:rPr>
          <w:rFonts w:ascii="Arial" w:cs="Arial" w:eastAsia="Arial" w:hAnsi="Arial"/>
          <w:sz w:val="16"/>
          <w:szCs w:val="16"/>
          <w:color w:val="auto"/>
        </w:rPr>
      </w:pPr>
    </w:p>
    <w:p>
      <w:pPr>
        <w:ind w:left="1300"/>
        <w:spacing w:after="0"/>
        <w:rPr>
          <w:rFonts w:ascii="Arial" w:cs="Arial" w:eastAsia="Arial" w:hAnsi="Arial"/>
          <w:sz w:val="16"/>
          <w:szCs w:val="16"/>
          <w:color w:val="auto"/>
        </w:rPr>
      </w:pPr>
      <w:r>
        <w:rPr>
          <w:rFonts w:ascii="Arial" w:cs="Arial" w:eastAsia="Arial" w:hAnsi="Arial"/>
          <w:sz w:val="18"/>
          <w:szCs w:val="18"/>
          <w:color w:val="auto"/>
        </w:rPr>
        <w:t>Percentage: Approximately 5.9%</w:t>
      </w:r>
    </w:p>
    <w:p>
      <w:pPr>
        <w:spacing w:after="0" w:line="225" w:lineRule="exact"/>
        <w:rPr>
          <w:rFonts w:ascii="Arial" w:cs="Arial" w:eastAsia="Arial" w:hAnsi="Arial"/>
          <w:sz w:val="16"/>
          <w:szCs w:val="16"/>
          <w:color w:val="auto"/>
        </w:rPr>
      </w:pPr>
    </w:p>
    <w:p>
      <w:pPr>
        <w:ind w:left="1300" w:hanging="644"/>
        <w:spacing w:after="0"/>
        <w:tabs>
          <w:tab w:leader="none" w:pos="13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1. Sole power to vote or direct vote: 38,530,786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38,530,786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Principal Co has not entered into any transactions in the Shares during the past sixty days. The transactions in the Shares on behalf of each of Starboard V&amp;O Fund, Starboard S LLC, Starboard C LP, Starboard Juliet LLC, Starboard Select II LP and Starboard P LP and through the Starboard Value LP Account during the past sixty days are set forth in Schedule A and are incorporated herein by reference.</w:t>
      </w:r>
    </w:p>
    <w:p>
      <w:pPr>
        <w:spacing w:after="0" w:line="146" w:lineRule="exact"/>
        <w:rPr>
          <w:rFonts w:ascii="Arial" w:cs="Arial" w:eastAsia="Arial" w:hAnsi="Arial"/>
          <w:sz w:val="16"/>
          <w:szCs w:val="16"/>
          <w:color w:val="auto"/>
        </w:rPr>
      </w:pPr>
    </w:p>
    <w:p>
      <w:pPr>
        <w:ind w:left="660" w:hanging="652"/>
        <w:spacing w:after="0"/>
        <w:tabs>
          <w:tab w:leader="none" w:pos="6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Principal GP</w:t>
      </w:r>
    </w:p>
    <w:p>
      <w:pPr>
        <w:spacing w:after="0" w:line="225" w:lineRule="exact"/>
        <w:rPr>
          <w:rFonts w:ascii="Arial" w:cs="Arial" w:eastAsia="Arial" w:hAnsi="Arial"/>
          <w:sz w:val="18"/>
          <w:szCs w:val="18"/>
          <w:color w:val="auto"/>
        </w:rPr>
      </w:pPr>
    </w:p>
    <w:p>
      <w:pPr>
        <w:jc w:val="both"/>
        <w:ind w:left="1300" w:hanging="644"/>
        <w:spacing w:after="0" w:line="302" w:lineRule="auto"/>
        <w:tabs>
          <w:tab w:leader="none" w:pos="13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Principal GP, as the general partner of Principal Co, may be deemed the beneficial owner of the (i) 13,942,409 Shares owned by Starboard V&amp;O Fund, (ii) 1,788,471 Shares owned by Starboard S LLC, (iii) 1,023,203 Shares owned by Starboard C LP, (iv) 9,760,028 Shares owned by Starboard Juliet LLC, (v) 3,975,755 Shares owned by Starboard Select II LP, (vi) 2,883,842 Shares owned by Starboard T LP, (vii) 2,806,740 Shares owned by Starboard P LP and (viii) 2,350,338 Shares held in the Starboard Value LP Account.</w:t>
      </w:r>
    </w:p>
    <w:p>
      <w:pPr>
        <w:spacing w:after="0" w:line="154" w:lineRule="exact"/>
        <w:rPr>
          <w:rFonts w:ascii="Arial" w:cs="Arial" w:eastAsia="Arial" w:hAnsi="Arial"/>
          <w:sz w:val="16"/>
          <w:szCs w:val="16"/>
          <w:color w:val="auto"/>
        </w:rPr>
      </w:pPr>
    </w:p>
    <w:p>
      <w:pPr>
        <w:ind w:left="1300"/>
        <w:spacing w:after="0"/>
        <w:rPr>
          <w:rFonts w:ascii="Arial" w:cs="Arial" w:eastAsia="Arial" w:hAnsi="Arial"/>
          <w:sz w:val="16"/>
          <w:szCs w:val="16"/>
          <w:color w:val="auto"/>
        </w:rPr>
      </w:pPr>
      <w:r>
        <w:rPr>
          <w:rFonts w:ascii="Arial" w:cs="Arial" w:eastAsia="Arial" w:hAnsi="Arial"/>
          <w:sz w:val="18"/>
          <w:szCs w:val="18"/>
          <w:color w:val="auto"/>
        </w:rPr>
        <w:t>Percentage: Approximately 5.9%</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3" w:name="page34"/>
    <w:bookmarkEnd w:id="33"/>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hanging="644"/>
        <w:spacing w:after="0"/>
        <w:tabs>
          <w:tab w:leader="none" w:pos="1300" w:val="left"/>
        </w:tabs>
        <w:numPr>
          <w:ilvl w:val="1"/>
          <w:numId w:val="53"/>
        </w:numPr>
        <w:rPr>
          <w:rFonts w:ascii="Arial" w:cs="Arial" w:eastAsia="Arial" w:hAnsi="Arial"/>
          <w:sz w:val="18"/>
          <w:szCs w:val="18"/>
          <w:color w:val="auto"/>
        </w:rPr>
      </w:pPr>
      <w:r>
        <w:rPr>
          <w:rFonts w:ascii="Arial" w:cs="Arial" w:eastAsia="Arial" w:hAnsi="Arial"/>
          <w:sz w:val="18"/>
          <w:szCs w:val="18"/>
          <w:color w:val="auto"/>
        </w:rPr>
        <w:t>1. Sole power to vote or direct vote: 38,530,786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3"/>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38,530,786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53"/>
        </w:numPr>
        <w:rPr>
          <w:rFonts w:ascii="Arial" w:cs="Arial" w:eastAsia="Arial" w:hAnsi="Arial"/>
          <w:sz w:val="16"/>
          <w:szCs w:val="16"/>
          <w:color w:val="auto"/>
        </w:rPr>
      </w:pPr>
      <w:r>
        <w:rPr>
          <w:rFonts w:ascii="Arial" w:cs="Arial" w:eastAsia="Arial" w:hAnsi="Arial"/>
          <w:sz w:val="16"/>
          <w:szCs w:val="16"/>
          <w:color w:val="auto"/>
        </w:rPr>
        <w:t>Principal GP has not entered into any transactions in the Shares during the past sixty days. The transactions in the Shares on behalf of each of Starboard V&amp;O Fund, Starboard S LLC, Starboard C LP, Starboard Juliet LLC, Starboard Select II LP and Starboard P LP and through the Starboard Value LP Account during the past sixty days are set forth in Schedule A and are incorporated herein by reference.</w:t>
      </w:r>
    </w:p>
    <w:p>
      <w:pPr>
        <w:spacing w:after="0" w:line="146" w:lineRule="exact"/>
        <w:rPr>
          <w:rFonts w:ascii="Arial" w:cs="Arial" w:eastAsia="Arial" w:hAnsi="Arial"/>
          <w:sz w:val="16"/>
          <w:szCs w:val="16"/>
          <w:color w:val="auto"/>
        </w:rPr>
      </w:pPr>
    </w:p>
    <w:p>
      <w:pPr>
        <w:ind w:left="660" w:hanging="652"/>
        <w:spacing w:after="0"/>
        <w:tabs>
          <w:tab w:leader="none" w:pos="6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Messrs. Smith and Mitchell</w:t>
      </w:r>
    </w:p>
    <w:p>
      <w:pPr>
        <w:spacing w:after="0" w:line="225" w:lineRule="exact"/>
        <w:rPr>
          <w:rFonts w:ascii="Arial" w:cs="Arial" w:eastAsia="Arial" w:hAnsi="Arial"/>
          <w:sz w:val="18"/>
          <w:szCs w:val="18"/>
          <w:color w:val="auto"/>
        </w:rPr>
      </w:pPr>
    </w:p>
    <w:p>
      <w:pPr>
        <w:jc w:val="both"/>
        <w:ind w:left="1300" w:hanging="644"/>
        <w:spacing w:after="0" w:line="297" w:lineRule="auto"/>
        <w:tabs>
          <w:tab w:leader="none" w:pos="1300" w:val="left"/>
        </w:tabs>
        <w:numPr>
          <w:ilvl w:val="1"/>
          <w:numId w:val="54"/>
        </w:numPr>
        <w:rPr>
          <w:rFonts w:ascii="Arial" w:cs="Arial" w:eastAsia="Arial" w:hAnsi="Arial"/>
          <w:sz w:val="16"/>
          <w:szCs w:val="16"/>
          <w:color w:val="auto"/>
        </w:rPr>
      </w:pPr>
      <w:r>
        <w:rPr>
          <w:rFonts w:ascii="Arial" w:cs="Arial" w:eastAsia="Arial" w:hAnsi="Arial"/>
          <w:sz w:val="16"/>
          <w:szCs w:val="16"/>
          <w:color w:val="auto"/>
        </w:rPr>
        <w:t>Each of Messrs. Smith and Mitchell, as a member of Principal GP and as a member of each of the Management Committee of Starboard Value GP and the Management Committee of Principal GP, may be deemed the beneficial owner of (i) 13,942,409 Shares owned by Starboard V&amp;O Fund, (ii) 1,788,471 Shares owned by Starboard S LLC, (iii) 1,023,203 Shares owned by Starboard C LP, (iv) 9,760,028 Shares owned by Starboard Juliet LLC, (v) 3,975,755 Shares owned by Starboard Select II LP, (vi) 2,883,842 Shares owned by Starboard T LP, (vii) 2,806,740 Shares owned by Starboard P LP and (viii) 2,350,338 Shares held in the Starboard Value LP Account.</w:t>
      </w:r>
    </w:p>
    <w:p>
      <w:pPr>
        <w:spacing w:after="0" w:line="158" w:lineRule="exact"/>
        <w:rPr>
          <w:rFonts w:ascii="Arial" w:cs="Arial" w:eastAsia="Arial" w:hAnsi="Arial"/>
          <w:sz w:val="16"/>
          <w:szCs w:val="16"/>
          <w:color w:val="auto"/>
        </w:rPr>
      </w:pPr>
    </w:p>
    <w:p>
      <w:pPr>
        <w:ind w:left="1300"/>
        <w:spacing w:after="0"/>
        <w:rPr>
          <w:rFonts w:ascii="Arial" w:cs="Arial" w:eastAsia="Arial" w:hAnsi="Arial"/>
          <w:sz w:val="16"/>
          <w:szCs w:val="16"/>
          <w:color w:val="auto"/>
        </w:rPr>
      </w:pPr>
      <w:r>
        <w:rPr>
          <w:rFonts w:ascii="Arial" w:cs="Arial" w:eastAsia="Arial" w:hAnsi="Arial"/>
          <w:sz w:val="18"/>
          <w:szCs w:val="18"/>
          <w:color w:val="auto"/>
        </w:rPr>
        <w:t>Percentage: Approximately 5.9%</w:t>
      </w:r>
    </w:p>
    <w:p>
      <w:pPr>
        <w:spacing w:after="0" w:line="225" w:lineRule="exact"/>
        <w:rPr>
          <w:rFonts w:ascii="Arial" w:cs="Arial" w:eastAsia="Arial" w:hAnsi="Arial"/>
          <w:sz w:val="16"/>
          <w:szCs w:val="16"/>
          <w:color w:val="auto"/>
        </w:rPr>
      </w:pPr>
    </w:p>
    <w:p>
      <w:pPr>
        <w:ind w:left="1300" w:hanging="644"/>
        <w:spacing w:after="0"/>
        <w:tabs>
          <w:tab w:leader="none" w:pos="1300" w:val="left"/>
        </w:tabs>
        <w:numPr>
          <w:ilvl w:val="1"/>
          <w:numId w:val="54"/>
        </w:numPr>
        <w:rPr>
          <w:rFonts w:ascii="Arial" w:cs="Arial" w:eastAsia="Arial" w:hAnsi="Arial"/>
          <w:sz w:val="18"/>
          <w:szCs w:val="18"/>
          <w:color w:val="auto"/>
        </w:rPr>
      </w:pPr>
      <w:r>
        <w:rPr>
          <w:rFonts w:ascii="Arial" w:cs="Arial" w:eastAsia="Arial" w:hAnsi="Arial"/>
          <w:sz w:val="18"/>
          <w:szCs w:val="18"/>
          <w:color w:val="auto"/>
        </w:rPr>
        <w:t>1. Sole power to vote or direct vote: 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4"/>
        </w:numPr>
        <w:rPr>
          <w:rFonts w:ascii="Arial" w:cs="Arial" w:eastAsia="Arial" w:hAnsi="Arial"/>
          <w:sz w:val="18"/>
          <w:szCs w:val="18"/>
          <w:color w:val="auto"/>
        </w:rPr>
      </w:pPr>
      <w:r>
        <w:rPr>
          <w:rFonts w:ascii="Arial" w:cs="Arial" w:eastAsia="Arial" w:hAnsi="Arial"/>
          <w:sz w:val="18"/>
          <w:szCs w:val="18"/>
          <w:color w:val="auto"/>
        </w:rPr>
        <w:t>Shared power to vote or direct vote: 38,530,786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4"/>
        </w:numPr>
        <w:rPr>
          <w:rFonts w:ascii="Arial" w:cs="Arial" w:eastAsia="Arial" w:hAnsi="Arial"/>
          <w:sz w:val="18"/>
          <w:szCs w:val="18"/>
          <w:color w:val="auto"/>
        </w:rPr>
      </w:pPr>
      <w:r>
        <w:rPr>
          <w:rFonts w:ascii="Arial" w:cs="Arial" w:eastAsia="Arial" w:hAnsi="Arial"/>
          <w:sz w:val="18"/>
          <w:szCs w:val="18"/>
          <w:color w:val="auto"/>
        </w:rPr>
        <w:t>Sole power to dispose or direct the disposition: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38,530,786</w:t>
      </w:r>
    </w:p>
    <w:p>
      <w:pPr>
        <w:spacing w:after="0" w:line="210"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54"/>
        </w:numPr>
        <w:rPr>
          <w:rFonts w:ascii="Arial" w:cs="Arial" w:eastAsia="Arial" w:hAnsi="Arial"/>
          <w:sz w:val="18"/>
          <w:szCs w:val="18"/>
          <w:color w:val="auto"/>
        </w:rPr>
      </w:pPr>
      <w:r>
        <w:rPr>
          <w:rFonts w:ascii="Arial" w:cs="Arial" w:eastAsia="Arial" w:hAnsi="Arial"/>
          <w:sz w:val="18"/>
          <w:szCs w:val="18"/>
          <w:color w:val="auto"/>
        </w:rPr>
        <w:t>None of Messrs. Smith or Mitchell has entered into any transactions in the Shares during the past sixty days. The transactions in the Shares on behalf of each of Starboard V&amp;O Fund, Starboard S LLC, Starboard C LP, Starboard Juliet LLC, Starboard Select II LP and Starboard P LP and through the Starboard Value LP Account during the past sixty days are set forth in Schedule A and are incorporated herein by reference.</w:t>
      </w:r>
    </w:p>
    <w:p>
      <w:pPr>
        <w:spacing w:after="0" w:line="186" w:lineRule="exact"/>
        <w:rPr>
          <w:rFonts w:ascii="Arial" w:cs="Arial" w:eastAsia="Arial" w:hAnsi="Arial"/>
          <w:sz w:val="18"/>
          <w:szCs w:val="18"/>
          <w:color w:val="auto"/>
        </w:rPr>
      </w:pPr>
    </w:p>
    <w:p>
      <w:pPr>
        <w:ind w:left="660" w:hanging="652"/>
        <w:spacing w:after="0"/>
        <w:tabs>
          <w:tab w:leader="none" w:pos="660" w:val="left"/>
        </w:tabs>
        <w:numPr>
          <w:ilvl w:val="0"/>
          <w:numId w:val="54"/>
        </w:numPr>
        <w:rPr>
          <w:rFonts w:ascii="Arial" w:cs="Arial" w:eastAsia="Arial" w:hAnsi="Arial"/>
          <w:sz w:val="18"/>
          <w:szCs w:val="18"/>
          <w:color w:val="auto"/>
        </w:rPr>
      </w:pPr>
      <w:r>
        <w:rPr>
          <w:rFonts w:ascii="Arial" w:cs="Arial" w:eastAsia="Arial" w:hAnsi="Arial"/>
          <w:sz w:val="18"/>
          <w:szCs w:val="18"/>
          <w:color w:val="auto"/>
        </w:rPr>
        <w:t>Mr. Feld</w:t>
      </w:r>
    </w:p>
    <w:p>
      <w:pPr>
        <w:spacing w:after="0" w:line="225" w:lineRule="exact"/>
        <w:rPr>
          <w:rFonts w:ascii="Arial" w:cs="Arial" w:eastAsia="Arial" w:hAnsi="Arial"/>
          <w:sz w:val="18"/>
          <w:szCs w:val="18"/>
          <w:color w:val="auto"/>
        </w:rPr>
      </w:pPr>
    </w:p>
    <w:p>
      <w:pPr>
        <w:jc w:val="both"/>
        <w:ind w:left="1300" w:hanging="644"/>
        <w:spacing w:after="0" w:line="255" w:lineRule="auto"/>
        <w:tabs>
          <w:tab w:leader="none" w:pos="1300" w:val="left"/>
        </w:tabs>
        <w:numPr>
          <w:ilvl w:val="1"/>
          <w:numId w:val="54"/>
        </w:numPr>
        <w:rPr>
          <w:rFonts w:ascii="Arial" w:cs="Arial" w:eastAsia="Arial" w:hAnsi="Arial"/>
          <w:sz w:val="18"/>
          <w:szCs w:val="18"/>
          <w:color w:val="auto"/>
        </w:rPr>
      </w:pPr>
      <w:r>
        <w:rPr>
          <w:rFonts w:ascii="Arial" w:cs="Arial" w:eastAsia="Arial" w:hAnsi="Arial"/>
          <w:sz w:val="18"/>
          <w:szCs w:val="18"/>
          <w:color w:val="auto"/>
        </w:rPr>
        <w:t>As of the date hereof, Mr. Feld beneficially owned 33,204 Shares. Mr. Feld, as a member of Principal GP and as a member of each of the Management Committee of Starboard Value GP and the Management Committee of Principal GP, may be deemed the beneficial owner of the (i) 13,942,409 Shares owned by Starboard V&amp;O Fund, (ii) 1,788,471 Shares owned by Starboard S LLC, (iii) 1,023,203 Shares owned by Starboard C LP, (iv) 9,760,028 Shares owned by Starboard Juliet LLC, (v) 3,975,755 Shares owned by Starboard Select II LP, (vi) 2,883,842 Shares owned by Starboard T LP, (vii) 2,806,740 Shares owned by Starboard P LP and (viii) 2,350,338 Shares held in the Starboard Value LP Account.</w:t>
      </w:r>
    </w:p>
    <w:p>
      <w:pPr>
        <w:spacing w:after="0" w:line="19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5.9%</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54"/>
        </w:numPr>
        <w:rPr>
          <w:rFonts w:ascii="Arial" w:cs="Arial" w:eastAsia="Arial" w:hAnsi="Arial"/>
          <w:sz w:val="18"/>
          <w:szCs w:val="18"/>
          <w:color w:val="auto"/>
        </w:rPr>
      </w:pPr>
      <w:r>
        <w:rPr>
          <w:rFonts w:ascii="Arial" w:cs="Arial" w:eastAsia="Arial" w:hAnsi="Arial"/>
          <w:sz w:val="18"/>
          <w:szCs w:val="18"/>
          <w:color w:val="auto"/>
        </w:rPr>
        <w:t>1. Sole power to vote or direct vote: 33,204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4"/>
        </w:numPr>
        <w:rPr>
          <w:rFonts w:ascii="Arial" w:cs="Arial" w:eastAsia="Arial" w:hAnsi="Arial"/>
          <w:sz w:val="18"/>
          <w:szCs w:val="18"/>
          <w:color w:val="auto"/>
        </w:rPr>
      </w:pPr>
      <w:r>
        <w:rPr>
          <w:rFonts w:ascii="Arial" w:cs="Arial" w:eastAsia="Arial" w:hAnsi="Arial"/>
          <w:sz w:val="18"/>
          <w:szCs w:val="18"/>
          <w:color w:val="auto"/>
        </w:rPr>
        <w:t>Shared power to vote or direct vote: 38,530,786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4"/>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33,204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38,530,786</w:t>
      </w:r>
    </w:p>
    <w:p>
      <w:pPr>
        <w:spacing w:after="0" w:line="210"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54"/>
        </w:numPr>
        <w:rPr>
          <w:rFonts w:ascii="Arial" w:cs="Arial" w:eastAsia="Arial" w:hAnsi="Arial"/>
          <w:sz w:val="16"/>
          <w:szCs w:val="16"/>
          <w:color w:val="auto"/>
        </w:rPr>
      </w:pPr>
      <w:r>
        <w:rPr>
          <w:rFonts w:ascii="Arial" w:cs="Arial" w:eastAsia="Arial" w:hAnsi="Arial"/>
          <w:sz w:val="16"/>
          <w:szCs w:val="16"/>
          <w:color w:val="auto"/>
        </w:rPr>
        <w:t>Mr. Feld has not entered into any transactions in the Shares during the past sixty days. The transactions in the Shares on behalf of each of Starboard V&amp;O Fund, Starboard S LLC, Starboard C LP, Starboard Juliet LLC, Starboard Select II LP and Starboard P LP and through the Starboard Value LP Account during the past sixty days are set forth in Schedule A and are incorporated herein by reference.</w:t>
      </w:r>
    </w:p>
    <w:p>
      <w:pPr>
        <w:spacing w:after="0" w:line="147"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4" w:name="page35"/>
    <w:bookmarkEnd w:id="34"/>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ind w:left="1300" w:right="20" w:hanging="644"/>
        <w:spacing w:after="0" w:line="277" w:lineRule="auto"/>
        <w:tabs>
          <w:tab w:leader="none" w:pos="13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No person other than the Reporting Persons is known to have the right to receive, or the power to direct the receipt of dividends from, or proceeds from the sale of, the Shares.</w:t>
      </w:r>
    </w:p>
    <w:p>
      <w:pPr>
        <w:spacing w:after="0" w:line="170" w:lineRule="exact"/>
        <w:rPr>
          <w:rFonts w:ascii="Arial" w:cs="Arial" w:eastAsia="Arial" w:hAnsi="Arial"/>
          <w:sz w:val="18"/>
          <w:szCs w:val="18"/>
          <w:color w:val="auto"/>
        </w:rPr>
      </w:pPr>
    </w:p>
    <w:p>
      <w:pPr>
        <w:ind w:left="1300" w:hanging="644"/>
        <w:spacing w:after="0"/>
        <w:tabs>
          <w:tab w:leader="none" w:pos="1300" w:val="left"/>
        </w:tabs>
        <w:numPr>
          <w:ilvl w:val="0"/>
          <w:numId w:val="55"/>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u w:val="single" w:color="auto"/>
          <w:color w:val="auto"/>
        </w:rPr>
        <w:t>Contracts, Arrangements, Understandings or Relationships With Respect to Securities of the Issuer</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6 is hereby amended to add the following:</w:t>
      </w:r>
    </w:p>
    <w:p>
      <w:pPr>
        <w:spacing w:after="0" w:line="225" w:lineRule="exact"/>
        <w:rPr>
          <w:sz w:val="20"/>
          <w:szCs w:val="20"/>
          <w:color w:val="auto"/>
        </w:rPr>
      </w:pPr>
    </w:p>
    <w:p>
      <w:pPr>
        <w:jc w:val="both"/>
        <w:ind w:firstLine="1297"/>
        <w:spacing w:after="0" w:line="254" w:lineRule="auto"/>
        <w:rPr>
          <w:sz w:val="20"/>
          <w:szCs w:val="20"/>
          <w:color w:val="auto"/>
        </w:rPr>
      </w:pPr>
      <w:r>
        <w:rPr>
          <w:rFonts w:ascii="Arial" w:cs="Arial" w:eastAsia="Arial" w:hAnsi="Arial"/>
          <w:sz w:val="18"/>
          <w:szCs w:val="18"/>
          <w:color w:val="auto"/>
        </w:rPr>
        <w:t>Each of Starboard V&amp;O Fund and Starboard Juliet LLC entered into forward contracts with Morgan Stanley as the counterparty on the dates referenced in Schedule A providing for the purchase of an aggregate of 446,918 Shares and 449,783 Shares, respectively, having an aggregate purchase price of approximately $7,837,422, and $8,390,865, respectively (each an “MS Forward Contract”). The MS Forward Contract entered into by Starboard V&amp;O Fund has a final valuation date of April 13, 2020 and each MS Forward Contract entered into by Starboard Juliet LLC has a final valuation date of March 13, 2020, however, each of Starboard V&amp;O Fund and Starboard Juliet LLC has the ability to elect early settlement after serving notice to the counter-party of such intention at least two (2) scheduled trading days in advance of the desired early final valuation date. Each of the MS Forward Contracts provides for physical settlement. Until the settlement date, none of the MS Forward Contracts give the Reporting Persons voting and dispositive control over the Shares to which such contracts relate.</w:t>
      </w:r>
    </w:p>
    <w:p>
      <w:pPr>
        <w:spacing w:after="0" w:line="192" w:lineRule="exact"/>
        <w:rPr>
          <w:sz w:val="20"/>
          <w:szCs w:val="20"/>
          <w:color w:val="auto"/>
        </w:rPr>
      </w:pPr>
    </w:p>
    <w:p>
      <w:pPr>
        <w:jc w:val="both"/>
        <w:ind w:firstLine="1297"/>
        <w:spacing w:after="0" w:line="255" w:lineRule="auto"/>
        <w:rPr>
          <w:sz w:val="20"/>
          <w:szCs w:val="20"/>
          <w:color w:val="auto"/>
        </w:rPr>
      </w:pPr>
      <w:r>
        <w:rPr>
          <w:rFonts w:ascii="Arial" w:cs="Arial" w:eastAsia="Arial" w:hAnsi="Arial"/>
          <w:sz w:val="18"/>
          <w:szCs w:val="18"/>
          <w:color w:val="auto"/>
        </w:rPr>
        <w:t>Starboard Select II LP entered into forward contracts with Goldman Sachs as the counterparty on the dates referenced in Schedule A providing for the purchase of an aggregate of 2,200,000 Shares having an aggregate purchase price of $40,517,510 (each a “GS Forward Contract”). Each of the GS Forward Contracts has a final valuation date of April 8, 2020, however, Starboard Select II LP has the ability to elect early settlement after serving notice to Goldman Sachs of such intention at least two (2) scheduled trading days in advance of the desired early final valuation date. Each of the GS Forward Contracts provides for physical settlement. Until the settlement date, none of the GS Forward Contracts give the Reporting Persons voting and dispositive control over the Shares to which such contracts relate.</w:t>
      </w:r>
    </w:p>
    <w:p>
      <w:pPr>
        <w:spacing w:after="0" w:line="193"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of Starboard V&amp;O Fund, Starboard S LLC and Starboard C LP sold short in the over the counter market American-style put options referencing an aggregate of 3,799,800 Shares, 508,800 Shares and 291,400 Shares, respectively, which have an exercise price of $16.00 per Share and expire on January 18, 2018.</w:t>
      </w:r>
    </w:p>
    <w:p>
      <w:pPr>
        <w:spacing w:after="0" w:line="181" w:lineRule="exact"/>
        <w:rPr>
          <w:sz w:val="20"/>
          <w:szCs w:val="20"/>
          <w:color w:val="auto"/>
        </w:rPr>
      </w:pPr>
    </w:p>
    <w:p>
      <w:pPr>
        <w:jc w:val="both"/>
        <w:ind w:firstLine="1297"/>
        <w:spacing w:after="0" w:line="270" w:lineRule="auto"/>
        <w:rPr>
          <w:sz w:val="20"/>
          <w:szCs w:val="20"/>
          <w:color w:val="auto"/>
        </w:rPr>
      </w:pPr>
      <w:r>
        <w:rPr>
          <w:rFonts w:ascii="Arial" w:cs="Arial" w:eastAsia="Arial" w:hAnsi="Arial"/>
          <w:sz w:val="17"/>
          <w:szCs w:val="17"/>
          <w:color w:val="auto"/>
        </w:rPr>
        <w:t>On October 24, 2018, Starboard P LP and Starboard P GP entered into a joinder agreement to that certain Joint Filing Agreement dated as of April 27, 2016 by and among Starboard Value and Opportunity Master Fund Ltd, Starboard Value and Opportunity S LLC, Starboard Value and Opportunity C LP, Starboard Value R LP, Starboard Value R GP LLC, Starboard Leaders Juliet LLC, Starboard Leaders Fund LP, Starboard Leaders Select II LP, Starboard Leaders Select II GP LLC, Starboard Leaders Select Fund LP, Starboard T Fund LP, Starboard Value A LP, Starboard Value A GP LLC, Starboard Value LP, Starboard Value GP LLC, Starboard Principal Co LP, Starboard Principal Co GP LLC, Jeffrey C. Smith, Mark R. Mitchell and Peter A. Feld, pursuant to which each of Starboard P LP and Starboard P GP agreed to be bound by the terms and conditions set forth therein, including, the joint filing on behalf of each of them of statements on Schedule 13D, and any amendments thereto, with respect to the securities of the Issuer. A copy of the joinder agreement is attached hereto as Exhibit 99.1 and is incorporated herein by reference. A copy of the Joint Filing Agreement was filed as Exhibit 99.2 to Amendment No. 1 to the Schedule 13D.</w:t>
      </w:r>
    </w:p>
    <w:p>
      <w:pPr>
        <w:spacing w:after="0" w:line="1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5" w:name="page36"/>
    <w:bookmarkEnd w:id="35"/>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u w:val="single" w:color="auto"/>
          <w:color w:val="auto"/>
        </w:rPr>
        <w:t>Material to be Filed as Exhibits</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7 is hereby amended to add the following exhibits:</w:t>
      </w:r>
    </w:p>
    <w:p>
      <w:pPr>
        <w:spacing w:after="0" w:line="225"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Joinder Agreement dated October 24, 2018 to the Joint Filing Agreement.</w:t>
      </w:r>
    </w:p>
    <w:p>
      <w:pPr>
        <w:spacing w:after="0" w:line="225"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5"/>
          <w:szCs w:val="15"/>
          <w:color w:val="auto"/>
        </w:rPr>
        <w:t>Presentation, dated October 24, 2018.</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219"/>
          </w:cols>
          <w:pgMar w:left="240" w:top="226" w:right="1440" w:bottom="1440" w:gutter="0" w:footer="0" w:header="0"/>
        </w:sectPr>
      </w:pPr>
    </w:p>
    <w:bookmarkStart w:id="36" w:name="page37"/>
    <w:bookmarkEnd w:id="36"/>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SIGNATURES</w:t>
      </w:r>
    </w:p>
    <w:p>
      <w:pPr>
        <w:spacing w:after="0" w:line="22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After reasonable inquiry and to the best of his knowledge and belief, each of the undersigned certifies that the information set forth in this statement is true, complete and correct.</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880" w:type="dxa"/>
            <w:vAlign w:val="bottom"/>
          </w:tcPr>
          <w:p>
            <w:pPr>
              <w:spacing w:after="0"/>
              <w:rPr>
                <w:sz w:val="20"/>
                <w:szCs w:val="20"/>
                <w:color w:val="auto"/>
              </w:rPr>
            </w:pPr>
            <w:r>
              <w:rPr>
                <w:rFonts w:ascii="Arial" w:cs="Arial" w:eastAsia="Arial" w:hAnsi="Arial"/>
                <w:sz w:val="18"/>
                <w:szCs w:val="18"/>
                <w:color w:val="auto"/>
              </w:rPr>
              <w:t>Dated: October 24, 2018</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120" w:type="dxa"/>
            <w:vAlign w:val="bottom"/>
          </w:tcPr>
          <w:p>
            <w:pPr>
              <w:spacing w:after="0"/>
              <w:rPr>
                <w:sz w:val="20"/>
                <w:szCs w:val="20"/>
                <w:color w:val="auto"/>
              </w:rPr>
            </w:pPr>
          </w:p>
        </w:tc>
        <w:tc>
          <w:tcPr>
            <w:tcW w:w="1440" w:type="dxa"/>
            <w:vAlign w:val="bottom"/>
          </w:tcPr>
          <w:p>
            <w:pPr>
              <w:spacing w:after="0"/>
              <w:rPr>
                <w:sz w:val="20"/>
                <w:szCs w:val="20"/>
                <w:color w:val="auto"/>
              </w:rPr>
            </w:pPr>
          </w:p>
        </w:tc>
      </w:tr>
      <w:tr>
        <w:trPr>
          <w:trHeight w:val="418"/>
        </w:trPr>
        <w:tc>
          <w:tcPr>
            <w:tcW w:w="6060" w:type="dxa"/>
            <w:vAlign w:val="bottom"/>
            <w:gridSpan w:val="3"/>
          </w:tcPr>
          <w:p>
            <w:pPr>
              <w:ind w:left="120"/>
              <w:spacing w:after="0"/>
              <w:rPr>
                <w:sz w:val="20"/>
                <w:szCs w:val="20"/>
                <w:color w:val="auto"/>
              </w:rPr>
            </w:pPr>
            <w:r>
              <w:rPr>
                <w:rFonts w:ascii="Arial" w:cs="Arial" w:eastAsia="Arial" w:hAnsi="Arial"/>
                <w:sz w:val="18"/>
                <w:szCs w:val="18"/>
                <w:color w:val="auto"/>
              </w:rPr>
              <w:t>STARBOARD VALUE AND OPPORTUNITY MASTER FUND LTD</w:t>
            </w: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T FUND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investment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4580" w:type="dxa"/>
            <w:vAlign w:val="bottom"/>
            <w:gridSpan w:val="2"/>
          </w:tcPr>
          <w:p>
            <w:pPr>
              <w:ind w:left="120"/>
              <w:spacing w:after="0"/>
              <w:rPr>
                <w:sz w:val="20"/>
                <w:szCs w:val="20"/>
                <w:color w:val="auto"/>
              </w:rPr>
            </w:pPr>
            <w:r>
              <w:rPr>
                <w:rFonts w:ascii="Arial" w:cs="Arial" w:eastAsia="Arial" w:hAnsi="Arial"/>
                <w:sz w:val="18"/>
                <w:szCs w:val="18"/>
                <w:color w:val="auto"/>
              </w:rPr>
              <w:t>STARBOARD VALUE AND OPPORTUNITY S LLC</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4580" w:type="dxa"/>
            <w:vAlign w:val="bottom"/>
            <w:gridSpan w:val="2"/>
          </w:tcPr>
          <w:p>
            <w:pPr>
              <w:ind w:left="120"/>
              <w:spacing w:after="0"/>
              <w:rPr>
                <w:sz w:val="20"/>
                <w:szCs w:val="20"/>
                <w:color w:val="auto"/>
              </w:rPr>
            </w:pPr>
            <w:r>
              <w:rPr>
                <w:rFonts w:ascii="Arial" w:cs="Arial" w:eastAsia="Arial" w:hAnsi="Arial"/>
                <w:sz w:val="18"/>
                <w:szCs w:val="18"/>
                <w:color w:val="auto"/>
              </w:rPr>
              <w:t>STARBOARD VALUE AND OPPORTUNITY C LP</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 FUND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R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P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VALUE R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P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R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R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JULIET LLC</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managing member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SELECT II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Leaders Select II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SELECT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1440" w:type="dxa"/>
            <w:vAlign w:val="bottom"/>
          </w:tcPr>
          <w:p>
            <w:pPr>
              <w:spacing w:after="0"/>
              <w:rPr>
                <w:sz w:val="18"/>
                <w:szCs w:val="18"/>
                <w:color w:val="auto"/>
              </w:rPr>
            </w:pP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GP LLC</w:t>
            </w:r>
          </w:p>
        </w:tc>
      </w:tr>
      <w:tr>
        <w:trPr>
          <w:trHeight w:val="432"/>
        </w:trPr>
        <w:tc>
          <w:tcPr>
            <w:tcW w:w="3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R GP LLC</w:t>
            </w:r>
          </w:p>
        </w:tc>
      </w:tr>
      <w:tr>
        <w:trPr>
          <w:trHeight w:val="432"/>
        </w:trPr>
        <w:tc>
          <w:tcPr>
            <w:tcW w:w="3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w w:val="95"/>
              </w:rPr>
              <w:t>STARBOARD LEADERS SELECT II GP LLC</w:t>
            </w:r>
          </w:p>
        </w:tc>
      </w:tr>
      <w:tr>
        <w:trPr>
          <w:trHeight w:val="432"/>
        </w:trPr>
        <w:tc>
          <w:tcPr>
            <w:tcW w:w="3880" w:type="dxa"/>
            <w:vAlign w:val="bottom"/>
          </w:tcPr>
          <w:p>
            <w:pPr>
              <w:ind w:left="3260"/>
              <w:spacing w:after="0"/>
              <w:rPr>
                <w:sz w:val="20"/>
                <w:szCs w:val="20"/>
                <w:color w:val="auto"/>
              </w:rPr>
            </w:pPr>
            <w:r>
              <w:rPr>
                <w:rFonts w:ascii="Arial" w:cs="Arial" w:eastAsia="Arial" w:hAnsi="Arial"/>
                <w:sz w:val="18"/>
                <w:szCs w:val="18"/>
                <w:color w:val="auto"/>
              </w:rPr>
              <w:t>By:</w:t>
            </w:r>
          </w:p>
        </w:tc>
        <w:tc>
          <w:tcPr>
            <w:tcW w:w="218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Jeffrey C. Smith</w:t>
            </w:r>
          </w:p>
        </w:tc>
        <w:tc>
          <w:tcPr>
            <w:tcW w:w="2120" w:type="dxa"/>
            <w:vAlign w:val="bottom"/>
            <w:tcBorders>
              <w:bottom w:val="single" w:sz="8" w:color="auto"/>
            </w:tcBorders>
          </w:tcPr>
          <w:p>
            <w:pPr>
              <w:spacing w:after="0"/>
              <w:rPr>
                <w:sz w:val="24"/>
                <w:szCs w:val="24"/>
                <w:color w:val="auto"/>
              </w:rPr>
            </w:pPr>
          </w:p>
        </w:tc>
        <w:tc>
          <w:tcPr>
            <w:tcW w:w="1440" w:type="dxa"/>
            <w:vAlign w:val="bottom"/>
          </w:tcPr>
          <w:p>
            <w:pPr>
              <w:spacing w:after="0"/>
              <w:rPr>
                <w:sz w:val="24"/>
                <w:szCs w:val="24"/>
                <w:color w:val="auto"/>
              </w:rPr>
            </w:pPr>
          </w:p>
        </w:tc>
      </w:tr>
      <w:tr>
        <w:trPr>
          <w:trHeight w:val="195"/>
        </w:trPr>
        <w:tc>
          <w:tcPr>
            <w:tcW w:w="388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1480" w:type="dxa"/>
            <w:vAlign w:val="bottom"/>
          </w:tcPr>
          <w:p>
            <w:pPr>
              <w:ind w:left="220"/>
              <w:spacing w:after="0" w:line="195" w:lineRule="exact"/>
              <w:rPr>
                <w:sz w:val="20"/>
                <w:szCs w:val="20"/>
                <w:color w:val="auto"/>
              </w:rPr>
            </w:pPr>
            <w:r>
              <w:rPr>
                <w:rFonts w:ascii="Arial" w:cs="Arial" w:eastAsia="Arial" w:hAnsi="Arial"/>
                <w:sz w:val="18"/>
                <w:szCs w:val="18"/>
                <w:color w:val="auto"/>
                <w:w w:val="96"/>
              </w:rPr>
              <w:t>Jeffrey C. Smith</w:t>
            </w:r>
          </w:p>
        </w:tc>
        <w:tc>
          <w:tcPr>
            <w:tcW w:w="2120" w:type="dxa"/>
            <w:vAlign w:val="bottom"/>
          </w:tcPr>
          <w:p>
            <w:pPr>
              <w:spacing w:after="0"/>
              <w:rPr>
                <w:sz w:val="16"/>
                <w:szCs w:val="16"/>
                <w:color w:val="auto"/>
              </w:rPr>
            </w:pPr>
          </w:p>
        </w:tc>
        <w:tc>
          <w:tcPr>
            <w:tcW w:w="1440" w:type="dxa"/>
            <w:vAlign w:val="bottom"/>
          </w:tcPr>
          <w:p>
            <w:pPr>
              <w:spacing w:after="0"/>
              <w:rPr>
                <w:sz w:val="16"/>
                <w:szCs w:val="16"/>
                <w:color w:val="auto"/>
              </w:rPr>
            </w:pPr>
          </w:p>
        </w:tc>
      </w:tr>
      <w:tr>
        <w:trPr>
          <w:trHeight w:val="230"/>
        </w:trPr>
        <w:tc>
          <w:tcPr>
            <w:tcW w:w="388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5040" w:type="dxa"/>
            <w:vAlign w:val="bottom"/>
            <w:gridSpan w:val="3"/>
          </w:tcPr>
          <w:p>
            <w:pPr>
              <w:ind w:left="22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1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 Jeffrey C. Smith</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-130810</wp:posOffset>
            </wp:positionV>
            <wp:extent cx="312166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3121660" cy="8890"/>
                    </a:xfrm>
                    <a:prstGeom prst="rect">
                      <a:avLst/>
                    </a:prstGeom>
                    <a:noFill/>
                  </pic:spPr>
                </pic:pic>
              </a:graphicData>
            </a:graphic>
          </wp:anchor>
        </w:drawing>
      </w:r>
    </w:p>
    <w:p>
      <w:pPr>
        <w:spacing w:after="0" w:line="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Individually and as attorney-in-fact for Mark R. Mitchell and Peter</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Feld</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7" w:name="page38"/>
    <w:bookmarkEnd w:id="37"/>
    <w:p>
      <w:pPr>
        <w:spacing w:after="0"/>
        <w:rPr>
          <w:sz w:val="20"/>
          <w:szCs w:val="20"/>
          <w:color w:val="auto"/>
        </w:rPr>
      </w:pPr>
      <w:r>
        <w:rPr>
          <w:rFonts w:ascii="Arial" w:cs="Arial" w:eastAsia="Arial" w:hAnsi="Arial"/>
          <w:sz w:val="22"/>
          <w:szCs w:val="22"/>
          <w:color w:val="auto"/>
        </w:rPr>
        <w:t>CUSIP NO. G5876H105</w:t>
      </w:r>
    </w:p>
    <w:p>
      <w:pPr>
        <w:spacing w:after="0" w:line="196"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86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160" w:type="dxa"/>
            <w:vAlign w:val="bottom"/>
            <w:tcBorders>
              <w:bottom w:val="single" w:sz="8" w:color="auto"/>
            </w:tcBorders>
            <w:gridSpan w:val="2"/>
          </w:tcPr>
          <w:p>
            <w:pPr>
              <w:jc w:val="center"/>
              <w:spacing w:after="0"/>
              <w:rPr>
                <w:sz w:val="20"/>
                <w:szCs w:val="20"/>
                <w:color w:val="auto"/>
              </w:rPr>
            </w:pPr>
            <w:r>
              <w:rPr>
                <w:rFonts w:ascii="Arial" w:cs="Arial" w:eastAsia="Arial" w:hAnsi="Arial"/>
                <w:sz w:val="18"/>
                <w:szCs w:val="18"/>
                <w:b w:val="1"/>
                <w:bCs w:val="1"/>
                <w:color w:val="auto"/>
                <w:w w:val="99"/>
              </w:rPr>
              <w:t>SCHEDULE A</w:t>
            </w:r>
          </w:p>
        </w:tc>
        <w:tc>
          <w:tcPr>
            <w:tcW w:w="8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800" w:type="dxa"/>
            <w:vAlign w:val="bottom"/>
          </w:tcPr>
          <w:p>
            <w:pPr>
              <w:spacing w:after="0"/>
              <w:rPr>
                <w:sz w:val="17"/>
                <w:szCs w:val="17"/>
                <w:color w:val="auto"/>
              </w:rPr>
            </w:pPr>
          </w:p>
        </w:tc>
      </w:tr>
      <w:tr>
        <w:trPr>
          <w:trHeight w:val="412"/>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540" w:type="dxa"/>
            <w:vAlign w:val="bottom"/>
            <w:gridSpan w:val="15"/>
          </w:tcPr>
          <w:p>
            <w:pPr>
              <w:jc w:val="center"/>
              <w:ind w:right="1240"/>
              <w:spacing w:after="0"/>
              <w:rPr>
                <w:sz w:val="20"/>
                <w:szCs w:val="20"/>
                <w:color w:val="auto"/>
              </w:rPr>
            </w:pPr>
            <w:r>
              <w:rPr>
                <w:rFonts w:ascii="Arial" w:cs="Arial" w:eastAsia="Arial" w:hAnsi="Arial"/>
                <w:sz w:val="18"/>
                <w:szCs w:val="18"/>
                <w:b w:val="1"/>
                <w:bCs w:val="1"/>
                <w:color w:val="auto"/>
                <w:w w:val="89"/>
              </w:rPr>
              <w:t>Transactions in the Shares During the Past Sixty Days</w:t>
            </w: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438"/>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2600" w:type="dxa"/>
            <w:vAlign w:val="bottom"/>
            <w:tcBorders>
              <w:top w:val="single" w:sz="8" w:color="auto"/>
            </w:tcBorders>
            <w:gridSpan w:val="6"/>
          </w:tcPr>
          <w:p>
            <w:pPr>
              <w:jc w:val="center"/>
              <w:ind w:right="260"/>
              <w:spacing w:after="0"/>
              <w:rPr>
                <w:sz w:val="20"/>
                <w:szCs w:val="20"/>
                <w:color w:val="auto"/>
              </w:rPr>
            </w:pPr>
            <w:r>
              <w:rPr>
                <w:rFonts w:ascii="Arial" w:cs="Arial" w:eastAsia="Arial" w:hAnsi="Arial"/>
                <w:sz w:val="18"/>
                <w:szCs w:val="18"/>
                <w:color w:val="auto"/>
                <w:w w:val="92"/>
              </w:rPr>
              <w:t>Amount of Securities</w:t>
            </w:r>
          </w:p>
        </w:tc>
        <w:tc>
          <w:tcPr>
            <w:tcW w:w="88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40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5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820" w:type="dxa"/>
            <w:vAlign w:val="bottom"/>
            <w:gridSpan w:val="2"/>
          </w:tcPr>
          <w:p>
            <w:pPr>
              <w:jc w:val="center"/>
              <w:ind w:right="800"/>
              <w:spacing w:after="0"/>
              <w:rPr>
                <w:sz w:val="20"/>
                <w:szCs w:val="20"/>
                <w:color w:val="auto"/>
              </w:rPr>
            </w:pPr>
            <w:r>
              <w:rPr>
                <w:rFonts w:ascii="Arial" w:cs="Arial" w:eastAsia="Arial" w:hAnsi="Arial"/>
                <w:sz w:val="18"/>
                <w:szCs w:val="18"/>
                <w:color w:val="auto"/>
                <w:w w:val="92"/>
              </w:rPr>
              <w:t>Date of</w:t>
            </w:r>
          </w:p>
        </w:tc>
      </w:tr>
      <w:tr>
        <w:trPr>
          <w:trHeight w:val="190"/>
        </w:trPr>
        <w:tc>
          <w:tcPr>
            <w:tcW w:w="2880" w:type="dxa"/>
            <w:vAlign w:val="bottom"/>
            <w:gridSpan w:val="3"/>
          </w:tcPr>
          <w:p>
            <w:pPr>
              <w:ind w:left="860"/>
              <w:spacing w:after="0" w:line="190" w:lineRule="exact"/>
              <w:rPr>
                <w:sz w:val="20"/>
                <w:szCs w:val="20"/>
                <w:color w:val="auto"/>
              </w:rPr>
            </w:pPr>
            <w:r>
              <w:rPr>
                <w:rFonts w:ascii="Arial" w:cs="Arial" w:eastAsia="Arial" w:hAnsi="Arial"/>
                <w:sz w:val="18"/>
                <w:szCs w:val="18"/>
                <w:color w:val="auto"/>
                <w:w w:val="98"/>
              </w:rPr>
              <w:t>Nature of the Transaction</w:t>
            </w:r>
          </w:p>
        </w:tc>
        <w:tc>
          <w:tcPr>
            <w:tcW w:w="1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60" w:type="dxa"/>
            <w:vAlign w:val="bottom"/>
            <w:gridSpan w:val="3"/>
          </w:tcPr>
          <w:p>
            <w:pPr>
              <w:jc w:val="center"/>
              <w:ind w:right="820"/>
              <w:spacing w:after="0" w:line="190" w:lineRule="exact"/>
              <w:rPr>
                <w:sz w:val="20"/>
                <w:szCs w:val="20"/>
                <w:color w:val="auto"/>
              </w:rPr>
            </w:pPr>
            <w:r>
              <w:rPr>
                <w:rFonts w:ascii="Arial" w:cs="Arial" w:eastAsia="Arial" w:hAnsi="Arial"/>
                <w:sz w:val="18"/>
                <w:szCs w:val="18"/>
                <w:color w:val="auto"/>
                <w:w w:val="89"/>
              </w:rPr>
              <w:t>Purchased/(Sold)</w:t>
            </w:r>
          </w:p>
        </w:tc>
        <w:tc>
          <w:tcPr>
            <w:tcW w:w="3300" w:type="dxa"/>
            <w:vAlign w:val="bottom"/>
            <w:gridSpan w:val="7"/>
          </w:tcPr>
          <w:p>
            <w:pPr>
              <w:ind w:left="880"/>
              <w:spacing w:after="0" w:line="190" w:lineRule="exact"/>
              <w:rPr>
                <w:sz w:val="20"/>
                <w:szCs w:val="20"/>
                <w:color w:val="auto"/>
              </w:rPr>
            </w:pPr>
            <w:r>
              <w:rPr>
                <w:rFonts w:ascii="Arial" w:cs="Arial" w:eastAsia="Arial" w:hAnsi="Arial"/>
                <w:sz w:val="18"/>
                <w:szCs w:val="18"/>
                <w:color w:val="auto"/>
              </w:rPr>
              <w:t xml:space="preserve">Price </w:t>
            </w:r>
            <w:r>
              <w:rPr>
                <w:rFonts w:ascii="Arial" w:cs="Arial" w:eastAsia="Arial" w:hAnsi="Arial"/>
                <w:sz w:val="18"/>
                <w:szCs w:val="18"/>
                <w:u w:val="single" w:color="auto"/>
                <w:color w:val="auto"/>
              </w:rPr>
              <w:t>($</w:t>
            </w:r>
            <w:r>
              <w:rPr>
                <w:rFonts w:ascii="Arial" w:cs="Arial" w:eastAsia="Arial" w:hAnsi="Arial"/>
                <w:sz w:val="18"/>
                <w:szCs w:val="18"/>
                <w:color w:val="auto"/>
              </w:rPr>
              <w:t>)</w:t>
            </w:r>
          </w:p>
        </w:tc>
        <w:tc>
          <w:tcPr>
            <w:tcW w:w="1820" w:type="dxa"/>
            <w:vAlign w:val="bottom"/>
            <w:gridSpan w:val="2"/>
          </w:tcPr>
          <w:p>
            <w:pPr>
              <w:jc w:val="center"/>
              <w:ind w:right="800"/>
              <w:spacing w:after="0" w:line="190" w:lineRule="exact"/>
              <w:rPr>
                <w:sz w:val="20"/>
                <w:szCs w:val="20"/>
                <w:color w:val="auto"/>
              </w:rPr>
            </w:pPr>
            <w:r>
              <w:rPr>
                <w:rFonts w:ascii="Arial" w:cs="Arial" w:eastAsia="Arial" w:hAnsi="Arial"/>
                <w:sz w:val="18"/>
                <w:szCs w:val="18"/>
                <w:color w:val="auto"/>
                <w:w w:val="87"/>
              </w:rPr>
              <w:t>Purchase/Sale</w:t>
            </w:r>
          </w:p>
        </w:tc>
      </w:tr>
      <w:tr>
        <w:trPr>
          <w:trHeight w:val="20"/>
        </w:trPr>
        <w:tc>
          <w:tcPr>
            <w:tcW w:w="860" w:type="dxa"/>
            <w:vAlign w:val="bottom"/>
          </w:tcPr>
          <w:p>
            <w:pPr>
              <w:spacing w:after="0" w:line="20" w:lineRule="exact"/>
              <w:rPr>
                <w:sz w:val="1"/>
                <w:szCs w:val="1"/>
                <w:color w:val="auto"/>
              </w:rPr>
            </w:pPr>
          </w:p>
        </w:tc>
        <w:tc>
          <w:tcPr>
            <w:tcW w:w="18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40" w:type="dxa"/>
            <w:vAlign w:val="bottom"/>
            <w:gridSpan w:val="2"/>
            <w:shd w:val="clear" w:color="auto" w:fill="000000"/>
          </w:tcPr>
          <w:p>
            <w:pPr>
              <w:spacing w:after="0" w:line="20" w:lineRule="exact"/>
              <w:rPr>
                <w:sz w:val="1"/>
                <w:szCs w:val="1"/>
                <w:color w:val="auto"/>
              </w:rPr>
            </w:pPr>
          </w:p>
        </w:tc>
        <w:tc>
          <w:tcPr>
            <w:tcW w:w="170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80" w:type="dxa"/>
            <w:vAlign w:val="bottom"/>
            <w:tcBorders>
              <w:right w:val="single" w:sz="8" w:color="auto"/>
            </w:tcBorders>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02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r>
      <w:tr>
        <w:trPr>
          <w:trHeight w:val="412"/>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720" w:type="dxa"/>
            <w:vAlign w:val="bottom"/>
            <w:gridSpan w:val="16"/>
          </w:tcPr>
          <w:p>
            <w:pPr>
              <w:jc w:val="center"/>
              <w:ind w:right="1040"/>
              <w:spacing w:after="0"/>
              <w:rPr>
                <w:sz w:val="20"/>
                <w:szCs w:val="20"/>
                <w:color w:val="auto"/>
              </w:rPr>
            </w:pPr>
            <w:r>
              <w:rPr>
                <w:rFonts w:ascii="Arial" w:cs="Arial" w:eastAsia="Arial" w:hAnsi="Arial"/>
                <w:sz w:val="18"/>
                <w:szCs w:val="18"/>
                <w:b w:val="1"/>
                <w:bCs w:val="1"/>
                <w:color w:val="auto"/>
                <w:w w:val="99"/>
              </w:rPr>
              <w:t>STARBOARD VALUE AND OPPORTUNITY MASTER FUND LTD</w:t>
            </w: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237"/>
        </w:trPr>
        <w:tc>
          <w:tcPr>
            <w:tcW w:w="86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580" w:type="dxa"/>
            <w:vAlign w:val="bottom"/>
            <w:tcBorders>
              <w:top w:val="single" w:sz="8" w:color="auto"/>
            </w:tcBorders>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580" w:type="dxa"/>
            <w:vAlign w:val="bottom"/>
            <w:tcBorders>
              <w:top w:val="single" w:sz="8" w:color="auto"/>
            </w:tcBorders>
          </w:tcPr>
          <w:p>
            <w:pPr>
              <w:spacing w:after="0"/>
              <w:rPr>
                <w:sz w:val="20"/>
                <w:szCs w:val="20"/>
                <w:color w:val="auto"/>
              </w:rPr>
            </w:pPr>
          </w:p>
        </w:tc>
        <w:tc>
          <w:tcPr>
            <w:tcW w:w="12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800" w:type="dxa"/>
            <w:vAlign w:val="bottom"/>
          </w:tcPr>
          <w:p>
            <w:pPr>
              <w:spacing w:after="0"/>
              <w:rPr>
                <w:sz w:val="20"/>
                <w:szCs w:val="20"/>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Forward Contract</w:t>
            </w:r>
          </w:p>
        </w:tc>
        <w:tc>
          <w:tcPr>
            <w:tcW w:w="2600" w:type="dxa"/>
            <w:vAlign w:val="bottom"/>
            <w:gridSpan w:val="8"/>
            <w:shd w:val="clear" w:color="auto" w:fill="CCEEFF"/>
          </w:tcPr>
          <w:p>
            <w:pPr>
              <w:jc w:val="center"/>
              <w:ind w:left="1290"/>
              <w:spacing w:after="0"/>
              <w:rPr>
                <w:sz w:val="20"/>
                <w:szCs w:val="20"/>
                <w:color w:val="auto"/>
              </w:rPr>
            </w:pPr>
            <w:r>
              <w:rPr>
                <w:rFonts w:ascii="Arial" w:cs="Arial" w:eastAsia="Arial" w:hAnsi="Arial"/>
                <w:sz w:val="18"/>
                <w:szCs w:val="18"/>
                <w:color w:val="auto"/>
                <w:w w:val="89"/>
              </w:rPr>
              <w:t>446,918</w:t>
            </w: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17.5366</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shd w:val="clear" w:color="auto" w:fill="CCEEFF"/>
          </w:tcPr>
          <w:p>
            <w:pPr>
              <w:spacing w:after="0"/>
              <w:rPr>
                <w:sz w:val="18"/>
                <w:szCs w:val="18"/>
                <w:color w:val="auto"/>
              </w:rPr>
            </w:pPr>
          </w:p>
        </w:tc>
      </w:tr>
      <w:tr>
        <w:trPr>
          <w:trHeight w:val="257"/>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Sale of Put Option</w:t>
            </w:r>
          </w:p>
        </w:tc>
        <w:tc>
          <w:tcPr>
            <w:tcW w:w="2600" w:type="dxa"/>
            <w:vAlign w:val="bottom"/>
            <w:gridSpan w:val="8"/>
          </w:tcPr>
          <w:p>
            <w:pPr>
              <w:jc w:val="center"/>
              <w:ind w:left="1270"/>
              <w:spacing w:after="0" w:line="256" w:lineRule="exact"/>
              <w:rPr>
                <w:sz w:val="20"/>
                <w:szCs w:val="20"/>
                <w:color w:val="auto"/>
              </w:rPr>
            </w:pPr>
            <w:r>
              <w:rPr>
                <w:rFonts w:ascii="Arial" w:cs="Arial" w:eastAsia="Arial" w:hAnsi="Arial"/>
                <w:sz w:val="18"/>
                <w:szCs w:val="18"/>
                <w:color w:val="auto"/>
                <w:w w:val="91"/>
              </w:rPr>
              <w:t>(25,607)</w:t>
            </w:r>
            <w:r>
              <w:rPr>
                <w:rFonts w:ascii="Arial" w:cs="Arial" w:eastAsia="Arial" w:hAnsi="Arial"/>
                <w:sz w:val="29"/>
                <w:szCs w:val="29"/>
                <w:color w:val="auto"/>
                <w:w w:val="91"/>
                <w:vertAlign w:val="superscript"/>
              </w:rPr>
              <w:t>*</w:t>
            </w:r>
          </w:p>
        </w:tc>
        <w:tc>
          <w:tcPr>
            <w:tcW w:w="820" w:type="dxa"/>
            <w:vAlign w:val="bottom"/>
          </w:tcPr>
          <w:p>
            <w:pPr>
              <w:spacing w:after="0"/>
              <w:rPr>
                <w:sz w:val="22"/>
                <w:szCs w:val="22"/>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90"/>
              </w:rPr>
              <w:t>0.4100</w:t>
            </w:r>
          </w:p>
        </w:tc>
        <w:tc>
          <w:tcPr>
            <w:tcW w:w="58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10/17/2018</w:t>
            </w:r>
          </w:p>
        </w:tc>
        <w:tc>
          <w:tcPr>
            <w:tcW w:w="800" w:type="dxa"/>
            <w:vAlign w:val="bottom"/>
          </w:tcPr>
          <w:p>
            <w:pPr>
              <w:spacing w:after="0"/>
              <w:rPr>
                <w:sz w:val="22"/>
                <w:szCs w:val="22"/>
                <w:color w:val="auto"/>
              </w:rPr>
            </w:pPr>
          </w:p>
        </w:tc>
      </w:tr>
      <w:tr>
        <w:trPr>
          <w:trHeight w:val="257"/>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Put Option</w:t>
            </w:r>
          </w:p>
        </w:tc>
        <w:tc>
          <w:tcPr>
            <w:tcW w:w="2600" w:type="dxa"/>
            <w:vAlign w:val="bottom"/>
            <w:gridSpan w:val="8"/>
            <w:shd w:val="clear" w:color="auto" w:fill="CCEEFF"/>
          </w:tcPr>
          <w:p>
            <w:pPr>
              <w:jc w:val="center"/>
              <w:ind w:left="1270"/>
              <w:spacing w:after="0" w:line="256" w:lineRule="exact"/>
              <w:rPr>
                <w:sz w:val="20"/>
                <w:szCs w:val="20"/>
                <w:color w:val="auto"/>
              </w:rPr>
            </w:pPr>
            <w:r>
              <w:rPr>
                <w:rFonts w:ascii="Arial" w:cs="Arial" w:eastAsia="Arial" w:hAnsi="Arial"/>
                <w:sz w:val="18"/>
                <w:szCs w:val="18"/>
                <w:color w:val="auto"/>
                <w:w w:val="91"/>
              </w:rPr>
              <w:t>(12,391)</w:t>
            </w:r>
            <w:r>
              <w:rPr>
                <w:rFonts w:ascii="Arial" w:cs="Arial" w:eastAsia="Arial" w:hAnsi="Arial"/>
                <w:sz w:val="29"/>
                <w:szCs w:val="29"/>
                <w:color w:val="auto"/>
                <w:w w:val="91"/>
                <w:vertAlign w:val="superscript"/>
              </w:rPr>
              <w:t>*</w:t>
            </w:r>
          </w:p>
        </w:tc>
        <w:tc>
          <w:tcPr>
            <w:tcW w:w="820" w:type="dxa"/>
            <w:vAlign w:val="bottom"/>
            <w:shd w:val="clear" w:color="auto" w:fill="CCEEFF"/>
          </w:tcPr>
          <w:p>
            <w:pPr>
              <w:spacing w:after="0"/>
              <w:rPr>
                <w:sz w:val="22"/>
                <w:szCs w:val="22"/>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90"/>
              </w:rPr>
              <w:t>0.6300</w:t>
            </w:r>
          </w:p>
        </w:tc>
        <w:tc>
          <w:tcPr>
            <w:tcW w:w="580" w:type="dxa"/>
            <w:vAlign w:val="bottom"/>
            <w:shd w:val="clear" w:color="auto" w:fill="CCEEFF"/>
          </w:tcPr>
          <w:p>
            <w:pPr>
              <w:spacing w:after="0"/>
              <w:rPr>
                <w:sz w:val="22"/>
                <w:szCs w:val="22"/>
                <w:color w:val="auto"/>
              </w:rPr>
            </w:pPr>
          </w:p>
        </w:tc>
        <w:tc>
          <w:tcPr>
            <w:tcW w:w="1220" w:type="dxa"/>
            <w:vAlign w:val="bottom"/>
            <w:shd w:val="clear" w:color="auto" w:fill="CCEEFF"/>
          </w:tcPr>
          <w:p>
            <w:pPr>
              <w:spacing w:after="0"/>
              <w:rPr>
                <w:sz w:val="22"/>
                <w:szCs w:val="22"/>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10/22/2018</w:t>
            </w:r>
          </w:p>
        </w:tc>
        <w:tc>
          <w:tcPr>
            <w:tcW w:w="800" w:type="dxa"/>
            <w:vAlign w:val="bottom"/>
            <w:shd w:val="clear" w:color="auto" w:fill="CCEEFF"/>
          </w:tcPr>
          <w:p>
            <w:pPr>
              <w:spacing w:after="0"/>
              <w:rPr>
                <w:sz w:val="22"/>
                <w:szCs w:val="22"/>
                <w:color w:val="auto"/>
              </w:rPr>
            </w:pPr>
          </w:p>
        </w:tc>
      </w:tr>
      <w:tr>
        <w:trPr>
          <w:trHeight w:val="392"/>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960" w:type="dxa"/>
            <w:vAlign w:val="bottom"/>
            <w:gridSpan w:val="14"/>
          </w:tcPr>
          <w:p>
            <w:pPr>
              <w:jc w:val="center"/>
              <w:ind w:right="1820"/>
              <w:spacing w:after="0"/>
              <w:rPr>
                <w:sz w:val="20"/>
                <w:szCs w:val="20"/>
                <w:color w:val="auto"/>
              </w:rPr>
            </w:pPr>
            <w:r>
              <w:rPr>
                <w:rFonts w:ascii="Arial" w:cs="Arial" w:eastAsia="Arial" w:hAnsi="Arial"/>
                <w:sz w:val="18"/>
                <w:szCs w:val="18"/>
                <w:b w:val="1"/>
                <w:bCs w:val="1"/>
                <w:color w:val="auto"/>
                <w:w w:val="99"/>
              </w:rPr>
              <w:t>STARBOARD VALUE AND OPPORTUNITY S LLC</w:t>
            </w: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237"/>
        </w:trPr>
        <w:tc>
          <w:tcPr>
            <w:tcW w:w="86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800" w:type="dxa"/>
            <w:vAlign w:val="bottom"/>
          </w:tcPr>
          <w:p>
            <w:pPr>
              <w:spacing w:after="0"/>
              <w:rPr>
                <w:sz w:val="20"/>
                <w:szCs w:val="20"/>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shd w:val="clear" w:color="auto" w:fill="CCEEFF"/>
          </w:tcPr>
          <w:p>
            <w:pPr>
              <w:jc w:val="center"/>
              <w:ind w:left="1630"/>
              <w:spacing w:after="0"/>
              <w:rPr>
                <w:sz w:val="20"/>
                <w:szCs w:val="20"/>
                <w:color w:val="auto"/>
              </w:rPr>
            </w:pPr>
            <w:r>
              <w:rPr>
                <w:rFonts w:ascii="Arial" w:cs="Arial" w:eastAsia="Arial" w:hAnsi="Arial"/>
                <w:sz w:val="18"/>
                <w:szCs w:val="18"/>
                <w:color w:val="auto"/>
                <w:w w:val="90"/>
              </w:rPr>
              <w:t>21,465</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18.5338</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09/13/2018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tcPr>
          <w:p>
            <w:pPr>
              <w:jc w:val="center"/>
              <w:ind w:left="1630"/>
              <w:spacing w:after="0"/>
              <w:rPr>
                <w:sz w:val="20"/>
                <w:szCs w:val="20"/>
                <w:color w:val="auto"/>
              </w:rPr>
            </w:pPr>
            <w:r>
              <w:rPr>
                <w:rFonts w:ascii="Arial" w:cs="Arial" w:eastAsia="Arial" w:hAnsi="Arial"/>
                <w:sz w:val="18"/>
                <w:szCs w:val="18"/>
                <w:color w:val="auto"/>
                <w:w w:val="90"/>
              </w:rPr>
              <w:t>59,838</w:t>
            </w:r>
          </w:p>
        </w:tc>
        <w:tc>
          <w:tcPr>
            <w:tcW w:w="3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17.5366</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600" w:type="dxa"/>
            <w:vAlign w:val="bottom"/>
            <w:gridSpan w:val="8"/>
            <w:shd w:val="clear" w:color="auto" w:fill="CCEEFF"/>
          </w:tcPr>
          <w:p>
            <w:pPr>
              <w:jc w:val="center"/>
              <w:ind w:left="1290"/>
              <w:spacing w:after="0"/>
              <w:rPr>
                <w:sz w:val="20"/>
                <w:szCs w:val="20"/>
                <w:color w:val="auto"/>
              </w:rPr>
            </w:pPr>
            <w:r>
              <w:rPr>
                <w:rFonts w:ascii="Arial" w:cs="Arial" w:eastAsia="Arial" w:hAnsi="Arial"/>
                <w:sz w:val="18"/>
                <w:szCs w:val="18"/>
                <w:color w:val="auto"/>
                <w:w w:val="89"/>
              </w:rPr>
              <w:t>118,799</w:t>
            </w: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17.6417</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shd w:val="clear" w:color="auto" w:fill="CCEEFF"/>
          </w:tcPr>
          <w:p>
            <w:pPr>
              <w:spacing w:after="0"/>
              <w:rPr>
                <w:sz w:val="18"/>
                <w:szCs w:val="18"/>
                <w:color w:val="auto"/>
              </w:rPr>
            </w:pPr>
          </w:p>
        </w:tc>
      </w:tr>
      <w:tr>
        <w:trPr>
          <w:trHeight w:val="257"/>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Sale of Put Option</w:t>
            </w:r>
          </w:p>
        </w:tc>
        <w:tc>
          <w:tcPr>
            <w:tcW w:w="2600" w:type="dxa"/>
            <w:vAlign w:val="bottom"/>
            <w:gridSpan w:val="8"/>
          </w:tcPr>
          <w:p>
            <w:pPr>
              <w:jc w:val="center"/>
              <w:ind w:left="1270"/>
              <w:spacing w:after="0" w:line="256" w:lineRule="exact"/>
              <w:rPr>
                <w:sz w:val="20"/>
                <w:szCs w:val="20"/>
                <w:color w:val="auto"/>
              </w:rPr>
            </w:pPr>
            <w:r>
              <w:rPr>
                <w:rFonts w:ascii="Arial" w:cs="Arial" w:eastAsia="Arial" w:hAnsi="Arial"/>
                <w:sz w:val="18"/>
                <w:szCs w:val="18"/>
                <w:color w:val="auto"/>
                <w:w w:val="92"/>
              </w:rPr>
              <w:t>(3,429)</w:t>
            </w:r>
            <w:r>
              <w:rPr>
                <w:rFonts w:ascii="Arial" w:cs="Arial" w:eastAsia="Arial" w:hAnsi="Arial"/>
                <w:sz w:val="29"/>
                <w:szCs w:val="29"/>
                <w:color w:val="auto"/>
                <w:w w:val="92"/>
                <w:vertAlign w:val="superscript"/>
              </w:rPr>
              <w:t>*</w:t>
            </w:r>
          </w:p>
        </w:tc>
        <w:tc>
          <w:tcPr>
            <w:tcW w:w="820" w:type="dxa"/>
            <w:vAlign w:val="bottom"/>
          </w:tcPr>
          <w:p>
            <w:pPr>
              <w:spacing w:after="0"/>
              <w:rPr>
                <w:sz w:val="22"/>
                <w:szCs w:val="22"/>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90"/>
              </w:rPr>
              <w:t>0.4100</w:t>
            </w:r>
          </w:p>
        </w:tc>
        <w:tc>
          <w:tcPr>
            <w:tcW w:w="58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10/17/2018</w:t>
            </w:r>
          </w:p>
        </w:tc>
        <w:tc>
          <w:tcPr>
            <w:tcW w:w="800" w:type="dxa"/>
            <w:vAlign w:val="bottom"/>
          </w:tcPr>
          <w:p>
            <w:pPr>
              <w:spacing w:after="0"/>
              <w:rPr>
                <w:sz w:val="22"/>
                <w:szCs w:val="22"/>
                <w:color w:val="auto"/>
              </w:rPr>
            </w:pPr>
          </w:p>
        </w:tc>
      </w:tr>
      <w:tr>
        <w:trPr>
          <w:trHeight w:val="257"/>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Put Option</w:t>
            </w:r>
          </w:p>
        </w:tc>
        <w:tc>
          <w:tcPr>
            <w:tcW w:w="2600" w:type="dxa"/>
            <w:vAlign w:val="bottom"/>
            <w:gridSpan w:val="8"/>
            <w:shd w:val="clear" w:color="auto" w:fill="CCEEFF"/>
          </w:tcPr>
          <w:p>
            <w:pPr>
              <w:jc w:val="center"/>
              <w:ind w:left="1270"/>
              <w:spacing w:after="0" w:line="256" w:lineRule="exact"/>
              <w:rPr>
                <w:sz w:val="20"/>
                <w:szCs w:val="20"/>
                <w:color w:val="auto"/>
              </w:rPr>
            </w:pPr>
            <w:r>
              <w:rPr>
                <w:rFonts w:ascii="Arial" w:cs="Arial" w:eastAsia="Arial" w:hAnsi="Arial"/>
                <w:sz w:val="18"/>
                <w:szCs w:val="18"/>
                <w:color w:val="auto"/>
                <w:w w:val="92"/>
              </w:rPr>
              <w:t>(1,659)</w:t>
            </w:r>
            <w:r>
              <w:rPr>
                <w:rFonts w:ascii="Arial" w:cs="Arial" w:eastAsia="Arial" w:hAnsi="Arial"/>
                <w:sz w:val="29"/>
                <w:szCs w:val="29"/>
                <w:color w:val="auto"/>
                <w:w w:val="92"/>
                <w:vertAlign w:val="superscript"/>
              </w:rPr>
              <w:t>*</w:t>
            </w:r>
          </w:p>
        </w:tc>
        <w:tc>
          <w:tcPr>
            <w:tcW w:w="820" w:type="dxa"/>
            <w:vAlign w:val="bottom"/>
            <w:shd w:val="clear" w:color="auto" w:fill="CCEEFF"/>
          </w:tcPr>
          <w:p>
            <w:pPr>
              <w:spacing w:after="0"/>
              <w:rPr>
                <w:sz w:val="22"/>
                <w:szCs w:val="22"/>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90"/>
              </w:rPr>
              <w:t>0.6300</w:t>
            </w:r>
          </w:p>
        </w:tc>
        <w:tc>
          <w:tcPr>
            <w:tcW w:w="580" w:type="dxa"/>
            <w:vAlign w:val="bottom"/>
            <w:shd w:val="clear" w:color="auto" w:fill="CCEEFF"/>
          </w:tcPr>
          <w:p>
            <w:pPr>
              <w:spacing w:after="0"/>
              <w:rPr>
                <w:sz w:val="22"/>
                <w:szCs w:val="22"/>
                <w:color w:val="auto"/>
              </w:rPr>
            </w:pPr>
          </w:p>
        </w:tc>
        <w:tc>
          <w:tcPr>
            <w:tcW w:w="1220" w:type="dxa"/>
            <w:vAlign w:val="bottom"/>
            <w:shd w:val="clear" w:color="auto" w:fill="CCEEFF"/>
          </w:tcPr>
          <w:p>
            <w:pPr>
              <w:spacing w:after="0"/>
              <w:rPr>
                <w:sz w:val="22"/>
                <w:szCs w:val="22"/>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10/22/2018</w:t>
            </w:r>
          </w:p>
        </w:tc>
        <w:tc>
          <w:tcPr>
            <w:tcW w:w="800" w:type="dxa"/>
            <w:vAlign w:val="bottom"/>
            <w:shd w:val="clear" w:color="auto" w:fill="CCEEFF"/>
          </w:tcPr>
          <w:p>
            <w:pPr>
              <w:spacing w:after="0"/>
              <w:rPr>
                <w:sz w:val="22"/>
                <w:szCs w:val="22"/>
                <w:color w:val="auto"/>
              </w:rPr>
            </w:pPr>
          </w:p>
        </w:tc>
      </w:tr>
      <w:tr>
        <w:trPr>
          <w:trHeight w:val="392"/>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900" w:type="dxa"/>
            <w:vAlign w:val="bottom"/>
            <w:gridSpan w:val="13"/>
          </w:tcPr>
          <w:p>
            <w:pPr>
              <w:jc w:val="center"/>
              <w:ind w:right="1880"/>
              <w:spacing w:after="0"/>
              <w:rPr>
                <w:sz w:val="20"/>
                <w:szCs w:val="20"/>
                <w:color w:val="auto"/>
              </w:rPr>
            </w:pPr>
            <w:r>
              <w:rPr>
                <w:rFonts w:ascii="Arial" w:cs="Arial" w:eastAsia="Arial" w:hAnsi="Arial"/>
                <w:sz w:val="18"/>
                <w:szCs w:val="18"/>
                <w:b w:val="1"/>
                <w:bCs w:val="1"/>
                <w:color w:val="auto"/>
                <w:w w:val="99"/>
              </w:rPr>
              <w:t>STARBOARD VALUE AND OPPORTUNITY C LP</w:t>
            </w: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237"/>
        </w:trPr>
        <w:tc>
          <w:tcPr>
            <w:tcW w:w="86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800" w:type="dxa"/>
            <w:vAlign w:val="bottom"/>
          </w:tcPr>
          <w:p>
            <w:pPr>
              <w:spacing w:after="0"/>
              <w:rPr>
                <w:sz w:val="20"/>
                <w:szCs w:val="20"/>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shd w:val="clear" w:color="auto" w:fill="CCEEFF"/>
          </w:tcPr>
          <w:p>
            <w:pPr>
              <w:jc w:val="center"/>
              <w:ind w:left="1630"/>
              <w:spacing w:after="0"/>
              <w:rPr>
                <w:sz w:val="20"/>
                <w:szCs w:val="20"/>
                <w:color w:val="auto"/>
              </w:rPr>
            </w:pPr>
            <w:r>
              <w:rPr>
                <w:rFonts w:ascii="Arial" w:cs="Arial" w:eastAsia="Arial" w:hAnsi="Arial"/>
                <w:sz w:val="18"/>
                <w:szCs w:val="18"/>
                <w:color w:val="auto"/>
                <w:w w:val="90"/>
              </w:rPr>
              <w:t>42,927</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18.5338</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09/13/2018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tcPr>
          <w:p>
            <w:pPr>
              <w:jc w:val="center"/>
              <w:ind w:left="1630"/>
              <w:spacing w:after="0"/>
              <w:rPr>
                <w:sz w:val="20"/>
                <w:szCs w:val="20"/>
                <w:color w:val="auto"/>
              </w:rPr>
            </w:pPr>
            <w:r>
              <w:rPr>
                <w:rFonts w:ascii="Arial" w:cs="Arial" w:eastAsia="Arial" w:hAnsi="Arial"/>
                <w:sz w:val="18"/>
                <w:szCs w:val="18"/>
                <w:color w:val="auto"/>
                <w:w w:val="90"/>
              </w:rPr>
              <w:t>34,282</w:t>
            </w:r>
          </w:p>
        </w:tc>
        <w:tc>
          <w:tcPr>
            <w:tcW w:w="3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17.5366</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shd w:val="clear" w:color="auto" w:fill="CCEEFF"/>
          </w:tcPr>
          <w:p>
            <w:pPr>
              <w:jc w:val="center"/>
              <w:ind w:left="1630"/>
              <w:spacing w:after="0"/>
              <w:rPr>
                <w:sz w:val="20"/>
                <w:szCs w:val="20"/>
                <w:color w:val="auto"/>
              </w:rPr>
            </w:pPr>
            <w:r>
              <w:rPr>
                <w:rFonts w:ascii="Arial" w:cs="Arial" w:eastAsia="Arial" w:hAnsi="Arial"/>
                <w:sz w:val="18"/>
                <w:szCs w:val="18"/>
                <w:color w:val="auto"/>
                <w:w w:val="90"/>
              </w:rPr>
              <w:t>68,062</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17.6417</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shd w:val="clear" w:color="auto" w:fill="CCEEFF"/>
          </w:tcPr>
          <w:p>
            <w:pPr>
              <w:spacing w:after="0"/>
              <w:rPr>
                <w:sz w:val="18"/>
                <w:szCs w:val="18"/>
                <w:color w:val="auto"/>
              </w:rPr>
            </w:pPr>
          </w:p>
        </w:tc>
      </w:tr>
      <w:tr>
        <w:trPr>
          <w:trHeight w:val="257"/>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Sale of Put Option</w:t>
            </w:r>
          </w:p>
        </w:tc>
        <w:tc>
          <w:tcPr>
            <w:tcW w:w="2600" w:type="dxa"/>
            <w:vAlign w:val="bottom"/>
            <w:gridSpan w:val="8"/>
          </w:tcPr>
          <w:p>
            <w:pPr>
              <w:jc w:val="center"/>
              <w:ind w:left="1270"/>
              <w:spacing w:after="0" w:line="256" w:lineRule="exact"/>
              <w:rPr>
                <w:sz w:val="20"/>
                <w:szCs w:val="20"/>
                <w:color w:val="auto"/>
              </w:rPr>
            </w:pPr>
            <w:r>
              <w:rPr>
                <w:rFonts w:ascii="Arial" w:cs="Arial" w:eastAsia="Arial" w:hAnsi="Arial"/>
                <w:sz w:val="18"/>
                <w:szCs w:val="18"/>
                <w:color w:val="auto"/>
                <w:w w:val="92"/>
              </w:rPr>
              <w:t>(1,964)</w:t>
            </w:r>
            <w:r>
              <w:rPr>
                <w:rFonts w:ascii="Arial" w:cs="Arial" w:eastAsia="Arial" w:hAnsi="Arial"/>
                <w:sz w:val="29"/>
                <w:szCs w:val="29"/>
                <w:color w:val="auto"/>
                <w:w w:val="92"/>
                <w:vertAlign w:val="superscript"/>
              </w:rPr>
              <w:t>*</w:t>
            </w:r>
          </w:p>
        </w:tc>
        <w:tc>
          <w:tcPr>
            <w:tcW w:w="820" w:type="dxa"/>
            <w:vAlign w:val="bottom"/>
          </w:tcPr>
          <w:p>
            <w:pPr>
              <w:spacing w:after="0"/>
              <w:rPr>
                <w:sz w:val="22"/>
                <w:szCs w:val="22"/>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90"/>
              </w:rPr>
              <w:t>0.4100</w:t>
            </w:r>
          </w:p>
        </w:tc>
        <w:tc>
          <w:tcPr>
            <w:tcW w:w="58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10/17/2018</w:t>
            </w:r>
          </w:p>
        </w:tc>
        <w:tc>
          <w:tcPr>
            <w:tcW w:w="800" w:type="dxa"/>
            <w:vAlign w:val="bottom"/>
          </w:tcPr>
          <w:p>
            <w:pPr>
              <w:spacing w:after="0"/>
              <w:rPr>
                <w:sz w:val="22"/>
                <w:szCs w:val="22"/>
                <w:color w:val="auto"/>
              </w:rPr>
            </w:pPr>
          </w:p>
        </w:tc>
      </w:tr>
      <w:tr>
        <w:trPr>
          <w:trHeight w:val="257"/>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Put Option</w:t>
            </w:r>
          </w:p>
        </w:tc>
        <w:tc>
          <w:tcPr>
            <w:tcW w:w="2260" w:type="dxa"/>
            <w:vAlign w:val="bottom"/>
            <w:gridSpan w:val="7"/>
            <w:shd w:val="clear" w:color="auto" w:fill="CCEEFF"/>
          </w:tcPr>
          <w:p>
            <w:pPr>
              <w:jc w:val="center"/>
              <w:ind w:left="1630"/>
              <w:spacing w:after="0" w:line="256" w:lineRule="exact"/>
              <w:rPr>
                <w:sz w:val="20"/>
                <w:szCs w:val="20"/>
                <w:color w:val="auto"/>
              </w:rPr>
            </w:pPr>
            <w:r>
              <w:rPr>
                <w:rFonts w:ascii="Arial" w:cs="Arial" w:eastAsia="Arial" w:hAnsi="Arial"/>
                <w:sz w:val="18"/>
                <w:szCs w:val="18"/>
                <w:color w:val="auto"/>
                <w:w w:val="92"/>
              </w:rPr>
              <w:t>(950)</w:t>
            </w:r>
            <w:r>
              <w:rPr>
                <w:rFonts w:ascii="Arial" w:cs="Arial" w:eastAsia="Arial" w:hAnsi="Arial"/>
                <w:sz w:val="29"/>
                <w:szCs w:val="29"/>
                <w:color w:val="auto"/>
                <w:w w:val="92"/>
                <w:vertAlign w:val="superscript"/>
              </w:rPr>
              <w:t>*</w:t>
            </w:r>
          </w:p>
        </w:tc>
        <w:tc>
          <w:tcPr>
            <w:tcW w:w="340" w:type="dxa"/>
            <w:vAlign w:val="bottom"/>
            <w:shd w:val="clear" w:color="auto" w:fill="CCEEFF"/>
          </w:tcPr>
          <w:p>
            <w:pPr>
              <w:spacing w:after="0"/>
              <w:rPr>
                <w:sz w:val="22"/>
                <w:szCs w:val="22"/>
                <w:color w:val="auto"/>
              </w:rPr>
            </w:pPr>
          </w:p>
        </w:tc>
        <w:tc>
          <w:tcPr>
            <w:tcW w:w="820" w:type="dxa"/>
            <w:vAlign w:val="bottom"/>
            <w:shd w:val="clear" w:color="auto" w:fill="CCEEFF"/>
          </w:tcPr>
          <w:p>
            <w:pPr>
              <w:spacing w:after="0"/>
              <w:rPr>
                <w:sz w:val="22"/>
                <w:szCs w:val="22"/>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90"/>
              </w:rPr>
              <w:t>0.6300</w:t>
            </w:r>
          </w:p>
        </w:tc>
        <w:tc>
          <w:tcPr>
            <w:tcW w:w="580" w:type="dxa"/>
            <w:vAlign w:val="bottom"/>
            <w:shd w:val="clear" w:color="auto" w:fill="CCEEFF"/>
          </w:tcPr>
          <w:p>
            <w:pPr>
              <w:spacing w:after="0"/>
              <w:rPr>
                <w:sz w:val="22"/>
                <w:szCs w:val="22"/>
                <w:color w:val="auto"/>
              </w:rPr>
            </w:pPr>
          </w:p>
        </w:tc>
        <w:tc>
          <w:tcPr>
            <w:tcW w:w="1220" w:type="dxa"/>
            <w:vAlign w:val="bottom"/>
            <w:shd w:val="clear" w:color="auto" w:fill="CCEEFF"/>
          </w:tcPr>
          <w:p>
            <w:pPr>
              <w:spacing w:after="0"/>
              <w:rPr>
                <w:sz w:val="22"/>
                <w:szCs w:val="22"/>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10/22/2018</w:t>
            </w:r>
          </w:p>
        </w:tc>
        <w:tc>
          <w:tcPr>
            <w:tcW w:w="800" w:type="dxa"/>
            <w:vAlign w:val="bottom"/>
            <w:shd w:val="clear" w:color="auto" w:fill="CCEEFF"/>
          </w:tcPr>
          <w:p>
            <w:pPr>
              <w:spacing w:after="0"/>
              <w:rPr>
                <w:sz w:val="22"/>
                <w:szCs w:val="22"/>
                <w:color w:val="auto"/>
              </w:rPr>
            </w:pPr>
          </w:p>
        </w:tc>
      </w:tr>
      <w:tr>
        <w:trPr>
          <w:trHeight w:val="392"/>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500" w:type="dxa"/>
            <w:vAlign w:val="bottom"/>
            <w:gridSpan w:val="12"/>
          </w:tcPr>
          <w:p>
            <w:pPr>
              <w:jc w:val="center"/>
              <w:ind w:right="2260"/>
              <w:spacing w:after="0"/>
              <w:rPr>
                <w:sz w:val="20"/>
                <w:szCs w:val="20"/>
                <w:color w:val="auto"/>
              </w:rPr>
            </w:pPr>
            <w:r>
              <w:rPr>
                <w:rFonts w:ascii="Arial" w:cs="Arial" w:eastAsia="Arial" w:hAnsi="Arial"/>
                <w:sz w:val="18"/>
                <w:szCs w:val="18"/>
                <w:b w:val="1"/>
                <w:bCs w:val="1"/>
                <w:color w:val="auto"/>
                <w:w w:val="99"/>
              </w:rPr>
              <w:t>STARBOARD LEADERS JULIET LLC</w:t>
            </w: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237"/>
        </w:trPr>
        <w:tc>
          <w:tcPr>
            <w:tcW w:w="86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800" w:type="dxa"/>
            <w:vAlign w:val="bottom"/>
          </w:tcPr>
          <w:p>
            <w:pPr>
              <w:spacing w:after="0"/>
              <w:rPr>
                <w:sz w:val="20"/>
                <w:szCs w:val="20"/>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Forward Contract</w:t>
            </w:r>
          </w:p>
        </w:tc>
        <w:tc>
          <w:tcPr>
            <w:tcW w:w="2260" w:type="dxa"/>
            <w:vAlign w:val="bottom"/>
            <w:gridSpan w:val="7"/>
            <w:shd w:val="clear" w:color="auto" w:fill="CCEEFF"/>
          </w:tcPr>
          <w:p>
            <w:pPr>
              <w:jc w:val="center"/>
              <w:ind w:left="1630"/>
              <w:spacing w:after="0"/>
              <w:rPr>
                <w:sz w:val="20"/>
                <w:szCs w:val="20"/>
                <w:color w:val="auto"/>
              </w:rPr>
            </w:pPr>
            <w:r>
              <w:rPr>
                <w:rFonts w:ascii="Arial" w:cs="Arial" w:eastAsia="Arial" w:hAnsi="Arial"/>
                <w:sz w:val="18"/>
                <w:szCs w:val="18"/>
                <w:color w:val="auto"/>
                <w:w w:val="90"/>
              </w:rPr>
              <w:t>40,029</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18.5338</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09/13/2018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Forward Contract</w:t>
            </w:r>
          </w:p>
        </w:tc>
        <w:tc>
          <w:tcPr>
            <w:tcW w:w="2600" w:type="dxa"/>
            <w:vAlign w:val="bottom"/>
            <w:gridSpan w:val="8"/>
          </w:tcPr>
          <w:p>
            <w:pPr>
              <w:jc w:val="center"/>
              <w:ind w:left="1290"/>
              <w:spacing w:after="0"/>
              <w:rPr>
                <w:sz w:val="20"/>
                <w:szCs w:val="20"/>
                <w:color w:val="auto"/>
              </w:rPr>
            </w:pPr>
            <w:r>
              <w:rPr>
                <w:rFonts w:ascii="Arial" w:cs="Arial" w:eastAsia="Arial" w:hAnsi="Arial"/>
                <w:sz w:val="18"/>
                <w:szCs w:val="18"/>
                <w:color w:val="auto"/>
                <w:w w:val="89"/>
              </w:rPr>
              <w:t>158,453</w:t>
            </w: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18.5338</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09/13/2018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Forward Contract</w:t>
            </w:r>
          </w:p>
        </w:tc>
        <w:tc>
          <w:tcPr>
            <w:tcW w:w="2260" w:type="dxa"/>
            <w:vAlign w:val="bottom"/>
            <w:gridSpan w:val="7"/>
            <w:shd w:val="clear" w:color="auto" w:fill="CCEEFF"/>
          </w:tcPr>
          <w:p>
            <w:pPr>
              <w:jc w:val="center"/>
              <w:ind w:left="1630"/>
              <w:spacing w:after="0"/>
              <w:rPr>
                <w:sz w:val="20"/>
                <w:szCs w:val="20"/>
                <w:color w:val="auto"/>
              </w:rPr>
            </w:pPr>
            <w:r>
              <w:rPr>
                <w:rFonts w:ascii="Arial" w:cs="Arial" w:eastAsia="Arial" w:hAnsi="Arial"/>
                <w:sz w:val="18"/>
                <w:szCs w:val="18"/>
                <w:color w:val="auto"/>
                <w:w w:val="90"/>
              </w:rPr>
              <w:t>46,850</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18.8507</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09/14/2018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Forward Contract</w:t>
            </w:r>
          </w:p>
        </w:tc>
        <w:tc>
          <w:tcPr>
            <w:tcW w:w="2600" w:type="dxa"/>
            <w:vAlign w:val="bottom"/>
            <w:gridSpan w:val="8"/>
          </w:tcPr>
          <w:p>
            <w:pPr>
              <w:jc w:val="center"/>
              <w:ind w:left="1290"/>
              <w:spacing w:after="0"/>
              <w:rPr>
                <w:sz w:val="20"/>
                <w:szCs w:val="20"/>
                <w:color w:val="auto"/>
              </w:rPr>
            </w:pPr>
            <w:r>
              <w:rPr>
                <w:rFonts w:ascii="Arial" w:cs="Arial" w:eastAsia="Arial" w:hAnsi="Arial"/>
                <w:sz w:val="18"/>
                <w:szCs w:val="18"/>
                <w:color w:val="auto"/>
                <w:w w:val="89"/>
              </w:rPr>
              <w:t>185,457</w:t>
            </w: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18.8507</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09/14/2018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Forward Contract</w:t>
            </w:r>
          </w:p>
        </w:tc>
        <w:tc>
          <w:tcPr>
            <w:tcW w:w="2260" w:type="dxa"/>
            <w:vAlign w:val="bottom"/>
            <w:gridSpan w:val="7"/>
            <w:shd w:val="clear" w:color="auto" w:fill="CCEEFF"/>
          </w:tcPr>
          <w:p>
            <w:pPr>
              <w:jc w:val="center"/>
              <w:ind w:left="1610"/>
              <w:spacing w:after="0"/>
              <w:rPr>
                <w:sz w:val="20"/>
                <w:szCs w:val="20"/>
                <w:color w:val="auto"/>
              </w:rPr>
            </w:pPr>
            <w:r>
              <w:rPr>
                <w:rFonts w:ascii="Arial" w:cs="Arial" w:eastAsia="Arial" w:hAnsi="Arial"/>
                <w:sz w:val="18"/>
                <w:szCs w:val="18"/>
                <w:color w:val="auto"/>
                <w:w w:val="88"/>
              </w:rPr>
              <w:t>1,462</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17.5366</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shd w:val="clear" w:color="auto" w:fill="CCEEFF"/>
          </w:tcPr>
          <w:p>
            <w:pPr>
              <w:spacing w:after="0"/>
              <w:rPr>
                <w:sz w:val="18"/>
                <w:szCs w:val="18"/>
                <w:color w:val="auto"/>
              </w:rPr>
            </w:pPr>
          </w:p>
        </w:tc>
      </w:tr>
      <w:tr>
        <w:trPr>
          <w:trHeight w:val="230"/>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Forward Contract</w:t>
            </w:r>
          </w:p>
        </w:tc>
        <w:tc>
          <w:tcPr>
            <w:tcW w:w="2260" w:type="dxa"/>
            <w:vAlign w:val="bottom"/>
            <w:gridSpan w:val="7"/>
          </w:tcPr>
          <w:p>
            <w:pPr>
              <w:jc w:val="center"/>
              <w:ind w:left="1630"/>
              <w:spacing w:after="0"/>
              <w:rPr>
                <w:sz w:val="20"/>
                <w:szCs w:val="20"/>
                <w:color w:val="auto"/>
              </w:rPr>
            </w:pPr>
            <w:r>
              <w:rPr>
                <w:rFonts w:ascii="Arial" w:cs="Arial" w:eastAsia="Arial" w:hAnsi="Arial"/>
                <w:sz w:val="18"/>
                <w:szCs w:val="18"/>
                <w:color w:val="auto"/>
                <w:w w:val="90"/>
              </w:rPr>
              <w:t>17,532</w:t>
            </w:r>
          </w:p>
        </w:tc>
        <w:tc>
          <w:tcPr>
            <w:tcW w:w="3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17.5366</w:t>
            </w:r>
          </w:p>
        </w:tc>
        <w:tc>
          <w:tcPr>
            <w:tcW w:w="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tcPr>
          <w:p>
            <w:pPr>
              <w:spacing w:after="0"/>
              <w:rPr>
                <w:sz w:val="20"/>
                <w:szCs w:val="20"/>
                <w:color w:val="auto"/>
              </w:rPr>
            </w:pPr>
          </w:p>
        </w:tc>
      </w:tr>
      <w:tr>
        <w:trPr>
          <w:trHeight w:val="377"/>
        </w:trPr>
        <w:tc>
          <w:tcPr>
            <w:tcW w:w="86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500" w:type="dxa"/>
            <w:vAlign w:val="bottom"/>
            <w:gridSpan w:val="12"/>
          </w:tcPr>
          <w:p>
            <w:pPr>
              <w:jc w:val="center"/>
              <w:ind w:right="2280"/>
              <w:spacing w:after="0"/>
              <w:rPr>
                <w:sz w:val="20"/>
                <w:szCs w:val="20"/>
                <w:color w:val="auto"/>
              </w:rPr>
            </w:pPr>
            <w:r>
              <w:rPr>
                <w:rFonts w:ascii="Arial" w:cs="Arial" w:eastAsia="Arial" w:hAnsi="Arial"/>
                <w:sz w:val="18"/>
                <w:szCs w:val="18"/>
                <w:b w:val="1"/>
                <w:bCs w:val="1"/>
                <w:color w:val="auto"/>
                <w:w w:val="99"/>
              </w:rPr>
              <w:t>STARBOARD LEADERS SELECT II LP</w:t>
            </w:r>
          </w:p>
        </w:tc>
        <w:tc>
          <w:tcPr>
            <w:tcW w:w="10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237"/>
        </w:trPr>
        <w:tc>
          <w:tcPr>
            <w:tcW w:w="86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p>
        </w:tc>
        <w:tc>
          <w:tcPr>
            <w:tcW w:w="900" w:type="dxa"/>
            <w:vAlign w:val="bottom"/>
            <w:tcBorders>
              <w:top w:val="single" w:sz="8" w:color="auto"/>
            </w:tcBorders>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82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4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800" w:type="dxa"/>
            <w:vAlign w:val="bottom"/>
          </w:tcPr>
          <w:p>
            <w:pPr>
              <w:spacing w:after="0"/>
              <w:rPr>
                <w:sz w:val="20"/>
                <w:szCs w:val="20"/>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shd w:val="clear" w:color="auto" w:fill="CCEEFF"/>
          </w:tcPr>
          <w:p>
            <w:pPr>
              <w:jc w:val="center"/>
              <w:ind w:left="1630"/>
              <w:spacing w:after="0"/>
              <w:rPr>
                <w:sz w:val="20"/>
                <w:szCs w:val="20"/>
                <w:color w:val="auto"/>
              </w:rPr>
            </w:pPr>
            <w:r>
              <w:rPr>
                <w:rFonts w:ascii="Arial" w:cs="Arial" w:eastAsia="Arial" w:hAnsi="Arial"/>
                <w:sz w:val="18"/>
                <w:szCs w:val="18"/>
                <w:color w:val="auto"/>
                <w:w w:val="90"/>
              </w:rPr>
              <w:t>79,576</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18.5338</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09/13/2018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tcPr>
          <w:p>
            <w:pPr>
              <w:jc w:val="center"/>
              <w:ind w:left="1630"/>
              <w:spacing w:after="0"/>
              <w:rPr>
                <w:sz w:val="20"/>
                <w:szCs w:val="20"/>
                <w:color w:val="auto"/>
              </w:rPr>
            </w:pPr>
            <w:r>
              <w:rPr>
                <w:rFonts w:ascii="Arial" w:cs="Arial" w:eastAsia="Arial" w:hAnsi="Arial"/>
                <w:sz w:val="18"/>
                <w:szCs w:val="18"/>
                <w:color w:val="auto"/>
                <w:w w:val="90"/>
              </w:rPr>
              <w:t>93,138</w:t>
            </w:r>
          </w:p>
        </w:tc>
        <w:tc>
          <w:tcPr>
            <w:tcW w:w="3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18.8507</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09/14/2018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Forward Contract</w:t>
            </w:r>
          </w:p>
        </w:tc>
        <w:tc>
          <w:tcPr>
            <w:tcW w:w="2600" w:type="dxa"/>
            <w:vAlign w:val="bottom"/>
            <w:gridSpan w:val="8"/>
            <w:shd w:val="clear" w:color="auto" w:fill="CCEEFF"/>
          </w:tcPr>
          <w:p>
            <w:pPr>
              <w:jc w:val="center"/>
              <w:ind w:left="1270"/>
              <w:spacing w:after="0"/>
              <w:rPr>
                <w:sz w:val="20"/>
                <w:szCs w:val="20"/>
                <w:color w:val="auto"/>
              </w:rPr>
            </w:pPr>
            <w:r>
              <w:rPr>
                <w:rFonts w:ascii="Arial" w:cs="Arial" w:eastAsia="Arial" w:hAnsi="Arial"/>
                <w:sz w:val="18"/>
                <w:szCs w:val="18"/>
                <w:color w:val="auto"/>
                <w:w w:val="89"/>
              </w:rPr>
              <w:t>1,100,000</w:t>
            </w: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18.3830</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10/08/2018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600" w:type="dxa"/>
            <w:vAlign w:val="bottom"/>
            <w:gridSpan w:val="8"/>
          </w:tcPr>
          <w:p>
            <w:pPr>
              <w:jc w:val="center"/>
              <w:ind w:left="1270"/>
              <w:spacing w:after="0"/>
              <w:rPr>
                <w:sz w:val="20"/>
                <w:szCs w:val="20"/>
                <w:color w:val="auto"/>
              </w:rPr>
            </w:pPr>
            <w:r>
              <w:rPr>
                <w:rFonts w:ascii="Arial" w:cs="Arial" w:eastAsia="Arial" w:hAnsi="Arial"/>
                <w:sz w:val="18"/>
                <w:szCs w:val="18"/>
                <w:color w:val="auto"/>
                <w:w w:val="91"/>
              </w:rPr>
              <w:t>(1,100,000)</w:t>
            </w: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18.3660</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10/08/2018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Forward Contract</w:t>
            </w:r>
          </w:p>
        </w:tc>
        <w:tc>
          <w:tcPr>
            <w:tcW w:w="2600" w:type="dxa"/>
            <w:vAlign w:val="bottom"/>
            <w:gridSpan w:val="8"/>
            <w:shd w:val="clear" w:color="auto" w:fill="CCEEFF"/>
          </w:tcPr>
          <w:p>
            <w:pPr>
              <w:jc w:val="center"/>
              <w:ind w:left="1270"/>
              <w:spacing w:after="0"/>
              <w:rPr>
                <w:sz w:val="20"/>
                <w:szCs w:val="20"/>
                <w:color w:val="auto"/>
              </w:rPr>
            </w:pPr>
            <w:r>
              <w:rPr>
                <w:rFonts w:ascii="Arial" w:cs="Arial" w:eastAsia="Arial" w:hAnsi="Arial"/>
                <w:sz w:val="18"/>
                <w:szCs w:val="18"/>
                <w:color w:val="auto"/>
                <w:w w:val="89"/>
              </w:rPr>
              <w:t>1,100,000</w:t>
            </w: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18.4511</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10/09/2018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600" w:type="dxa"/>
            <w:vAlign w:val="bottom"/>
            <w:gridSpan w:val="8"/>
          </w:tcPr>
          <w:p>
            <w:pPr>
              <w:jc w:val="center"/>
              <w:ind w:left="1290"/>
              <w:spacing w:after="0"/>
              <w:rPr>
                <w:sz w:val="20"/>
                <w:szCs w:val="20"/>
                <w:color w:val="auto"/>
              </w:rPr>
            </w:pPr>
            <w:r>
              <w:rPr>
                <w:rFonts w:ascii="Arial" w:cs="Arial" w:eastAsia="Arial" w:hAnsi="Arial"/>
                <w:sz w:val="18"/>
                <w:szCs w:val="18"/>
                <w:color w:val="auto"/>
                <w:w w:val="90"/>
              </w:rPr>
              <w:t>(500,000)</w:t>
            </w: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18.5222</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10/09/2018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600" w:type="dxa"/>
            <w:vAlign w:val="bottom"/>
            <w:gridSpan w:val="8"/>
            <w:shd w:val="clear" w:color="auto" w:fill="CCEEFF"/>
          </w:tcPr>
          <w:p>
            <w:pPr>
              <w:jc w:val="center"/>
              <w:ind w:left="1290"/>
              <w:spacing w:after="0"/>
              <w:rPr>
                <w:sz w:val="20"/>
                <w:szCs w:val="20"/>
                <w:color w:val="auto"/>
              </w:rPr>
            </w:pPr>
            <w:r>
              <w:rPr>
                <w:rFonts w:ascii="Arial" w:cs="Arial" w:eastAsia="Arial" w:hAnsi="Arial"/>
                <w:sz w:val="18"/>
                <w:szCs w:val="18"/>
                <w:color w:val="auto"/>
                <w:w w:val="90"/>
              </w:rPr>
              <w:t>(600,000)</w:t>
            </w: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18.3862</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10/09/2018</w:t>
            </w:r>
          </w:p>
        </w:tc>
        <w:tc>
          <w:tcPr>
            <w:tcW w:w="800" w:type="dxa"/>
            <w:vAlign w:val="bottom"/>
            <w:shd w:val="clear" w:color="auto" w:fill="CCEEFF"/>
          </w:tcPr>
          <w:p>
            <w:pPr>
              <w:spacing w:after="0"/>
              <w:rPr>
                <w:sz w:val="18"/>
                <w:szCs w:val="18"/>
                <w:color w:val="auto"/>
              </w:rPr>
            </w:pPr>
          </w:p>
        </w:tc>
      </w:tr>
      <w:tr>
        <w:trPr>
          <w:trHeight w:val="216"/>
        </w:trPr>
        <w:tc>
          <w:tcPr>
            <w:tcW w:w="2880" w:type="dxa"/>
            <w:vAlign w:val="bottom"/>
            <w:gridSpan w:val="3"/>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tcPr>
          <w:p>
            <w:pPr>
              <w:jc w:val="center"/>
              <w:ind w:left="1610"/>
              <w:spacing w:after="0"/>
              <w:rPr>
                <w:sz w:val="20"/>
                <w:szCs w:val="20"/>
                <w:color w:val="auto"/>
              </w:rPr>
            </w:pPr>
            <w:r>
              <w:rPr>
                <w:rFonts w:ascii="Arial" w:cs="Arial" w:eastAsia="Arial" w:hAnsi="Arial"/>
                <w:sz w:val="18"/>
                <w:szCs w:val="18"/>
                <w:color w:val="auto"/>
                <w:w w:val="88"/>
              </w:rPr>
              <w:t>4,280</w:t>
            </w:r>
          </w:p>
        </w:tc>
        <w:tc>
          <w:tcPr>
            <w:tcW w:w="3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500" w:type="dxa"/>
            <w:vAlign w:val="bottom"/>
            <w:gridSpan w:val="5"/>
          </w:tcPr>
          <w:p>
            <w:pPr>
              <w:jc w:val="center"/>
              <w:ind w:left="790"/>
              <w:spacing w:after="0"/>
              <w:rPr>
                <w:sz w:val="20"/>
                <w:szCs w:val="20"/>
                <w:color w:val="auto"/>
              </w:rPr>
            </w:pPr>
            <w:r>
              <w:rPr>
                <w:rFonts w:ascii="Arial" w:cs="Arial" w:eastAsia="Arial" w:hAnsi="Arial"/>
                <w:sz w:val="18"/>
                <w:szCs w:val="18"/>
                <w:color w:val="auto"/>
                <w:w w:val="89"/>
              </w:rPr>
              <w:t>17.6417</w:t>
            </w:r>
          </w:p>
        </w:tc>
        <w:tc>
          <w:tcPr>
            <w:tcW w:w="5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20" w:type="dxa"/>
            <w:vAlign w:val="bottom"/>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tcPr>
          <w:p>
            <w:pPr>
              <w:spacing w:after="0"/>
              <w:rPr>
                <w:sz w:val="18"/>
                <w:szCs w:val="18"/>
                <w:color w:val="auto"/>
              </w:rPr>
            </w:pPr>
          </w:p>
        </w:tc>
      </w:tr>
      <w:tr>
        <w:trPr>
          <w:trHeight w:val="216"/>
        </w:trPr>
        <w:tc>
          <w:tcPr>
            <w:tcW w:w="288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260" w:type="dxa"/>
            <w:vAlign w:val="bottom"/>
            <w:gridSpan w:val="7"/>
            <w:shd w:val="clear" w:color="auto" w:fill="CCEEFF"/>
          </w:tcPr>
          <w:p>
            <w:pPr>
              <w:jc w:val="center"/>
              <w:ind w:left="1610"/>
              <w:spacing w:after="0"/>
              <w:rPr>
                <w:sz w:val="20"/>
                <w:szCs w:val="20"/>
                <w:color w:val="auto"/>
              </w:rPr>
            </w:pPr>
            <w:r>
              <w:rPr>
                <w:rFonts w:ascii="Arial" w:cs="Arial" w:eastAsia="Arial" w:hAnsi="Arial"/>
                <w:sz w:val="18"/>
                <w:szCs w:val="18"/>
                <w:color w:val="auto"/>
                <w:w w:val="88"/>
              </w:rPr>
              <w:t>6,460</w:t>
            </w:r>
          </w:p>
        </w:tc>
        <w:tc>
          <w:tcPr>
            <w:tcW w:w="34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500" w:type="dxa"/>
            <w:vAlign w:val="bottom"/>
            <w:tcBorders>
              <w:right w:val="single" w:sz="8" w:color="CCEEFF"/>
            </w:tcBorders>
            <w:gridSpan w:val="5"/>
            <w:shd w:val="clear" w:color="auto" w:fill="CCEEFF"/>
          </w:tcPr>
          <w:p>
            <w:pPr>
              <w:jc w:val="center"/>
              <w:ind w:left="790"/>
              <w:spacing w:after="0"/>
              <w:rPr>
                <w:sz w:val="20"/>
                <w:szCs w:val="20"/>
                <w:color w:val="auto"/>
              </w:rPr>
            </w:pPr>
            <w:r>
              <w:rPr>
                <w:rFonts w:ascii="Arial" w:cs="Arial" w:eastAsia="Arial" w:hAnsi="Arial"/>
                <w:sz w:val="18"/>
                <w:szCs w:val="18"/>
                <w:color w:val="auto"/>
                <w:w w:val="89"/>
              </w:rPr>
              <w:t>17.5366</w:t>
            </w:r>
          </w:p>
        </w:tc>
        <w:tc>
          <w:tcPr>
            <w:tcW w:w="58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0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10/11/2018</w:t>
            </w:r>
          </w:p>
        </w:tc>
        <w:tc>
          <w:tcPr>
            <w:tcW w:w="80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261620</wp:posOffset>
            </wp:positionV>
            <wp:extent cx="2422525" cy="342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2422525" cy="34290"/>
                    </a:xfrm>
                    <a:prstGeom prst="rect">
                      <a:avLst/>
                    </a:prstGeom>
                    <a:noFill/>
                  </pic:spPr>
                </pic:pic>
              </a:graphicData>
            </a:graphic>
          </wp:anchor>
        </w:drawing>
      </w:r>
    </w:p>
    <w:p>
      <w:pPr>
        <w:spacing w:after="0" w:line="200" w:lineRule="exact"/>
        <w:rPr>
          <w:sz w:val="20"/>
          <w:szCs w:val="20"/>
          <w:color w:val="auto"/>
        </w:rPr>
      </w:pPr>
    </w:p>
    <w:p>
      <w:pPr>
        <w:spacing w:after="0" w:line="360" w:lineRule="exact"/>
        <w:rPr>
          <w:sz w:val="20"/>
          <w:szCs w:val="20"/>
          <w:color w:val="auto"/>
        </w:rPr>
      </w:pPr>
    </w:p>
    <w:p>
      <w:pPr>
        <w:ind w:firstLine="8"/>
        <w:spacing w:after="0" w:line="194" w:lineRule="auto"/>
        <w:tabs>
          <w:tab w:leader="none" w:pos="128" w:val="left"/>
        </w:tabs>
        <w:numPr>
          <w:ilvl w:val="0"/>
          <w:numId w:val="56"/>
        </w:numPr>
        <w:rPr>
          <w:rFonts w:ascii="Arial" w:cs="Arial" w:eastAsia="Arial" w:hAnsi="Arial"/>
          <w:sz w:val="30"/>
          <w:szCs w:val="30"/>
          <w:color w:val="auto"/>
          <w:vertAlign w:val="superscript"/>
        </w:rPr>
      </w:pPr>
      <w:r>
        <w:rPr>
          <w:rFonts w:ascii="Arial" w:cs="Arial" w:eastAsia="Arial" w:hAnsi="Arial"/>
          <w:sz w:val="18"/>
          <w:szCs w:val="18"/>
          <w:color w:val="auto"/>
        </w:rPr>
        <w:t>Represents shares underlying American-style put options sold short in the over the counter market. These put options have an exercise price of $16.00 per share and expire on January 18,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274955</wp:posOffset>
            </wp:positionV>
            <wp:extent cx="724662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8" w:name="page39"/>
    <w:bookmarkEnd w:id="38"/>
    <w:p>
      <w:pPr>
        <w:spacing w:after="0"/>
        <w:rPr>
          <w:sz w:val="20"/>
          <w:szCs w:val="20"/>
          <w:color w:val="auto"/>
        </w:rPr>
      </w:pPr>
      <w:r>
        <w:rPr>
          <w:rFonts w:ascii="Arial" w:cs="Arial" w:eastAsia="Arial" w:hAnsi="Arial"/>
          <w:sz w:val="22"/>
          <w:szCs w:val="22"/>
          <w:color w:val="auto"/>
        </w:rPr>
        <w:t>CUSIP NO. G5876H105</w:t>
      </w:r>
    </w:p>
    <w:p>
      <w:pPr>
        <w:spacing w:after="0" w:line="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320" w:type="dxa"/>
            <w:vAlign w:val="bottom"/>
            <w:gridSpan w:val="4"/>
          </w:tcPr>
          <w:p>
            <w:pPr>
              <w:jc w:val="center"/>
              <w:ind w:right="220"/>
              <w:spacing w:after="0"/>
              <w:rPr>
                <w:sz w:val="20"/>
                <w:szCs w:val="20"/>
                <w:color w:val="auto"/>
              </w:rPr>
            </w:pPr>
            <w:r>
              <w:rPr>
                <w:rFonts w:ascii="Arial" w:cs="Arial" w:eastAsia="Arial" w:hAnsi="Arial"/>
                <w:sz w:val="18"/>
                <w:szCs w:val="18"/>
                <w:b w:val="1"/>
                <w:bCs w:val="1"/>
                <w:color w:val="auto"/>
                <w:w w:val="97"/>
              </w:rPr>
              <w:t>STARBOARD P FUND LP</w:t>
            </w:r>
          </w:p>
        </w:tc>
        <w:tc>
          <w:tcPr>
            <w:tcW w:w="42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2680" w:type="dxa"/>
            <w:vAlign w:val="bottom"/>
          </w:tcPr>
          <w:p>
            <w:pPr>
              <w:spacing w:after="0"/>
              <w:rPr>
                <w:sz w:val="17"/>
                <w:szCs w:val="17"/>
                <w:color w:val="auto"/>
              </w:rPr>
            </w:pPr>
          </w:p>
        </w:tc>
      </w:tr>
      <w:tr>
        <w:trPr>
          <w:trHeight w:val="237"/>
        </w:trPr>
        <w:tc>
          <w:tcPr>
            <w:tcW w:w="4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2040" w:type="dxa"/>
            <w:vAlign w:val="bottom"/>
            <w:tcBorders>
              <w:top w:val="single" w:sz="8" w:color="auto"/>
            </w:tcBorders>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2680" w:type="dxa"/>
            <w:vAlign w:val="bottom"/>
          </w:tcPr>
          <w:p>
            <w:pPr>
              <w:spacing w:after="0"/>
              <w:rPr>
                <w:sz w:val="20"/>
                <w:szCs w:val="20"/>
                <w:color w:val="auto"/>
              </w:rPr>
            </w:pP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shd w:val="clear" w:color="auto" w:fill="CCEEFF"/>
          </w:tcPr>
          <w:p>
            <w:pPr>
              <w:jc w:val="center"/>
              <w:ind w:right="950"/>
              <w:spacing w:after="0"/>
              <w:rPr>
                <w:sz w:val="20"/>
                <w:szCs w:val="20"/>
                <w:color w:val="auto"/>
              </w:rPr>
            </w:pPr>
            <w:r>
              <w:rPr>
                <w:rFonts w:ascii="Arial" w:cs="Arial" w:eastAsia="Arial" w:hAnsi="Arial"/>
                <w:sz w:val="18"/>
                <w:szCs w:val="18"/>
                <w:color w:val="auto"/>
                <w:w w:val="89"/>
              </w:rPr>
              <w:t>895,510</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17.6417</w:t>
            </w:r>
          </w:p>
        </w:tc>
        <w:tc>
          <w:tcPr>
            <w:tcW w:w="2680" w:type="dxa"/>
            <w:vAlign w:val="bottom"/>
            <w:shd w:val="clear" w:color="auto" w:fill="CCEEFF"/>
          </w:tcPr>
          <w:p>
            <w:pPr>
              <w:jc w:val="right"/>
              <w:ind w:right="810"/>
              <w:spacing w:after="0"/>
              <w:rPr>
                <w:sz w:val="20"/>
                <w:szCs w:val="20"/>
                <w:color w:val="auto"/>
              </w:rPr>
            </w:pPr>
            <w:r>
              <w:rPr>
                <w:rFonts w:ascii="Arial" w:cs="Arial" w:eastAsia="Arial" w:hAnsi="Arial"/>
                <w:sz w:val="18"/>
                <w:szCs w:val="18"/>
                <w:color w:val="auto"/>
              </w:rPr>
              <w:t>10/11/2018</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tcPr>
          <w:p>
            <w:pPr>
              <w:jc w:val="center"/>
              <w:ind w:right="970"/>
              <w:spacing w:after="0"/>
              <w:rPr>
                <w:sz w:val="20"/>
                <w:szCs w:val="20"/>
                <w:color w:val="auto"/>
              </w:rPr>
            </w:pPr>
            <w:r>
              <w:rPr>
                <w:rFonts w:ascii="Arial" w:cs="Arial" w:eastAsia="Arial" w:hAnsi="Arial"/>
                <w:sz w:val="18"/>
                <w:szCs w:val="18"/>
                <w:color w:val="auto"/>
                <w:w w:val="89"/>
              </w:rPr>
              <w:t>1,351,230</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760" w:type="dxa"/>
            <w:vAlign w:val="bottom"/>
            <w:gridSpan w:val="2"/>
          </w:tcPr>
          <w:p>
            <w:pPr>
              <w:jc w:val="right"/>
              <w:ind w:right="960"/>
              <w:spacing w:after="0"/>
              <w:rPr>
                <w:sz w:val="20"/>
                <w:szCs w:val="20"/>
                <w:color w:val="auto"/>
              </w:rPr>
            </w:pPr>
            <w:r>
              <w:rPr>
                <w:rFonts w:ascii="Arial" w:cs="Arial" w:eastAsia="Arial" w:hAnsi="Arial"/>
                <w:sz w:val="18"/>
                <w:szCs w:val="18"/>
                <w:color w:val="auto"/>
              </w:rPr>
              <w:t>17.5366</w:t>
            </w:r>
          </w:p>
        </w:tc>
        <w:tc>
          <w:tcPr>
            <w:tcW w:w="2680" w:type="dxa"/>
            <w:vAlign w:val="bottom"/>
          </w:tcPr>
          <w:p>
            <w:pPr>
              <w:jc w:val="right"/>
              <w:ind w:right="810"/>
              <w:spacing w:after="0"/>
              <w:rPr>
                <w:sz w:val="20"/>
                <w:szCs w:val="20"/>
                <w:color w:val="auto"/>
              </w:rPr>
            </w:pPr>
            <w:r>
              <w:rPr>
                <w:rFonts w:ascii="Arial" w:cs="Arial" w:eastAsia="Arial" w:hAnsi="Arial"/>
                <w:sz w:val="18"/>
                <w:szCs w:val="18"/>
                <w:color w:val="auto"/>
              </w:rPr>
              <w:t>10/11/2018</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shd w:val="clear" w:color="auto" w:fill="CCEEFF"/>
          </w:tcPr>
          <w:p>
            <w:pPr>
              <w:jc w:val="center"/>
              <w:ind w:right="950"/>
              <w:spacing w:after="0"/>
              <w:rPr>
                <w:sz w:val="20"/>
                <w:szCs w:val="20"/>
                <w:color w:val="auto"/>
              </w:rPr>
            </w:pPr>
            <w:r>
              <w:rPr>
                <w:rFonts w:ascii="Arial" w:cs="Arial" w:eastAsia="Arial" w:hAnsi="Arial"/>
                <w:sz w:val="18"/>
                <w:szCs w:val="18"/>
                <w:color w:val="auto"/>
                <w:w w:val="89"/>
              </w:rPr>
              <w:t>350,000</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18.1271</w:t>
            </w:r>
          </w:p>
        </w:tc>
        <w:tc>
          <w:tcPr>
            <w:tcW w:w="2680" w:type="dxa"/>
            <w:vAlign w:val="bottom"/>
            <w:shd w:val="clear" w:color="auto" w:fill="CCEEFF"/>
          </w:tcPr>
          <w:p>
            <w:pPr>
              <w:jc w:val="right"/>
              <w:ind w:right="810"/>
              <w:spacing w:after="0"/>
              <w:rPr>
                <w:sz w:val="20"/>
                <w:szCs w:val="20"/>
                <w:color w:val="auto"/>
              </w:rPr>
            </w:pPr>
            <w:r>
              <w:rPr>
                <w:rFonts w:ascii="Arial" w:cs="Arial" w:eastAsia="Arial" w:hAnsi="Arial"/>
                <w:sz w:val="18"/>
                <w:szCs w:val="18"/>
                <w:color w:val="auto"/>
              </w:rPr>
              <w:t>10/12/2018</w:t>
            </w:r>
          </w:p>
        </w:tc>
      </w:tr>
      <w:tr>
        <w:trPr>
          <w:trHeight w:val="230"/>
        </w:trPr>
        <w:tc>
          <w:tcPr>
            <w:tcW w:w="4040" w:type="dxa"/>
            <w:vAlign w:val="bottom"/>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tcPr>
          <w:p>
            <w:pPr>
              <w:jc w:val="center"/>
              <w:ind w:right="950"/>
              <w:spacing w:after="0"/>
              <w:rPr>
                <w:sz w:val="20"/>
                <w:szCs w:val="20"/>
                <w:color w:val="auto"/>
              </w:rPr>
            </w:pPr>
            <w:r>
              <w:rPr>
                <w:rFonts w:ascii="Arial" w:cs="Arial" w:eastAsia="Arial" w:hAnsi="Arial"/>
                <w:sz w:val="18"/>
                <w:szCs w:val="18"/>
                <w:color w:val="auto"/>
                <w:w w:val="89"/>
              </w:rPr>
              <w:t>210,000</w:t>
            </w: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760" w:type="dxa"/>
            <w:vAlign w:val="bottom"/>
            <w:gridSpan w:val="2"/>
          </w:tcPr>
          <w:p>
            <w:pPr>
              <w:jc w:val="right"/>
              <w:ind w:right="960"/>
              <w:spacing w:after="0"/>
              <w:rPr>
                <w:sz w:val="20"/>
                <w:szCs w:val="20"/>
                <w:color w:val="auto"/>
              </w:rPr>
            </w:pPr>
            <w:r>
              <w:rPr>
                <w:rFonts w:ascii="Arial" w:cs="Arial" w:eastAsia="Arial" w:hAnsi="Arial"/>
                <w:sz w:val="18"/>
                <w:szCs w:val="18"/>
                <w:color w:val="auto"/>
              </w:rPr>
              <w:t>18.2482</w:t>
            </w:r>
          </w:p>
        </w:tc>
        <w:tc>
          <w:tcPr>
            <w:tcW w:w="2680" w:type="dxa"/>
            <w:vAlign w:val="bottom"/>
          </w:tcPr>
          <w:p>
            <w:pPr>
              <w:jc w:val="right"/>
              <w:ind w:right="810"/>
              <w:spacing w:after="0"/>
              <w:rPr>
                <w:sz w:val="20"/>
                <w:szCs w:val="20"/>
                <w:color w:val="auto"/>
              </w:rPr>
            </w:pPr>
            <w:r>
              <w:rPr>
                <w:rFonts w:ascii="Arial" w:cs="Arial" w:eastAsia="Arial" w:hAnsi="Arial"/>
                <w:sz w:val="18"/>
                <w:szCs w:val="18"/>
                <w:color w:val="auto"/>
              </w:rPr>
              <w:t>10/15/2018</w:t>
            </w:r>
          </w:p>
        </w:tc>
      </w:tr>
      <w:tr>
        <w:trPr>
          <w:trHeight w:val="377"/>
        </w:trPr>
        <w:tc>
          <w:tcPr>
            <w:tcW w:w="40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4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7"/>
              </w:rPr>
              <w:t>STARBOARD VALUE LP</w:t>
            </w:r>
          </w:p>
        </w:tc>
        <w:tc>
          <w:tcPr>
            <w:tcW w:w="240" w:type="dxa"/>
            <w:vAlign w:val="bottom"/>
            <w:gridSpan w:val="2"/>
          </w:tcPr>
          <w:p>
            <w:pPr>
              <w:spacing w:after="0"/>
              <w:rPr>
                <w:sz w:val="24"/>
                <w:szCs w:val="24"/>
                <w:color w:val="auto"/>
              </w:rPr>
            </w:pPr>
          </w:p>
        </w:tc>
        <w:tc>
          <w:tcPr>
            <w:tcW w:w="4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680" w:type="dxa"/>
            <w:vAlign w:val="bottom"/>
          </w:tcPr>
          <w:p>
            <w:pPr>
              <w:spacing w:after="0"/>
              <w:rPr>
                <w:sz w:val="24"/>
                <w:szCs w:val="24"/>
                <w:color w:val="auto"/>
              </w:rPr>
            </w:pPr>
          </w:p>
        </w:tc>
      </w:tr>
      <w:tr>
        <w:trPr>
          <w:trHeight w:val="196"/>
        </w:trPr>
        <w:tc>
          <w:tcPr>
            <w:tcW w:w="4040" w:type="dxa"/>
            <w:vAlign w:val="bottom"/>
          </w:tcPr>
          <w:p>
            <w:pPr>
              <w:spacing w:after="0"/>
              <w:rPr>
                <w:sz w:val="17"/>
                <w:szCs w:val="17"/>
                <w:color w:val="auto"/>
              </w:rPr>
            </w:pPr>
          </w:p>
        </w:tc>
        <w:tc>
          <w:tcPr>
            <w:tcW w:w="4700" w:type="dxa"/>
            <w:vAlign w:val="bottom"/>
            <w:gridSpan w:val="7"/>
          </w:tcPr>
          <w:p>
            <w:pPr>
              <w:jc w:val="center"/>
              <w:ind w:right="1340"/>
              <w:spacing w:after="0" w:line="196" w:lineRule="exact"/>
              <w:rPr>
                <w:sz w:val="20"/>
                <w:szCs w:val="20"/>
                <w:color w:val="auto"/>
              </w:rPr>
            </w:pPr>
            <w:r>
              <w:rPr>
                <w:rFonts w:ascii="Arial" w:cs="Arial" w:eastAsia="Arial" w:hAnsi="Arial"/>
                <w:sz w:val="18"/>
                <w:szCs w:val="18"/>
                <w:b w:val="1"/>
                <w:bCs w:val="1"/>
                <w:color w:val="auto"/>
                <w:w w:val="92"/>
              </w:rPr>
              <w:t>(Through the Starboard Value LP Account)</w:t>
            </w:r>
          </w:p>
        </w:tc>
        <w:tc>
          <w:tcPr>
            <w:tcW w:w="2680" w:type="dxa"/>
            <w:vAlign w:val="bottom"/>
          </w:tcPr>
          <w:p>
            <w:pPr>
              <w:spacing w:after="0"/>
              <w:rPr>
                <w:sz w:val="17"/>
                <w:szCs w:val="17"/>
                <w:color w:val="auto"/>
              </w:rPr>
            </w:pPr>
          </w:p>
        </w:tc>
      </w:tr>
      <w:tr>
        <w:trPr>
          <w:trHeight w:val="237"/>
        </w:trPr>
        <w:tc>
          <w:tcPr>
            <w:tcW w:w="4040" w:type="dxa"/>
            <w:vAlign w:val="bottom"/>
          </w:tcPr>
          <w:p>
            <w:pPr>
              <w:spacing w:after="0"/>
              <w:rPr>
                <w:sz w:val="20"/>
                <w:szCs w:val="20"/>
                <w:color w:val="auto"/>
              </w:rPr>
            </w:pPr>
          </w:p>
        </w:tc>
        <w:tc>
          <w:tcPr>
            <w:tcW w:w="620" w:type="dxa"/>
            <w:vAlign w:val="bottom"/>
            <w:tcBorders>
              <w:top w:val="single" w:sz="8" w:color="auto"/>
            </w:tcBorders>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2040" w:type="dxa"/>
            <w:vAlign w:val="bottom"/>
            <w:tcBorders>
              <w:top w:val="single" w:sz="8" w:color="auto"/>
            </w:tcBorders>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420" w:type="dxa"/>
            <w:vAlign w:val="bottom"/>
            <w:tcBorders>
              <w:top w:val="single" w:sz="8" w:color="auto"/>
            </w:tcBorders>
          </w:tcPr>
          <w:p>
            <w:pPr>
              <w:spacing w:after="0"/>
              <w:rPr>
                <w:sz w:val="20"/>
                <w:szCs w:val="20"/>
                <w:color w:val="auto"/>
              </w:rPr>
            </w:pPr>
          </w:p>
        </w:tc>
        <w:tc>
          <w:tcPr>
            <w:tcW w:w="1340" w:type="dxa"/>
            <w:vAlign w:val="bottom"/>
          </w:tcPr>
          <w:p>
            <w:pPr>
              <w:spacing w:after="0"/>
              <w:rPr>
                <w:sz w:val="20"/>
                <w:szCs w:val="20"/>
                <w:color w:val="auto"/>
              </w:rPr>
            </w:pPr>
          </w:p>
        </w:tc>
        <w:tc>
          <w:tcPr>
            <w:tcW w:w="2680" w:type="dxa"/>
            <w:vAlign w:val="bottom"/>
          </w:tcPr>
          <w:p>
            <w:pPr>
              <w:spacing w:after="0"/>
              <w:rPr>
                <w:sz w:val="20"/>
                <w:szCs w:val="20"/>
                <w:color w:val="auto"/>
              </w:rPr>
            </w:pP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shd w:val="clear" w:color="auto" w:fill="CCEEFF"/>
          </w:tcPr>
          <w:p>
            <w:pPr>
              <w:jc w:val="center"/>
              <w:ind w:right="950"/>
              <w:spacing w:after="0"/>
              <w:rPr>
                <w:sz w:val="20"/>
                <w:szCs w:val="20"/>
                <w:color w:val="auto"/>
              </w:rPr>
            </w:pPr>
            <w:r>
              <w:rPr>
                <w:rFonts w:ascii="Arial" w:cs="Arial" w:eastAsia="Arial" w:hAnsi="Arial"/>
                <w:sz w:val="18"/>
                <w:szCs w:val="18"/>
                <w:color w:val="auto"/>
                <w:w w:val="89"/>
              </w:rPr>
              <w:t>157,550</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18.5338</w:t>
            </w:r>
          </w:p>
        </w:tc>
        <w:tc>
          <w:tcPr>
            <w:tcW w:w="2680" w:type="dxa"/>
            <w:vAlign w:val="bottom"/>
            <w:shd w:val="clear" w:color="auto" w:fill="CCEEFF"/>
          </w:tcPr>
          <w:p>
            <w:pPr>
              <w:jc w:val="right"/>
              <w:ind w:right="810"/>
              <w:spacing w:after="0"/>
              <w:rPr>
                <w:sz w:val="20"/>
                <w:szCs w:val="20"/>
                <w:color w:val="auto"/>
              </w:rPr>
            </w:pPr>
            <w:r>
              <w:rPr>
                <w:rFonts w:ascii="Arial" w:cs="Arial" w:eastAsia="Arial" w:hAnsi="Arial"/>
                <w:sz w:val="18"/>
                <w:szCs w:val="18"/>
                <w:color w:val="auto"/>
              </w:rPr>
              <w:t>09/13/2018</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tcPr>
          <w:p>
            <w:pPr>
              <w:jc w:val="center"/>
              <w:ind w:right="950"/>
              <w:spacing w:after="0"/>
              <w:rPr>
                <w:sz w:val="20"/>
                <w:szCs w:val="20"/>
                <w:color w:val="auto"/>
              </w:rPr>
            </w:pPr>
            <w:r>
              <w:rPr>
                <w:rFonts w:ascii="Arial" w:cs="Arial" w:eastAsia="Arial" w:hAnsi="Arial"/>
                <w:sz w:val="18"/>
                <w:szCs w:val="18"/>
                <w:color w:val="auto"/>
                <w:w w:val="89"/>
              </w:rPr>
              <w:t>174,555</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760" w:type="dxa"/>
            <w:vAlign w:val="bottom"/>
            <w:gridSpan w:val="2"/>
          </w:tcPr>
          <w:p>
            <w:pPr>
              <w:jc w:val="right"/>
              <w:ind w:right="960"/>
              <w:spacing w:after="0"/>
              <w:rPr>
                <w:sz w:val="20"/>
                <w:szCs w:val="20"/>
                <w:color w:val="auto"/>
              </w:rPr>
            </w:pPr>
            <w:r>
              <w:rPr>
                <w:rFonts w:ascii="Arial" w:cs="Arial" w:eastAsia="Arial" w:hAnsi="Arial"/>
                <w:sz w:val="18"/>
                <w:szCs w:val="18"/>
                <w:color w:val="auto"/>
              </w:rPr>
              <w:t>18.8507</w:t>
            </w:r>
          </w:p>
        </w:tc>
        <w:tc>
          <w:tcPr>
            <w:tcW w:w="2680" w:type="dxa"/>
            <w:vAlign w:val="bottom"/>
          </w:tcPr>
          <w:p>
            <w:pPr>
              <w:jc w:val="right"/>
              <w:ind w:right="810"/>
              <w:spacing w:after="0"/>
              <w:rPr>
                <w:sz w:val="20"/>
                <w:szCs w:val="20"/>
                <w:color w:val="auto"/>
              </w:rPr>
            </w:pPr>
            <w:r>
              <w:rPr>
                <w:rFonts w:ascii="Arial" w:cs="Arial" w:eastAsia="Arial" w:hAnsi="Arial"/>
                <w:sz w:val="18"/>
                <w:szCs w:val="18"/>
                <w:color w:val="auto"/>
              </w:rPr>
              <w:t>09/14/2018</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shd w:val="clear" w:color="auto" w:fill="CCEEFF"/>
          </w:tcPr>
          <w:p>
            <w:pPr>
              <w:jc w:val="center"/>
              <w:ind w:right="950"/>
              <w:spacing w:after="0"/>
              <w:rPr>
                <w:sz w:val="20"/>
                <w:szCs w:val="20"/>
                <w:color w:val="auto"/>
              </w:rPr>
            </w:pPr>
            <w:r>
              <w:rPr>
                <w:rFonts w:ascii="Arial" w:cs="Arial" w:eastAsia="Arial" w:hAnsi="Arial"/>
                <w:sz w:val="18"/>
                <w:szCs w:val="18"/>
                <w:color w:val="auto"/>
                <w:w w:val="90"/>
              </w:rPr>
              <w:t>82,278</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760" w:type="dxa"/>
            <w:vAlign w:val="bottom"/>
            <w:gridSpan w:val="2"/>
            <w:shd w:val="clear" w:color="auto" w:fill="CCEEFF"/>
          </w:tcPr>
          <w:p>
            <w:pPr>
              <w:jc w:val="right"/>
              <w:ind w:right="960"/>
              <w:spacing w:after="0"/>
              <w:rPr>
                <w:sz w:val="20"/>
                <w:szCs w:val="20"/>
                <w:color w:val="auto"/>
              </w:rPr>
            </w:pPr>
            <w:r>
              <w:rPr>
                <w:rFonts w:ascii="Arial" w:cs="Arial" w:eastAsia="Arial" w:hAnsi="Arial"/>
                <w:sz w:val="18"/>
                <w:szCs w:val="18"/>
                <w:color w:val="auto"/>
              </w:rPr>
              <w:t>17.5366</w:t>
            </w:r>
          </w:p>
        </w:tc>
        <w:tc>
          <w:tcPr>
            <w:tcW w:w="2680" w:type="dxa"/>
            <w:vAlign w:val="bottom"/>
            <w:shd w:val="clear" w:color="auto" w:fill="CCEEFF"/>
          </w:tcPr>
          <w:p>
            <w:pPr>
              <w:jc w:val="right"/>
              <w:ind w:right="810"/>
              <w:spacing w:after="0"/>
              <w:rPr>
                <w:sz w:val="20"/>
                <w:szCs w:val="20"/>
                <w:color w:val="auto"/>
              </w:rPr>
            </w:pPr>
            <w:r>
              <w:rPr>
                <w:rFonts w:ascii="Arial" w:cs="Arial" w:eastAsia="Arial" w:hAnsi="Arial"/>
                <w:sz w:val="18"/>
                <w:szCs w:val="18"/>
                <w:color w:val="auto"/>
              </w:rPr>
              <w:t>10/11/2018</w:t>
            </w:r>
          </w:p>
        </w:tc>
      </w:tr>
      <w:tr>
        <w:trPr>
          <w:trHeight w:val="230"/>
        </w:trPr>
        <w:tc>
          <w:tcPr>
            <w:tcW w:w="4040" w:type="dxa"/>
            <w:vAlign w:val="bottom"/>
          </w:tcPr>
          <w:p>
            <w:pPr>
              <w:ind w:left="100"/>
              <w:spacing w:after="0"/>
              <w:rPr>
                <w:sz w:val="20"/>
                <w:szCs w:val="20"/>
                <w:color w:val="auto"/>
              </w:rPr>
            </w:pPr>
            <w:r>
              <w:rPr>
                <w:rFonts w:ascii="Arial" w:cs="Arial" w:eastAsia="Arial" w:hAnsi="Arial"/>
                <w:sz w:val="18"/>
                <w:szCs w:val="18"/>
                <w:color w:val="auto"/>
              </w:rPr>
              <w:t>Purchase of Common Stock</w:t>
            </w:r>
          </w:p>
        </w:tc>
        <w:tc>
          <w:tcPr>
            <w:tcW w:w="2700" w:type="dxa"/>
            <w:vAlign w:val="bottom"/>
            <w:gridSpan w:val="3"/>
          </w:tcPr>
          <w:p>
            <w:pPr>
              <w:jc w:val="center"/>
              <w:ind w:right="950"/>
              <w:spacing w:after="0"/>
              <w:rPr>
                <w:sz w:val="20"/>
                <w:szCs w:val="20"/>
                <w:color w:val="auto"/>
              </w:rPr>
            </w:pPr>
            <w:r>
              <w:rPr>
                <w:rFonts w:ascii="Arial" w:cs="Arial" w:eastAsia="Arial" w:hAnsi="Arial"/>
                <w:sz w:val="18"/>
                <w:szCs w:val="18"/>
                <w:color w:val="auto"/>
                <w:w w:val="89"/>
              </w:rPr>
              <w:t>163,349</w:t>
            </w: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760" w:type="dxa"/>
            <w:vAlign w:val="bottom"/>
            <w:gridSpan w:val="2"/>
          </w:tcPr>
          <w:p>
            <w:pPr>
              <w:jc w:val="right"/>
              <w:ind w:right="960"/>
              <w:spacing w:after="0"/>
              <w:rPr>
                <w:sz w:val="20"/>
                <w:szCs w:val="20"/>
                <w:color w:val="auto"/>
              </w:rPr>
            </w:pPr>
            <w:r>
              <w:rPr>
                <w:rFonts w:ascii="Arial" w:cs="Arial" w:eastAsia="Arial" w:hAnsi="Arial"/>
                <w:sz w:val="18"/>
                <w:szCs w:val="18"/>
                <w:color w:val="auto"/>
              </w:rPr>
              <w:t>17.6417</w:t>
            </w:r>
          </w:p>
        </w:tc>
        <w:tc>
          <w:tcPr>
            <w:tcW w:w="2680" w:type="dxa"/>
            <w:vAlign w:val="bottom"/>
          </w:tcPr>
          <w:p>
            <w:pPr>
              <w:jc w:val="right"/>
              <w:ind w:right="810"/>
              <w:spacing w:after="0"/>
              <w:rPr>
                <w:sz w:val="20"/>
                <w:szCs w:val="20"/>
                <w:color w:val="auto"/>
              </w:rPr>
            </w:pPr>
            <w:r>
              <w:rPr>
                <w:rFonts w:ascii="Arial" w:cs="Arial" w:eastAsia="Arial" w:hAnsi="Arial"/>
                <w:sz w:val="18"/>
                <w:szCs w:val="18"/>
                <w:color w:val="auto"/>
              </w:rPr>
              <w:t>10/11/2018</w:t>
            </w:r>
          </w:p>
        </w:tc>
      </w:tr>
    </w:tbl>
    <w:p>
      <w:pPr>
        <w:sectPr>
          <w:pgSz w:w="11900" w:h="16838" w:orient="portrait"/>
          <w:cols w:equalWidth="0" w:num="1">
            <w:col w:w="11420"/>
          </w:cols>
          <w:pgMar w:left="240" w:top="226" w:right="239" w:bottom="1440" w:gutter="0" w:footer="0" w:header="0"/>
        </w:sectPr>
      </w:pPr>
    </w:p>
    <w:bookmarkStart w:id="39" w:name="page40"/>
    <w:bookmarkEnd w:id="39"/>
    <w:p>
      <w:pPr>
        <w:jc w:val="right"/>
        <w:spacing w:after="0"/>
        <w:rPr>
          <w:sz w:val="20"/>
          <w:szCs w:val="20"/>
          <w:color w:val="auto"/>
        </w:rPr>
      </w:pPr>
      <w:r>
        <w:rPr>
          <w:rFonts w:ascii="Arial" w:cs="Arial" w:eastAsia="Arial" w:hAnsi="Arial"/>
          <w:sz w:val="22"/>
          <w:szCs w:val="22"/>
          <w:color w:val="auto"/>
        </w:rPr>
        <w:t>Exhibit 99.1</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JOINDER AGREEMENT</w:t>
      </w:r>
    </w:p>
    <w:p>
      <w:pPr>
        <w:spacing w:after="0" w:line="229" w:lineRule="exact"/>
        <w:rPr>
          <w:sz w:val="20"/>
          <w:szCs w:val="20"/>
          <w:color w:val="auto"/>
        </w:rPr>
      </w:pPr>
    </w:p>
    <w:p>
      <w:pPr>
        <w:jc w:val="both"/>
        <w:ind w:firstLine="648"/>
        <w:spacing w:after="0" w:line="270" w:lineRule="auto"/>
        <w:rPr>
          <w:sz w:val="20"/>
          <w:szCs w:val="20"/>
          <w:color w:val="auto"/>
        </w:rPr>
      </w:pPr>
      <w:r>
        <w:rPr>
          <w:rFonts w:ascii="Arial" w:cs="Arial" w:eastAsia="Arial" w:hAnsi="Arial"/>
          <w:sz w:val="17"/>
          <w:szCs w:val="17"/>
          <w:color w:val="auto"/>
        </w:rPr>
        <w:t>This JOINDER AGREEMENT (the “Joinder”) is dated as of October 24, 2018 by and between Starboard Value and Opportunity Master Fund Ltd, a Cayman Islands exempted company, Starboard Value and Opportunity S LLC, a Delaware limited liability company, Starboard Value and Opportunity C LP, a Delaware limited partnership, Starboard Value R LP, a Delaware limited partnership, Starboard Value R GP LLC, a Delaware limited liability company, Starboard Leaders Juliet LLC, a Delaware limited liability company, Starboard Leaders Fund LP, a Delaware limited partnership, Starboard Leaders Select II LP, a Delaware limited partnership, Starboard Leaders Select II GP LLC, a Delaware limited liability company, Starboard Leaders Select Fund LP, a Delaware limited partnership, Starboard T Fund LP, a Delaware limited partnership, Starboard Value A LP, a Delaware limited partnership, Starboard Value A GP LLC, a Delaware limited liability company, Starboard Value LP, a Delaware limited partnership, Starboard Value GP LLC, a Delaware limited liability company, Starboard Principal Co LP, a Delaware limited partnership, Starboard Principal Co GP LLC, a Delaware limited liability company, Jeffrey C. Smith, Mark R. Mitchell, and Peter A. Feld (collectively, the “Existing Members”) and Starboard P Fund LP, a Cayman Islands limited partnership, and Starboard Value P GP LLC, a Delaware limited liability company (the “New Members”).</w:t>
      </w:r>
    </w:p>
    <w:p>
      <w:pPr>
        <w:spacing w:after="0" w:line="178" w:lineRule="exact"/>
        <w:rPr>
          <w:sz w:val="20"/>
          <w:szCs w:val="20"/>
          <w:color w:val="auto"/>
        </w:rPr>
      </w:pPr>
    </w:p>
    <w:p>
      <w:pPr>
        <w:ind w:right="180" w:firstLine="648"/>
        <w:spacing w:after="0" w:line="286" w:lineRule="auto"/>
        <w:rPr>
          <w:sz w:val="20"/>
          <w:szCs w:val="20"/>
          <w:color w:val="auto"/>
        </w:rPr>
      </w:pPr>
      <w:r>
        <w:rPr>
          <w:rFonts w:ascii="Arial" w:cs="Arial" w:eastAsia="Arial" w:hAnsi="Arial"/>
          <w:sz w:val="17"/>
          <w:szCs w:val="17"/>
          <w:color w:val="auto"/>
        </w:rPr>
        <w:t>WHEREAS, the Existing Members are parties to that certain Joint Filing Agreement dated as of April 27, 2016 (the “Agreement”), pursuant to which the Existing Members agreed to the joint filing on behalf of each of them of a Statement on Schedule 13D (including additional amendments thereto) with respect to the shares of Common Shares, $0.002 par value, of Marvell Technology Group Ltd., a Bermuda corporation; and</w:t>
      </w:r>
    </w:p>
    <w:p>
      <w:pPr>
        <w:spacing w:after="0" w:line="166"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New Members desire to join the group formed by the Existing Members.</w:t>
      </w:r>
    </w:p>
    <w:p>
      <w:pPr>
        <w:spacing w:after="0" w:line="22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NOW, THEREFORE, in consideration of the premises and of the mutual covenants and agreements of the parties herein contained, the parties hereby agree as follows:</w:t>
      </w:r>
    </w:p>
    <w:p>
      <w:pPr>
        <w:spacing w:after="0" w:line="170" w:lineRule="exact"/>
        <w:rPr>
          <w:sz w:val="20"/>
          <w:szCs w:val="20"/>
          <w:color w:val="auto"/>
        </w:rPr>
      </w:pPr>
    </w:p>
    <w:p>
      <w:pPr>
        <w:ind w:left="1340" w:hanging="684"/>
        <w:spacing w:after="0"/>
        <w:tabs>
          <w:tab w:leader="none" w:pos="1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Effective immediately, each of the New Members is joined as a party to the Agreement.</w:t>
      </w:r>
    </w:p>
    <w:p>
      <w:pPr>
        <w:spacing w:after="0" w:line="225" w:lineRule="exact"/>
        <w:rPr>
          <w:rFonts w:ascii="Arial" w:cs="Arial" w:eastAsia="Arial" w:hAnsi="Arial"/>
          <w:sz w:val="18"/>
          <w:szCs w:val="18"/>
          <w:color w:val="auto"/>
        </w:rPr>
      </w:pPr>
    </w:p>
    <w:p>
      <w:pPr>
        <w:ind w:left="1340" w:hanging="684"/>
        <w:spacing w:after="0"/>
        <w:tabs>
          <w:tab w:leader="none" w:pos="1340" w:val="left"/>
        </w:tabs>
        <w:numPr>
          <w:ilvl w:val="0"/>
          <w:numId w:val="57"/>
        </w:numPr>
        <w:rPr>
          <w:rFonts w:ascii="Arial" w:cs="Arial" w:eastAsia="Arial" w:hAnsi="Arial"/>
          <w:sz w:val="16"/>
          <w:szCs w:val="16"/>
          <w:color w:val="auto"/>
        </w:rPr>
      </w:pPr>
      <w:r>
        <w:rPr>
          <w:rFonts w:ascii="Arial" w:cs="Arial" w:eastAsia="Arial" w:hAnsi="Arial"/>
          <w:sz w:val="16"/>
          <w:szCs w:val="16"/>
          <w:color w:val="auto"/>
        </w:rPr>
        <w:t>Each of the New Members agrees to be bound by the terms of the Agreement, the terms of which are incorporated herein and made a part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hereof.</w:t>
      </w:r>
    </w:p>
    <w:p>
      <w:pPr>
        <w:spacing w:after="0" w:line="211" w:lineRule="exact"/>
        <w:rPr>
          <w:sz w:val="20"/>
          <w:szCs w:val="20"/>
          <w:color w:val="auto"/>
        </w:rPr>
      </w:pPr>
    </w:p>
    <w:p>
      <w:pPr>
        <w:ind w:firstLine="656"/>
        <w:spacing w:after="0" w:line="277" w:lineRule="auto"/>
        <w:tabs>
          <w:tab w:leader="none" w:pos="1391"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This Joinder may be executed in counterparts, each of which shall be deemed an original and all of which, taken together, shall constitute but one and the same instrument, which may be sufficiently evidenced by one counterpart.</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on next 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306705</wp:posOffset>
            </wp:positionV>
            <wp:extent cx="724662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118" w:right="239" w:bottom="1440" w:gutter="0" w:footer="0" w:header="0"/>
        </w:sectPr>
      </w:pPr>
    </w:p>
    <w:bookmarkStart w:id="40" w:name="page41"/>
    <w:bookmarkEnd w:id="40"/>
    <w:tbl>
      <w:tblPr>
        <w:tblLayout w:type="fixed"/>
        <w:tblInd w:w="0" w:type="dxa"/>
        <w:tblCellMar>
          <w:top w:w="0" w:type="dxa"/>
          <w:left w:w="0" w:type="dxa"/>
          <w:bottom w:w="0" w:type="dxa"/>
          <w:right w:w="0" w:type="dxa"/>
        </w:tblCellMar>
      </w:tblPr>
      <w:tr>
        <w:trPr>
          <w:trHeight w:val="216"/>
        </w:trPr>
        <w:tc>
          <w:tcPr>
            <w:tcW w:w="5940" w:type="dxa"/>
            <w:vAlign w:val="bottom"/>
            <w:gridSpan w:val="3"/>
          </w:tcPr>
          <w:p>
            <w:pPr>
              <w:spacing w:after="0"/>
              <w:rPr>
                <w:sz w:val="20"/>
                <w:szCs w:val="20"/>
                <w:color w:val="auto"/>
              </w:rPr>
            </w:pPr>
            <w:r>
              <w:rPr>
                <w:rFonts w:ascii="Arial" w:cs="Arial" w:eastAsia="Arial" w:hAnsi="Arial"/>
                <w:sz w:val="18"/>
                <w:szCs w:val="18"/>
                <w:color w:val="auto"/>
              </w:rPr>
              <w:t>STARBOARD VALUE AND OPPORTUNITY MASTER FUND LTD</w:t>
            </w: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T FUND LP</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LP,</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investment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4460" w:type="dxa"/>
            <w:vAlign w:val="bottom"/>
            <w:gridSpan w:val="2"/>
          </w:tcPr>
          <w:p>
            <w:pPr>
              <w:spacing w:after="0"/>
              <w:rPr>
                <w:sz w:val="20"/>
                <w:szCs w:val="20"/>
                <w:color w:val="auto"/>
              </w:rPr>
            </w:pPr>
            <w:r>
              <w:rPr>
                <w:rFonts w:ascii="Arial" w:cs="Arial" w:eastAsia="Arial" w:hAnsi="Arial"/>
                <w:sz w:val="18"/>
                <w:szCs w:val="18"/>
                <w:color w:val="auto"/>
              </w:rPr>
              <w:t>STARBOARD VALUE AND OPPORTUNITY S LLC</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LP</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GP LLC,</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4460" w:type="dxa"/>
            <w:vAlign w:val="bottom"/>
            <w:gridSpan w:val="2"/>
          </w:tcPr>
          <w:p>
            <w:pPr>
              <w:spacing w:after="0"/>
              <w:rPr>
                <w:sz w:val="20"/>
                <w:szCs w:val="20"/>
                <w:color w:val="auto"/>
              </w:rPr>
            </w:pPr>
            <w:r>
              <w:rPr>
                <w:rFonts w:ascii="Arial" w:cs="Arial" w:eastAsia="Arial" w:hAnsi="Arial"/>
                <w:sz w:val="18"/>
                <w:szCs w:val="18"/>
                <w:color w:val="auto"/>
              </w:rPr>
              <w:t>STARBOARD VALUE AND OPPORTUNITY C LP</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 FUND LP</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R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P GP LLC,</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760" w:type="dxa"/>
            <w:vAlign w:val="bottom"/>
          </w:tcPr>
          <w:p>
            <w:pPr>
              <w:spacing w:after="0"/>
              <w:rPr>
                <w:sz w:val="20"/>
                <w:szCs w:val="20"/>
                <w:color w:val="auto"/>
              </w:rPr>
            </w:pPr>
            <w:r>
              <w:rPr>
                <w:rFonts w:ascii="Arial" w:cs="Arial" w:eastAsia="Arial" w:hAnsi="Arial"/>
                <w:sz w:val="18"/>
                <w:szCs w:val="18"/>
                <w:color w:val="auto"/>
              </w:rPr>
              <w:t>STARBOARD VALUE R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P GP LLC</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R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R LP,</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760" w:type="dxa"/>
            <w:vAlign w:val="bottom"/>
          </w:tcPr>
          <w:p>
            <w:pPr>
              <w:spacing w:after="0"/>
              <w:rPr>
                <w:sz w:val="20"/>
                <w:szCs w:val="20"/>
                <w:color w:val="auto"/>
              </w:rPr>
            </w:pPr>
            <w:r>
              <w:rPr>
                <w:rFonts w:ascii="Arial" w:cs="Arial" w:eastAsia="Arial" w:hAnsi="Arial"/>
                <w:sz w:val="18"/>
                <w:szCs w:val="18"/>
                <w:color w:val="auto"/>
              </w:rPr>
              <w:t>STARBOARD LEADERS JULIET LLC</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LP</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GP LLC,</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managing member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760" w:type="dxa"/>
            <w:vAlign w:val="bottom"/>
          </w:tcPr>
          <w:p>
            <w:pPr>
              <w:spacing w:after="0"/>
              <w:rPr>
                <w:sz w:val="20"/>
                <w:szCs w:val="20"/>
                <w:color w:val="auto"/>
              </w:rPr>
            </w:pPr>
            <w:r>
              <w:rPr>
                <w:rFonts w:ascii="Arial" w:cs="Arial" w:eastAsia="Arial" w:hAnsi="Arial"/>
                <w:sz w:val="18"/>
                <w:szCs w:val="18"/>
                <w:color w:val="auto"/>
              </w:rPr>
              <w:t>STARBOARD LEADERS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GP LLC</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LP,</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760" w:type="dxa"/>
            <w:vAlign w:val="bottom"/>
          </w:tcPr>
          <w:p>
            <w:pPr>
              <w:spacing w:after="0"/>
              <w:rPr>
                <w:sz w:val="20"/>
                <w:szCs w:val="20"/>
                <w:color w:val="auto"/>
              </w:rPr>
            </w:pPr>
            <w:r>
              <w:rPr>
                <w:rFonts w:ascii="Arial" w:cs="Arial" w:eastAsia="Arial" w:hAnsi="Arial"/>
                <w:sz w:val="18"/>
                <w:szCs w:val="18"/>
                <w:color w:val="auto"/>
              </w:rPr>
              <w:t>STARBOARD LEADERS SELECT II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LP</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Leaders Select II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GP LLC,</w:t>
            </w: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760" w:type="dxa"/>
            <w:vAlign w:val="bottom"/>
          </w:tcPr>
          <w:p>
            <w:pPr>
              <w:spacing w:after="0"/>
              <w:rPr>
                <w:sz w:val="20"/>
                <w:szCs w:val="20"/>
                <w:color w:val="auto"/>
              </w:rPr>
            </w:pPr>
            <w:r>
              <w:rPr>
                <w:rFonts w:ascii="Arial" w:cs="Arial" w:eastAsia="Arial" w:hAnsi="Arial"/>
                <w:sz w:val="18"/>
                <w:szCs w:val="18"/>
                <w:color w:val="auto"/>
              </w:rPr>
              <w:t>STARBOARD LEADERS SELECT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GP LLC</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1440" w:type="dxa"/>
            <w:vAlign w:val="bottom"/>
          </w:tcPr>
          <w:p>
            <w:pPr>
              <w:spacing w:after="0"/>
              <w:rPr>
                <w:sz w:val="18"/>
                <w:szCs w:val="18"/>
                <w:color w:val="auto"/>
              </w:rPr>
            </w:pPr>
          </w:p>
        </w:tc>
      </w:tr>
      <w:tr>
        <w:trPr>
          <w:trHeight w:val="230"/>
        </w:trPr>
        <w:tc>
          <w:tcPr>
            <w:tcW w:w="3760" w:type="dxa"/>
            <w:vAlign w:val="bottom"/>
          </w:tcPr>
          <w:p>
            <w:pPr>
              <w:ind w:left="32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GP LLC</w:t>
            </w:r>
          </w:p>
        </w:tc>
      </w:tr>
      <w:tr>
        <w:trPr>
          <w:trHeight w:val="432"/>
        </w:trPr>
        <w:tc>
          <w:tcPr>
            <w:tcW w:w="3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R GP LLC</w:t>
            </w:r>
          </w:p>
        </w:tc>
      </w:tr>
      <w:tr>
        <w:trPr>
          <w:trHeight w:val="432"/>
        </w:trPr>
        <w:tc>
          <w:tcPr>
            <w:tcW w:w="3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w w:val="95"/>
              </w:rPr>
              <w:t>STARBOARD LEADERS SELECT II GP LLC</w:t>
            </w:r>
          </w:p>
        </w:tc>
      </w:tr>
      <w:tr>
        <w:trPr>
          <w:trHeight w:val="432"/>
        </w:trPr>
        <w:tc>
          <w:tcPr>
            <w:tcW w:w="3760" w:type="dxa"/>
            <w:vAlign w:val="bottom"/>
          </w:tcPr>
          <w:p>
            <w:pPr>
              <w:ind w:left="3140"/>
              <w:spacing w:after="0"/>
              <w:rPr>
                <w:sz w:val="20"/>
                <w:szCs w:val="20"/>
                <w:color w:val="auto"/>
              </w:rPr>
            </w:pPr>
            <w:r>
              <w:rPr>
                <w:rFonts w:ascii="Arial" w:cs="Arial" w:eastAsia="Arial" w:hAnsi="Arial"/>
                <w:sz w:val="18"/>
                <w:szCs w:val="18"/>
                <w:color w:val="auto"/>
              </w:rPr>
              <w:t>By:</w:t>
            </w:r>
          </w:p>
        </w:tc>
        <w:tc>
          <w:tcPr>
            <w:tcW w:w="218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Jeffrey C. Smith</w:t>
            </w:r>
          </w:p>
        </w:tc>
        <w:tc>
          <w:tcPr>
            <w:tcW w:w="2120" w:type="dxa"/>
            <w:vAlign w:val="bottom"/>
            <w:tcBorders>
              <w:bottom w:val="single" w:sz="8" w:color="auto"/>
            </w:tcBorders>
          </w:tcPr>
          <w:p>
            <w:pPr>
              <w:spacing w:after="0"/>
              <w:rPr>
                <w:sz w:val="24"/>
                <w:szCs w:val="24"/>
                <w:color w:val="auto"/>
              </w:rPr>
            </w:pPr>
          </w:p>
        </w:tc>
        <w:tc>
          <w:tcPr>
            <w:tcW w:w="1440" w:type="dxa"/>
            <w:vAlign w:val="bottom"/>
          </w:tcPr>
          <w:p>
            <w:pPr>
              <w:spacing w:after="0"/>
              <w:rPr>
                <w:sz w:val="24"/>
                <w:szCs w:val="24"/>
                <w:color w:val="auto"/>
              </w:rPr>
            </w:pPr>
          </w:p>
        </w:tc>
      </w:tr>
      <w:tr>
        <w:trPr>
          <w:trHeight w:val="195"/>
        </w:trPr>
        <w:tc>
          <w:tcPr>
            <w:tcW w:w="376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1480" w:type="dxa"/>
            <w:vAlign w:val="bottom"/>
          </w:tcPr>
          <w:p>
            <w:pPr>
              <w:ind w:left="220"/>
              <w:spacing w:after="0" w:line="195" w:lineRule="exact"/>
              <w:rPr>
                <w:sz w:val="20"/>
                <w:szCs w:val="20"/>
                <w:color w:val="auto"/>
              </w:rPr>
            </w:pPr>
            <w:r>
              <w:rPr>
                <w:rFonts w:ascii="Arial" w:cs="Arial" w:eastAsia="Arial" w:hAnsi="Arial"/>
                <w:sz w:val="18"/>
                <w:szCs w:val="18"/>
                <w:color w:val="auto"/>
                <w:w w:val="96"/>
              </w:rPr>
              <w:t>Jeffrey C. Smith</w:t>
            </w:r>
          </w:p>
        </w:tc>
        <w:tc>
          <w:tcPr>
            <w:tcW w:w="2120" w:type="dxa"/>
            <w:vAlign w:val="bottom"/>
          </w:tcPr>
          <w:p>
            <w:pPr>
              <w:spacing w:after="0"/>
              <w:rPr>
                <w:sz w:val="16"/>
                <w:szCs w:val="16"/>
                <w:color w:val="auto"/>
              </w:rPr>
            </w:pPr>
          </w:p>
        </w:tc>
        <w:tc>
          <w:tcPr>
            <w:tcW w:w="1440" w:type="dxa"/>
            <w:vAlign w:val="bottom"/>
          </w:tcPr>
          <w:p>
            <w:pPr>
              <w:spacing w:after="0"/>
              <w:rPr>
                <w:sz w:val="16"/>
                <w:szCs w:val="16"/>
                <w:color w:val="auto"/>
              </w:rPr>
            </w:pPr>
          </w:p>
        </w:tc>
      </w:tr>
      <w:tr>
        <w:trPr>
          <w:trHeight w:val="230"/>
        </w:trPr>
        <w:tc>
          <w:tcPr>
            <w:tcW w:w="376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5040" w:type="dxa"/>
            <w:vAlign w:val="bottom"/>
            <w:gridSpan w:val="3"/>
          </w:tcPr>
          <w:p>
            <w:pPr>
              <w:ind w:left="22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-130810</wp:posOffset>
            </wp:positionV>
            <wp:extent cx="312166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312166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Individually and as attorney-in-fact for Mark R. Mitchell and Peter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 Feld</w:t>
      </w:r>
    </w:p>
    <w:sectPr>
      <w:pgSz w:w="11900" w:h="16838" w:orient="portrait"/>
      <w:cols w:equalWidth="0" w:num="1">
        <w:col w:w="10099"/>
      </w:cols>
      <w:pgMar w:left="360" w:top="69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A95F874"/>
    <w:multiLevelType w:val="hybridMultilevel"/>
    <w:lvl w:ilvl="0">
      <w:lvlJc w:val="left"/>
      <w:lvlText w:val="§"/>
      <w:numFmt w:val="bullet"/>
      <w:start w:val="1"/>
    </w:lvl>
  </w:abstractNum>
  <w:abstractNum w:abstractNumId="1">
    <w:nsid w:val="8138641"/>
    <w:multiLevelType w:val="hybridMultilevel"/>
    <w:lvl w:ilvl="0">
      <w:lvlJc w:val="left"/>
      <w:lvlText w:val="1"/>
      <w:numFmt w:val="bullet"/>
      <w:start w:val="1"/>
    </w:lvl>
  </w:abstractNum>
  <w:abstractNum w:abstractNumId="2">
    <w:nsid w:val="1E7FF521"/>
    <w:multiLevelType w:val="hybridMultilevel"/>
    <w:lvl w:ilvl="0">
      <w:lvlJc w:val="left"/>
      <w:lvlText w:val="*"/>
      <w:numFmt w:val="bullet"/>
      <w:start w:val="1"/>
    </w:lvl>
  </w:abstractNum>
  <w:abstractNum w:abstractNumId="3">
    <w:nsid w:val="7C3DBD3D"/>
    <w:multiLevelType w:val="hybridMultilevel"/>
    <w:lvl w:ilvl="0">
      <w:lvlJc w:val="left"/>
      <w:lvlText w:val="*"/>
      <w:numFmt w:val="bullet"/>
      <w:start w:val="1"/>
    </w:lvl>
  </w:abstractNum>
  <w:abstractNum w:abstractNumId="4">
    <w:nsid w:val="737B8DDC"/>
    <w:multiLevelType w:val="hybridMultilevel"/>
    <w:lvl w:ilvl="0">
      <w:lvlJc w:val="left"/>
      <w:lvlText w:val="%1"/>
      <w:numFmt w:val="decimal"/>
      <w:start w:val="14"/>
    </w:lvl>
  </w:abstractNum>
  <w:abstractNum w:abstractNumId="5">
    <w:nsid w:val="6CEAF087"/>
    <w:multiLevelType w:val="hybridMultilevel"/>
    <w:lvl w:ilvl="0">
      <w:lvlJc w:val="left"/>
      <w:lvlText w:val="*"/>
      <w:numFmt w:val="bullet"/>
      <w:start w:val="1"/>
    </w:lvl>
  </w:abstractNum>
  <w:abstractNum w:abstractNumId="6">
    <w:nsid w:val="22221A70"/>
    <w:multiLevelType w:val="hybridMultilevel"/>
    <w:lvl w:ilvl="0">
      <w:lvlJc w:val="left"/>
      <w:lvlText w:val="*"/>
      <w:numFmt w:val="bullet"/>
      <w:start w:val="1"/>
    </w:lvl>
  </w:abstractNum>
  <w:abstractNum w:abstractNumId="7">
    <w:nsid w:val="4516DDE9"/>
    <w:multiLevelType w:val="hybridMultilevel"/>
    <w:lvl w:ilvl="0">
      <w:lvlJc w:val="left"/>
      <w:lvlText w:val="*"/>
      <w:numFmt w:val="bullet"/>
      <w:start w:val="1"/>
    </w:lvl>
  </w:abstractNum>
  <w:abstractNum w:abstractNumId="8">
    <w:nsid w:val="3006C83E"/>
    <w:multiLevelType w:val="hybridMultilevel"/>
    <w:lvl w:ilvl="0">
      <w:lvlJc w:val="left"/>
      <w:lvlText w:val="*"/>
      <w:numFmt w:val="bullet"/>
      <w:start w:val="1"/>
    </w:lvl>
  </w:abstractNum>
  <w:abstractNum w:abstractNumId="9">
    <w:nsid w:val="614FD4A1"/>
    <w:multiLevelType w:val="hybridMultilevel"/>
    <w:lvl w:ilvl="0">
      <w:lvlJc w:val="left"/>
      <w:lvlText w:val="*"/>
      <w:numFmt w:val="bullet"/>
      <w:start w:val="1"/>
    </w:lvl>
  </w:abstractNum>
  <w:abstractNum w:abstractNumId="10">
    <w:nsid w:val="419AC241"/>
    <w:multiLevelType w:val="hybridMultilevel"/>
    <w:lvl w:ilvl="0">
      <w:lvlJc w:val="left"/>
      <w:lvlText w:val="*"/>
      <w:numFmt w:val="bullet"/>
      <w:start w:val="1"/>
    </w:lvl>
  </w:abstractNum>
  <w:abstractNum w:abstractNumId="11">
    <w:nsid w:val="5577F8E1"/>
    <w:multiLevelType w:val="hybridMultilevel"/>
    <w:lvl w:ilvl="0">
      <w:lvlJc w:val="left"/>
      <w:lvlText w:val="*"/>
      <w:numFmt w:val="bullet"/>
      <w:start w:val="1"/>
    </w:lvl>
  </w:abstractNum>
  <w:abstractNum w:abstractNumId="12">
    <w:nsid w:val="440BADFC"/>
    <w:multiLevelType w:val="hybridMultilevel"/>
    <w:lvl w:ilvl="0">
      <w:lvlJc w:val="left"/>
      <w:lvlText w:val="1"/>
      <w:numFmt w:val="bullet"/>
      <w:start w:val="1"/>
    </w:lvl>
  </w:abstractNum>
  <w:abstractNum w:abstractNumId="13">
    <w:nsid w:val="5072367"/>
    <w:multiLevelType w:val="hybridMultilevel"/>
    <w:lvl w:ilvl="0">
      <w:lvlJc w:val="left"/>
      <w:lvlText w:val="3"/>
      <w:numFmt w:val="bullet"/>
      <w:start w:val="1"/>
    </w:lvl>
  </w:abstractNum>
  <w:abstractNum w:abstractNumId="14">
    <w:nsid w:val="3804823E"/>
    <w:multiLevelType w:val="hybridMultilevel"/>
    <w:lvl w:ilvl="0">
      <w:lvlJc w:val="left"/>
      <w:lvlText w:val="4"/>
      <w:numFmt w:val="bullet"/>
      <w:start w:val="1"/>
    </w:lvl>
  </w:abstractNum>
  <w:abstractNum w:abstractNumId="15">
    <w:nsid w:val="77465F01"/>
    <w:multiLevelType w:val="hybridMultilevel"/>
    <w:lvl w:ilvl="0">
      <w:lvlJc w:val="left"/>
      <w:lvlText w:val="6"/>
      <w:numFmt w:val="bullet"/>
      <w:start w:val="1"/>
    </w:lvl>
  </w:abstractNum>
  <w:abstractNum w:abstractNumId="16">
    <w:nsid w:val="7724C67E"/>
    <w:multiLevelType w:val="hybridMultilevel"/>
    <w:lvl w:ilvl="0">
      <w:lvlJc w:val="left"/>
      <w:lvlText w:val="*"/>
      <w:numFmt w:val="bullet"/>
      <w:start w:val="1"/>
    </w:lvl>
    <w:lvl w:ilvl="1">
      <w:lvlJc w:val="left"/>
      <w:lvlText w:val="%2"/>
      <w:numFmt w:val="decimal"/>
      <w:start w:val="14"/>
    </w:lvl>
  </w:abstractNum>
  <w:abstractNum w:abstractNumId="17">
    <w:nsid w:val="5C482A97"/>
    <w:multiLevelType w:val="hybridMultilevel"/>
    <w:lvl w:ilvl="0">
      <w:lvlJc w:val="left"/>
      <w:lvlText w:val="1"/>
      <w:numFmt w:val="bullet"/>
      <w:start w:val="1"/>
    </w:lvl>
  </w:abstractNum>
  <w:abstractNum w:abstractNumId="18">
    <w:nsid w:val="2463B9EA"/>
    <w:multiLevelType w:val="hybridMultilevel"/>
    <w:lvl w:ilvl="0">
      <w:lvlJc w:val="left"/>
      <w:lvlText w:val="3"/>
      <w:numFmt w:val="bullet"/>
      <w:start w:val="1"/>
    </w:lvl>
  </w:abstractNum>
  <w:abstractNum w:abstractNumId="19">
    <w:nsid w:val="5E884ADC"/>
    <w:multiLevelType w:val="hybridMultilevel"/>
    <w:lvl w:ilvl="0">
      <w:lvlJc w:val="left"/>
      <w:lvlText w:val="4"/>
      <w:numFmt w:val="bullet"/>
      <w:start w:val="1"/>
    </w:lvl>
  </w:abstractNum>
  <w:abstractNum w:abstractNumId="20">
    <w:nsid w:val="51EAD36B"/>
    <w:multiLevelType w:val="hybridMultilevel"/>
    <w:lvl w:ilvl="0">
      <w:lvlJc w:val="left"/>
      <w:lvlText w:val="6"/>
      <w:numFmt w:val="bullet"/>
      <w:start w:val="1"/>
    </w:lvl>
  </w:abstractNum>
  <w:abstractNum w:abstractNumId="21">
    <w:nsid w:val="2D517796"/>
    <w:multiLevelType w:val="hybridMultilevel"/>
    <w:lvl w:ilvl="0">
      <w:lvlJc w:val="left"/>
      <w:lvlText w:val="*"/>
      <w:numFmt w:val="bullet"/>
      <w:start w:val="1"/>
    </w:lvl>
    <w:lvl w:ilvl="1">
      <w:lvlJc w:val="left"/>
      <w:lvlText w:val="%2"/>
      <w:numFmt w:val="decimal"/>
      <w:start w:val="14"/>
    </w:lvl>
  </w:abstractNum>
  <w:abstractNum w:abstractNumId="22">
    <w:nsid w:val="580BD78F"/>
    <w:multiLevelType w:val="hybridMultilevel"/>
    <w:lvl w:ilvl="0">
      <w:lvlJc w:val="left"/>
      <w:lvlText w:val="1"/>
      <w:numFmt w:val="bullet"/>
      <w:start w:val="1"/>
    </w:lvl>
  </w:abstractNum>
  <w:abstractNum w:abstractNumId="23">
    <w:nsid w:val="153EA438"/>
    <w:multiLevelType w:val="hybridMultilevel"/>
    <w:lvl w:ilvl="0">
      <w:lvlJc w:val="left"/>
      <w:lvlText w:val="3"/>
      <w:numFmt w:val="bullet"/>
      <w:start w:val="1"/>
    </w:lvl>
  </w:abstractNum>
  <w:abstractNum w:abstractNumId="24">
    <w:nsid w:val="3855585C"/>
    <w:multiLevelType w:val="hybridMultilevel"/>
    <w:lvl w:ilvl="0">
      <w:lvlJc w:val="left"/>
      <w:lvlText w:val="4"/>
      <w:numFmt w:val="bullet"/>
      <w:start w:val="1"/>
    </w:lvl>
  </w:abstractNum>
  <w:abstractNum w:abstractNumId="25">
    <w:nsid w:val="70A64E2A"/>
    <w:multiLevelType w:val="hybridMultilevel"/>
    <w:lvl w:ilvl="0">
      <w:lvlJc w:val="left"/>
      <w:lvlText w:val="*"/>
      <w:numFmt w:val="bullet"/>
      <w:start w:val="1"/>
    </w:lvl>
  </w:abstractNum>
  <w:abstractNum w:abstractNumId="26">
    <w:nsid w:val="6A2342EC"/>
    <w:multiLevelType w:val="hybridMultilevel"/>
    <w:lvl w:ilvl="0">
      <w:lvlJc w:val="left"/>
      <w:lvlText w:val="1"/>
      <w:numFmt w:val="bullet"/>
      <w:start w:val="1"/>
    </w:lvl>
  </w:abstractNum>
  <w:abstractNum w:abstractNumId="27">
    <w:nsid w:val="2A487CB0"/>
    <w:multiLevelType w:val="hybridMultilevel"/>
    <w:lvl w:ilvl="0">
      <w:lvlJc w:val="left"/>
      <w:lvlText w:val="3"/>
      <w:numFmt w:val="bullet"/>
      <w:start w:val="1"/>
    </w:lvl>
  </w:abstractNum>
  <w:abstractNum w:abstractNumId="28">
    <w:nsid w:val="1D4ED43B"/>
    <w:multiLevelType w:val="hybridMultilevel"/>
    <w:lvl w:ilvl="0">
      <w:lvlJc w:val="left"/>
      <w:lvlText w:val="*"/>
      <w:numFmt w:val="bullet"/>
      <w:start w:val="1"/>
    </w:lvl>
  </w:abstractNum>
  <w:abstractNum w:abstractNumId="29">
    <w:nsid w:val="725A06FB"/>
    <w:multiLevelType w:val="hybridMultilevel"/>
    <w:lvl w:ilvl="0">
      <w:lvlJc w:val="left"/>
      <w:lvlText w:val="1"/>
      <w:numFmt w:val="bullet"/>
      <w:start w:val="1"/>
    </w:lvl>
  </w:abstractNum>
  <w:abstractNum w:abstractNumId="30">
    <w:nsid w:val="2CD89A32"/>
    <w:multiLevelType w:val="hybridMultilevel"/>
    <w:lvl w:ilvl="0">
      <w:lvlJc w:val="left"/>
      <w:lvlText w:val="3"/>
      <w:numFmt w:val="bullet"/>
      <w:start w:val="1"/>
    </w:lvl>
  </w:abstractNum>
  <w:abstractNum w:abstractNumId="31">
    <w:nsid w:val="57E4CCAF"/>
    <w:multiLevelType w:val="hybridMultilevel"/>
    <w:lvl w:ilvl="0">
      <w:lvlJc w:val="left"/>
      <w:lvlText w:val="*"/>
      <w:numFmt w:val="bullet"/>
      <w:start w:val="1"/>
    </w:lvl>
  </w:abstractNum>
  <w:abstractNum w:abstractNumId="32">
    <w:nsid w:val="7A6D8D3C"/>
    <w:multiLevelType w:val="hybridMultilevel"/>
    <w:lvl w:ilvl="0">
      <w:lvlJc w:val="left"/>
      <w:lvlText w:val="*"/>
      <w:numFmt w:val="bullet"/>
      <w:start w:val="1"/>
    </w:lvl>
  </w:abstractNum>
  <w:abstractNum w:abstractNumId="33">
    <w:nsid w:val="4B588F54"/>
    <w:multiLevelType w:val="hybridMultilevel"/>
    <w:lvl w:ilvl="0">
      <w:lvlJc w:val="left"/>
      <w:lvlText w:val="(%1)"/>
      <w:numFmt w:val="lowerLetter"/>
      <w:start w:val="1"/>
    </w:lvl>
    <w:lvl w:ilvl="1">
      <w:lvlJc w:val="left"/>
      <w:lvlText w:val="(%2)"/>
      <w:numFmt w:val="lowerRoman"/>
      <w:start w:val="1"/>
    </w:lvl>
  </w:abstractNum>
  <w:abstractNum w:abstractNumId="34">
    <w:nsid w:val="542289EC"/>
    <w:multiLevelType w:val="hybridMultilevel"/>
    <w:lvl w:ilvl="0">
      <w:lvlJc w:val="left"/>
      <w:lvlText w:val="(%1)"/>
      <w:numFmt w:val="lowerRoman"/>
      <w:start w:val="12"/>
    </w:lvl>
  </w:abstractNum>
  <w:abstractNum w:abstractNumId="35">
    <w:nsid w:val="6DE91B18"/>
    <w:multiLevelType w:val="hybridMultilevel"/>
    <w:lvl w:ilvl="0">
      <w:lvlJc w:val="left"/>
      <w:lvlText w:val="(%1)"/>
      <w:numFmt w:val="lowerLetter"/>
      <w:start w:val="2"/>
    </w:lvl>
  </w:abstractNum>
  <w:abstractNum w:abstractNumId="36">
    <w:nsid w:val="38437FDB"/>
    <w:multiLevelType w:val="hybridMultilevel"/>
    <w:lvl w:ilvl="0">
      <w:lvlJc w:val="left"/>
      <w:lvlText w:val="(%1)"/>
      <w:numFmt w:val="lowerLetter"/>
      <w:start w:val="3"/>
    </w:lvl>
  </w:abstractNum>
  <w:abstractNum w:abstractNumId="37">
    <w:nsid w:val="7644A45C"/>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38">
    <w:nsid w:val="32FFF902"/>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39">
    <w:nsid w:val="684A481A"/>
    <w:multiLevelType w:val="hybridMultilevel"/>
    <w:lvl w:ilvl="0">
      <w:lvlJc w:val="left"/>
      <w:lvlText w:val="%1."/>
      <w:numFmt w:val="upperLetter"/>
      <w:start w:val="3"/>
    </w:lvl>
    <w:lvl w:ilvl="1">
      <w:lvlJc w:val="left"/>
      <w:lvlText w:val="(%2)"/>
      <w:numFmt w:val="lowerLetter"/>
      <w:start w:val="1"/>
    </w:lvl>
    <w:lvl w:ilvl="2">
      <w:lvlJc w:val="left"/>
      <w:lvlText w:val="%3."/>
      <w:numFmt w:val="decimal"/>
      <w:start w:val="2"/>
    </w:lvl>
  </w:abstractNum>
  <w:abstractNum w:abstractNumId="40">
    <w:nsid w:val="579478FE"/>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41">
    <w:nsid w:val="749ABB43"/>
    <w:multiLevelType w:val="hybridMultilevel"/>
    <w:lvl w:ilvl="0">
      <w:lvlJc w:val="left"/>
      <w:lvlText w:val="%1."/>
      <w:numFmt w:val="upperLetter"/>
      <w:start w:val="6"/>
    </w:lvl>
    <w:lvl w:ilvl="1">
      <w:lvlJc w:val="left"/>
      <w:lvlText w:val="(%2)"/>
      <w:numFmt w:val="lowerLetter"/>
      <w:start w:val="1"/>
    </w:lvl>
    <w:lvl w:ilvl="2">
      <w:lvlJc w:val="left"/>
      <w:lvlText w:val="%3."/>
      <w:numFmt w:val="decimal"/>
      <w:start w:val="2"/>
    </w:lvl>
  </w:abstractNum>
  <w:abstractNum w:abstractNumId="42">
    <w:nsid w:val="3DC240FB"/>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43">
    <w:nsid w:val="1BA026FA"/>
    <w:multiLevelType w:val="hybridMultilevel"/>
    <w:lvl w:ilvl="0">
      <w:lvlJc w:val="left"/>
      <w:lvlText w:val="%1."/>
      <w:numFmt w:val="upperLetter"/>
      <w:start w:val="8"/>
    </w:lvl>
    <w:lvl w:ilvl="1">
      <w:lvlJc w:val="left"/>
      <w:lvlText w:val="(%2)"/>
      <w:numFmt w:val="lowerLetter"/>
      <w:start w:val="1"/>
    </w:lvl>
    <w:lvl w:ilvl="2">
      <w:lvlJc w:val="left"/>
      <w:lvlText w:val="%3"/>
      <w:numFmt w:val="decimal"/>
      <w:start w:val="1"/>
    </w:lvl>
  </w:abstractNum>
  <w:abstractNum w:abstractNumId="44">
    <w:nsid w:val="79A1DEAA"/>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45">
    <w:nsid w:val="75C6C33A"/>
    <w:multiLevelType w:val="hybridMultilevel"/>
    <w:lvl w:ilvl="0">
      <w:lvlJc w:val="left"/>
      <w:lvlText w:val="%1."/>
      <w:numFmt w:val="upperLetter"/>
      <w:start w:val="9"/>
    </w:lvl>
    <w:lvl w:ilvl="1">
      <w:lvlJc w:val="left"/>
      <w:lvlText w:val="(%2)"/>
      <w:numFmt w:val="lowerLetter"/>
      <w:start w:val="1"/>
    </w:lvl>
    <w:lvl w:ilvl="2">
      <w:lvlJc w:val="left"/>
      <w:lvlText w:val="%3."/>
      <w:numFmt w:val="decimal"/>
      <w:start w:val="2"/>
    </w:lvl>
  </w:abstractNum>
  <w:abstractNum w:abstractNumId="46">
    <w:nsid w:val="12E685FB"/>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47">
    <w:nsid w:val="70C6A529"/>
    <w:multiLevelType w:val="hybridMultilevel"/>
    <w:lvl w:ilvl="0">
      <w:lvlJc w:val="left"/>
      <w:lvlText w:val="%1."/>
      <w:numFmt w:val="upperLetter"/>
      <w:start w:val="12"/>
    </w:lvl>
    <w:lvl w:ilvl="1">
      <w:lvlJc w:val="left"/>
      <w:lvlText w:val="(%2)"/>
      <w:numFmt w:val="lowerLetter"/>
      <w:start w:val="1"/>
    </w:lvl>
    <w:lvl w:ilvl="2">
      <w:lvlJc w:val="left"/>
      <w:lvlText w:val="%3."/>
      <w:numFmt w:val="decimal"/>
      <w:start w:val="2"/>
    </w:lvl>
  </w:abstractNum>
  <w:abstractNum w:abstractNumId="48">
    <w:nsid w:val="520EEDD1"/>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49">
    <w:nsid w:val="374A3FE6"/>
    <w:multiLevelType w:val="hybridMultilevel"/>
    <w:lvl w:ilvl="0">
      <w:lvlJc w:val="left"/>
      <w:lvlText w:val="%1."/>
      <w:numFmt w:val="upperLetter"/>
      <w:start w:val="14"/>
    </w:lvl>
    <w:lvl w:ilvl="1">
      <w:lvlJc w:val="left"/>
      <w:lvlText w:val="(%2)"/>
      <w:numFmt w:val="lowerLetter"/>
      <w:start w:val="1"/>
    </w:lvl>
    <w:lvl w:ilvl="2">
      <w:lvlJc w:val="left"/>
      <w:lvlText w:val="%3."/>
      <w:numFmt w:val="decimal"/>
      <w:start w:val="2"/>
    </w:lvl>
  </w:abstractNum>
  <w:abstractNum w:abstractNumId="50">
    <w:nsid w:val="4F4EF005"/>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51">
    <w:nsid w:val="23F9C13C"/>
    <w:multiLevelType w:val="hybridMultilevel"/>
    <w:lvl w:ilvl="0">
      <w:lvlJc w:val="left"/>
      <w:lvlText w:val="%1."/>
      <w:numFmt w:val="upperLetter"/>
      <w:start w:val="17"/>
    </w:lvl>
    <w:lvl w:ilvl="1">
      <w:lvlJc w:val="left"/>
      <w:lvlText w:val="(%2)"/>
      <w:numFmt w:val="lowerLetter"/>
      <w:start w:val="1"/>
    </w:lvl>
    <w:lvl w:ilvl="2">
      <w:lvlJc w:val="left"/>
      <w:lvlText w:val="%3."/>
      <w:numFmt w:val="decimal"/>
      <w:start w:val="2"/>
    </w:lvl>
  </w:abstractNum>
  <w:abstractNum w:abstractNumId="52">
    <w:nsid w:val="649BB77C"/>
    <w:multiLevelType w:val="hybridMultilevel"/>
    <w:lvl w:ilvl="0">
      <w:lvlJc w:val="left"/>
      <w:lvlText w:val="%1"/>
      <w:numFmt w:val="upperLetter"/>
      <w:start w:val="1"/>
    </w:lvl>
    <w:lvl w:ilvl="1">
      <w:lvlJc w:val="left"/>
      <w:lvlText w:val="(%2)"/>
      <w:numFmt w:val="lowerLetter"/>
      <w:start w:val="2"/>
    </w:lvl>
    <w:lvl w:ilvl="2">
      <w:lvlJc w:val="left"/>
      <w:lvlText w:val="%3."/>
      <w:numFmt w:val="decimal"/>
      <w:start w:val="2"/>
    </w:lvl>
  </w:abstractNum>
  <w:abstractNum w:abstractNumId="53">
    <w:nsid w:val="275AC794"/>
    <w:multiLevelType w:val="hybridMultilevel"/>
    <w:lvl w:ilvl="0">
      <w:lvlJc w:val="left"/>
      <w:lvlText w:val="%1."/>
      <w:numFmt w:val="upperLetter"/>
      <w:start w:val="20"/>
    </w:lvl>
    <w:lvl w:ilvl="1">
      <w:lvlJc w:val="left"/>
      <w:lvlText w:val="(%2)"/>
      <w:numFmt w:val="lowerLetter"/>
      <w:start w:val="1"/>
    </w:lvl>
    <w:lvl w:ilvl="2">
      <w:lvlJc w:val="left"/>
      <w:lvlText w:val="%3."/>
      <w:numFmt w:val="decimal"/>
      <w:start w:val="2"/>
    </w:lvl>
  </w:abstractNum>
  <w:abstractNum w:abstractNumId="54">
    <w:nsid w:val="39386575"/>
    <w:multiLevelType w:val="hybridMultilevel"/>
    <w:lvl w:ilvl="0">
      <w:lvlJc w:val="left"/>
      <w:lvlText w:val="(%1)"/>
      <w:numFmt w:val="lowerLetter"/>
      <w:start w:val="4"/>
    </w:lvl>
  </w:abstractNum>
  <w:abstractNum w:abstractNumId="55">
    <w:nsid w:val="1CF10FD8"/>
    <w:multiLevelType w:val="hybridMultilevel"/>
    <w:lvl w:ilvl="0">
      <w:lvlJc w:val="left"/>
      <w:lvlText w:val="*"/>
      <w:numFmt w:val="bullet"/>
      <w:start w:val="1"/>
    </w:lvl>
  </w:abstractNum>
  <w:abstractNum w:abstractNumId="56">
    <w:nsid w:val="180115BE"/>
    <w:multiLevelType w:val="hybridMultilevel"/>
    <w:lvl w:ilvl="0">
      <w:lvlJc w:val="left"/>
      <w:lvlText w:val="%1."/>
      <w:numFmt w:val="decimal"/>
      <w:start w:val="1"/>
    </w:lvl>
  </w:abstractNum>
  <w:abstractNum w:abstractNumId="57">
    <w:nsid w:val="235BA861"/>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2019-12-06T11:53:55Z</dcterms:created>
  <dcterms:modified xsi:type="dcterms:W3CDTF">2019-12-06T11:53:55Z</dcterms:modified>
</cp:coreProperties>
</file>