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1708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17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Hussain Muhammad Raghib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11/01/2018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11/01/2018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99,227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17.58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598,471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right"/>
              <w:ind w:right="3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78,325</w:t>
            </w:r>
          </w:p>
        </w:tc>
        <w:tc>
          <w:tcPr>
            <w:tcW w:w="9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Surrender of shares to the issuer in payment of tax withholding.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Raghib Hussain by Blair</w:t>
            </w:r>
          </w:p>
        </w:tc>
        <w:tc>
          <w:tcPr>
            <w:tcW w:w="380" w:type="dxa"/>
            <w:vAlign w:val="bottom"/>
            <w:gridSpan w:val="2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11/05/2018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9"/>
              </w:rPr>
              <w:t>Walters as attorney-in-fact</w:t>
            </w: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2019-12-24T04:05:08Z</dcterms:created>
  <dcterms:modified xsi:type="dcterms:W3CDTF">2019-12-24T04:05:08Z</dcterms:modified>
</cp:coreProperties>
</file>