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Report: December 4, 2018</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1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ectPr>
          <w:pgSz w:w="11900" w:h="16838" w:orient="portrait"/>
          <w:cols w:equalWidth="0" w:num="1">
            <w:col w:w="11420"/>
          </w:cols>
          <w:pgMar w:left="240" w:top="702" w:right="239" w:bottom="0" w:gutter="0" w:footer="0" w:header="0"/>
        </w:sectPr>
      </w:pPr>
    </w:p>
    <w:bookmarkStart w:id="1" w:name="page2"/>
    <w:bookmarkEnd w:id="1"/>
    <w:p>
      <w:pPr>
        <w:ind w:right="60" w:firstLine="648"/>
        <w:spacing w:after="0" w:line="308" w:lineRule="auto"/>
        <w:rPr>
          <w:sz w:val="20"/>
          <w:szCs w:val="20"/>
          <w:color w:val="auto"/>
        </w:rPr>
      </w:pPr>
      <w:r>
        <w:rPr>
          <w:rFonts w:ascii="Arial" w:cs="Arial" w:eastAsia="Arial" w:hAnsi="Arial"/>
          <w:sz w:val="17"/>
          <w:szCs w:val="17"/>
          <w:color w:val="auto"/>
        </w:rPr>
        <w:t>On December 4, 2018, Marvell Technology Group Ltd. (“Marvell”) issued a press release reporting its financial results for the third quarter of fiscal 2019 ended November 3, 2018. A copy of the press release is furnished herewith as Exhibit 99.1 and is incorporated by reference herein.</w:t>
      </w:r>
    </w:p>
    <w:p>
      <w:pPr>
        <w:spacing w:after="0" w:line="147"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Tuesday, December 4, 2018 at 1:45 p.m. Pacific Time to discuss results for the third quarter of fiscal 2019. Interested parties may join the conference call by dialing 1-844-647-5488 or 1-615-247-0258, pass-code </w:t>
      </w:r>
      <w:r>
        <w:rPr>
          <w:rFonts w:ascii="Arial" w:cs="Arial" w:eastAsia="Arial" w:hAnsi="Arial"/>
          <w:sz w:val="18"/>
          <w:szCs w:val="18"/>
          <w:b w:val="1"/>
          <w:bCs w:val="1"/>
          <w:color w:val="auto"/>
        </w:rPr>
        <w:t>3069644</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Wednesday December 12, 2018.</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66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December 4, 2018, titled “Marvell Technology Group Ltd. Reports Third Quarter of Fiscal Year 2019</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Financial Results”</w:t>
        </w:r>
      </w:hyperlink>
    </w:p>
    <w:p>
      <w:pPr>
        <w:sectPr>
          <w:pgSz w:w="11900" w:h="16838" w:orient="portrait"/>
          <w:cols w:equalWidth="0" w:num="1">
            <w:col w:w="11380"/>
          </w:cols>
          <w:pgMar w:left="240" w:top="125" w:right="27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Arial" w:cs="Arial" w:eastAsia="Arial" w:hAnsi="Arial"/>
          <w:sz w:val="18"/>
          <w:szCs w:val="18"/>
          <w:color w:val="auto"/>
        </w:rPr>
        <w:t>Date: December 4,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31750</wp:posOffset>
            </wp:positionV>
            <wp:extent cx="22980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580"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Third Quarter of Fiscal Year 2019</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6"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Q3 Revenue: $851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Q3 Gross Margin: 45.1% GAAP gross margin; 64.6% non-GAAP gross margin</w:t>
      </w:r>
    </w:p>
    <w:p>
      <w:pPr>
        <w:spacing w:after="0" w:line="9" w:lineRule="exact"/>
        <w:rPr>
          <w:rFonts w:ascii="Arial" w:cs="Arial" w:eastAsia="Arial" w:hAnsi="Arial"/>
          <w:sz w:val="18"/>
          <w:szCs w:val="18"/>
          <w:color w:val="auto"/>
        </w:rPr>
      </w:pPr>
    </w:p>
    <w:p>
      <w:pPr>
        <w:ind w:left="660" w:right="320" w:hanging="328"/>
        <w:spacing w:after="0" w:line="250" w:lineRule="auto"/>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Q3 Diluted income (loss) per share: $(0.08) GAAP diluted loss per share from continuing operations; $0.33 non-GAAP diluted income per share from continuing operations</w:t>
      </w: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short-term investments: $610 million</w:t>
      </w:r>
    </w:p>
    <w:p>
      <w:pPr>
        <w:spacing w:after="0" w:line="207" w:lineRule="exact"/>
        <w:rPr>
          <w:sz w:val="20"/>
          <w:szCs w:val="20"/>
          <w:color w:val="auto"/>
        </w:rPr>
      </w:pPr>
    </w:p>
    <w:p>
      <w:pPr>
        <w:jc w:val="both"/>
        <w:ind w:right="320"/>
        <w:spacing w:after="0" w:line="266" w:lineRule="auto"/>
        <w:rPr>
          <w:sz w:val="20"/>
          <w:szCs w:val="20"/>
          <w:color w:val="auto"/>
        </w:rPr>
      </w:pPr>
      <w:r>
        <w:rPr>
          <w:rFonts w:ascii="Arial" w:cs="Arial" w:eastAsia="Arial" w:hAnsi="Arial"/>
          <w:sz w:val="18"/>
          <w:szCs w:val="18"/>
          <w:b w:val="1"/>
          <w:bCs w:val="1"/>
          <w:color w:val="auto"/>
        </w:rPr>
        <w:t xml:space="preserve">Santa Clara, Calif. (December 4, 2018)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third fiscal quarter of fiscal year 2019. Revenue for the third quarter of fiscal 2019 was $851 million, which exceeded the midpoint of the Company’s guidance provided on September 6, 2018.</w:t>
      </w:r>
    </w:p>
    <w:p>
      <w:pPr>
        <w:spacing w:after="0" w:line="72" w:lineRule="exact"/>
        <w:rPr>
          <w:sz w:val="20"/>
          <w:szCs w:val="20"/>
          <w:color w:val="auto"/>
        </w:rPr>
      </w:pPr>
    </w:p>
    <w:p>
      <w:pPr>
        <w:jc w:val="both"/>
        <w:ind w:right="320"/>
        <w:spacing w:after="0" w:line="264" w:lineRule="auto"/>
        <w:rPr>
          <w:sz w:val="20"/>
          <w:szCs w:val="20"/>
          <w:color w:val="auto"/>
        </w:rPr>
      </w:pPr>
      <w:r>
        <w:rPr>
          <w:rFonts w:ascii="Arial" w:cs="Arial" w:eastAsia="Arial" w:hAnsi="Arial"/>
          <w:sz w:val="18"/>
          <w:szCs w:val="18"/>
          <w:color w:val="auto"/>
        </w:rPr>
        <w:t>GAAP net loss from continuing operations for the third quarter of fiscal 2019 was $54 million, or $(0.08) per diluted share. Non-GAAP net income from continuing operations for the third quarter of fiscal 2019 was $222 million, or $0.33 per diluted share. Cash flow from operations for the third quarter was $299 million.</w:t>
      </w:r>
    </w:p>
    <w:p>
      <w:pPr>
        <w:spacing w:after="0" w:line="289"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“In the first full quarter operating as a combined Marvell and Cavium team, we completed key integration milestones ahead of schedule, delivered revenue above the midpoint of our guidance, and generated strong free cash flow at 30 percent of revenue. We also expect renewed revenue growth from the Cavium business in the fourth quarter,” said Matt Murphy, Marvell's President and Chief Executive Officer. “Looking ahead, we expect the deployment of 5G will accelerate our growth over the next several years as engagements with a growing list of Tier 1 customers continue to build momentum in this major infrastructure transition.”</w:t>
      </w:r>
    </w:p>
    <w:p>
      <w:pPr>
        <w:spacing w:after="0" w:line="4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Fourth Quarter of Fiscal 2019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is expected to be $790 million to $830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approximately 46%.</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$375 million to $385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$285 million to $290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from continuing operations is expected to be $(0.05) to $(0.01)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from continuing operations is expected to be $0.30 to $0.34 per share.</w:t>
      </w:r>
    </w:p>
    <w:p>
      <w:pPr>
        <w:sectPr>
          <w:pgSz w:w="11900" w:h="16838" w:orient="portrait"/>
          <w:cols w:equalWidth="0" w:num="1">
            <w:col w:w="11420"/>
          </w:cols>
          <w:pgMar w:left="240" w:top="121"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135" w:lineRule="exact"/>
        <w:rPr>
          <w:sz w:val="20"/>
          <w:szCs w:val="20"/>
          <w:color w:val="auto"/>
        </w:rPr>
      </w:pPr>
    </w:p>
    <w:p>
      <w:pPr>
        <w:ind w:right="240"/>
        <w:spacing w:after="0" w:line="270" w:lineRule="auto"/>
        <w:rPr>
          <w:sz w:val="20"/>
          <w:szCs w:val="20"/>
          <w:color w:val="auto"/>
        </w:rPr>
      </w:pPr>
      <w:r>
        <w:rPr>
          <w:rFonts w:ascii="Arial" w:cs="Arial" w:eastAsia="Arial" w:hAnsi="Arial"/>
          <w:sz w:val="18"/>
          <w:szCs w:val="18"/>
          <w:color w:val="auto"/>
        </w:rPr>
        <w:t xml:space="preserve">Marvell will conduct a conference call on Tuesday, December 4, 2018 at 1:45 p.m. Pacific Time to discuss results for the third quarter of fiscal 2019. Interested parties may join the conference call by dialing </w:t>
      </w:r>
      <w:r>
        <w:rPr>
          <w:rFonts w:ascii="Arial" w:cs="Arial" w:eastAsia="Arial" w:hAnsi="Arial"/>
          <w:sz w:val="19"/>
          <w:szCs w:val="19"/>
          <w:color w:val="auto"/>
        </w:rPr>
        <w:t>1-844-647-5488</w:t>
      </w:r>
      <w:r>
        <w:rPr>
          <w:rFonts w:ascii="Arial" w:cs="Arial" w:eastAsia="Arial" w:hAnsi="Arial"/>
          <w:sz w:val="18"/>
          <w:szCs w:val="18"/>
          <w:color w:val="auto"/>
        </w:rPr>
        <w:t xml:space="preserve"> or </w:t>
      </w:r>
      <w:r>
        <w:rPr>
          <w:rFonts w:ascii="Arial" w:cs="Arial" w:eastAsia="Arial" w:hAnsi="Arial"/>
          <w:sz w:val="19"/>
          <w:szCs w:val="19"/>
          <w:color w:val="auto"/>
        </w:rPr>
        <w:t>1-615-247-0258</w:t>
      </w:r>
      <w:r>
        <w:rPr>
          <w:rFonts w:ascii="Arial" w:cs="Arial" w:eastAsia="Arial" w:hAnsi="Arial"/>
          <w:sz w:val="18"/>
          <w:szCs w:val="18"/>
          <w:color w:val="auto"/>
        </w:rPr>
        <w:t xml:space="preserve">, pass-code </w:t>
      </w:r>
      <w:r>
        <w:rPr>
          <w:rFonts w:ascii="Arial" w:cs="Arial" w:eastAsia="Arial" w:hAnsi="Arial"/>
          <w:sz w:val="19"/>
          <w:szCs w:val="19"/>
          <w:color w:val="auto"/>
        </w:rPr>
        <w:t>3069644.</w:t>
      </w:r>
      <w:r>
        <w:rPr>
          <w:rFonts w:ascii="Arial" w:cs="Arial" w:eastAsia="Arial" w:hAnsi="Arial"/>
          <w:sz w:val="18"/>
          <w:szCs w:val="18"/>
          <w:color w:val="auto"/>
        </w:rPr>
        <w:t xml:space="preserve"> The call will be webcast and can be accessed at the Marvell Investor Relations website at http://investor.marvell.com/ with a replay available following the call until Wednesday December 12, 2018.</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280"/>
        <w:spacing w:after="0" w:line="312"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step up,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39"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third quarter of fiscal 2019, a non-GAAP tax rate of 4% has been applied to the non-GAAP financial results.</w:t>
      </w:r>
    </w:p>
    <w:p>
      <w:pPr>
        <w:spacing w:after="0" w:line="85"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weighted average shares outstanding (diluted). Historically, Marvell included non-GAAP share adjustments in its earnings releases. Beginning in the third quarter of fiscal year 2019, Marvell no longer provides this non-GAAP adjustment and will calculate non-GAAP income (loss) per share using the GAAP weighted average shares. Marvell is making this change in order to align with its industry peer companies' non-GAAP income (loss) per share reporting for comparability purposes.</w:t>
      </w:r>
    </w:p>
    <w:p>
      <w:pPr>
        <w:spacing w:after="0" w:line="8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70"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64"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the impact on future performance of Marvell’s newly announced products; Marvell’s expectations regarding its fourth quarter of fiscal 2019 financial outlook, renewed revenue growth from the Cavium business and 5G product development growth;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effect of the consummation of our acquisition of Cavium on the combined company's business relationships, operating results, and business generally; potential difficulties in Cavium employee retention as a result of the transaction; the ability of Marvell to successfully integrate Cavium’s operations and product lines; the ability of Marvell to implement its plans, forecasts, and other expectations with respect to Cavium’s business and realize the anticipated synergies and cost savings in the time frame anticipated or at all, and identify and realize additional opportunities;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to define, design and develop products for the 5G market; Marvell's ability to market its 5G products to Tier 1 infrastructure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10-Q for the fiscal quarter ended August 4, 2018 as filed with the SEC on September 12, 2018, and other factors detailed from time to time in Marvell’s filings with the SEC. Marvell undertakes no obligation to revise or update publicly any forward-looking statements.</w:t>
      </w:r>
    </w:p>
    <w:p>
      <w:pPr>
        <w:sectPr>
          <w:pgSz w:w="11900" w:h="16838" w:orient="portrait"/>
          <w:cols w:equalWidth="0" w:num="1">
            <w:col w:w="11400"/>
          </w:cols>
          <w:pgMar w:left="240" w:top="364"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240" w:top="580" w:right="47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8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ind w:left="100"/>
              <w:spacing w:after="0"/>
              <w:rPr>
                <w:sz w:val="20"/>
                <w:szCs w:val="20"/>
                <w:color w:val="auto"/>
              </w:rPr>
            </w:pPr>
            <w:r>
              <w:rPr>
                <w:rFonts w:ascii="Arial" w:cs="Arial" w:eastAsia="Arial" w:hAnsi="Arial"/>
                <w:sz w:val="14"/>
                <w:szCs w:val="14"/>
                <w:b w:val="1"/>
                <w:bCs w:val="1"/>
                <w:color w:val="auto"/>
                <w:w w:val="98"/>
              </w:rPr>
              <w:t>Three Months Ended</w:t>
            </w:r>
          </w:p>
        </w:tc>
        <w:tc>
          <w:tcPr>
            <w:tcW w:w="3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691"/>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tcPr>
          <w:p>
            <w:pPr>
              <w:spacing w:after="0"/>
              <w:rPr>
                <w:sz w:val="22"/>
                <w:szCs w:val="22"/>
                <w:color w:val="auto"/>
              </w:rPr>
            </w:pPr>
          </w:p>
        </w:tc>
        <w:tc>
          <w:tcPr>
            <w:tcW w:w="12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7"/>
              </w:rPr>
              <w:t>November 3, 2018</w:t>
            </w:r>
          </w:p>
        </w:tc>
        <w:tc>
          <w:tcPr>
            <w:tcW w:w="1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120" w:type="dxa"/>
            <w:vAlign w:val="bottom"/>
            <w:tcBorders>
              <w:bottom w:val="single" w:sz="8" w:color="auto"/>
            </w:tcBorders>
          </w:tcPr>
          <w:p>
            <w:pPr>
              <w:jc w:val="right"/>
              <w:ind w:right="91"/>
              <w:spacing w:after="0"/>
              <w:rPr>
                <w:sz w:val="20"/>
                <w:szCs w:val="20"/>
                <w:color w:val="auto"/>
              </w:rPr>
            </w:pPr>
            <w:r>
              <w:rPr>
                <w:rFonts w:ascii="Arial" w:cs="Arial" w:eastAsia="Arial" w:hAnsi="Arial"/>
                <w:sz w:val="14"/>
                <w:szCs w:val="14"/>
                <w:b w:val="1"/>
                <w:bCs w:val="1"/>
                <w:color w:val="auto"/>
                <w:w w:val="93"/>
              </w:rPr>
              <w:t>August 4, 2018</w:t>
            </w:r>
          </w:p>
        </w:tc>
        <w:tc>
          <w:tcPr>
            <w:tcW w:w="100" w:type="dxa"/>
            <w:vAlign w:val="bottom"/>
            <w:tcBorders>
              <w:bottom w:val="single" w:sz="8" w:color="CCEEFF"/>
            </w:tcBorders>
          </w:tcPr>
          <w:p>
            <w:pPr>
              <w:spacing w:after="0"/>
              <w:rPr>
                <w:sz w:val="22"/>
                <w:szCs w:val="22"/>
                <w:color w:val="auto"/>
              </w:rPr>
            </w:pPr>
          </w:p>
        </w:tc>
        <w:tc>
          <w:tcPr>
            <w:tcW w:w="1260" w:type="dxa"/>
            <w:vAlign w:val="bottom"/>
            <w:tcBorders>
              <w:bottom w:val="single" w:sz="8" w:color="auto"/>
            </w:tcBorders>
            <w:gridSpan w:val="2"/>
          </w:tcPr>
          <w:p>
            <w:pPr>
              <w:jc w:val="right"/>
              <w:ind w:right="30"/>
              <w:spacing w:after="0"/>
              <w:rPr>
                <w:sz w:val="20"/>
                <w:szCs w:val="20"/>
                <w:color w:val="auto"/>
              </w:rPr>
            </w:pPr>
            <w:r>
              <w:rPr>
                <w:rFonts w:ascii="Arial" w:cs="Arial" w:eastAsia="Arial" w:hAnsi="Arial"/>
                <w:sz w:val="14"/>
                <w:szCs w:val="14"/>
                <w:b w:val="1"/>
                <w:bCs w:val="1"/>
                <w:color w:val="auto"/>
                <w:w w:val="99"/>
              </w:rPr>
              <w:t>October 28, 2017</w:t>
            </w:r>
          </w:p>
        </w:tc>
        <w:tc>
          <w:tcPr>
            <w:tcW w:w="10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31"/>
              <w:spacing w:after="0"/>
              <w:rPr>
                <w:sz w:val="20"/>
                <w:szCs w:val="20"/>
                <w:color w:val="auto"/>
              </w:rPr>
            </w:pPr>
            <w:r>
              <w:rPr>
                <w:rFonts w:ascii="Arial" w:cs="Arial" w:eastAsia="Arial" w:hAnsi="Arial"/>
                <w:sz w:val="14"/>
                <w:szCs w:val="14"/>
                <w:b w:val="1"/>
                <w:bCs w:val="1"/>
                <w:color w:val="auto"/>
                <w:w w:val="92"/>
              </w:rPr>
              <w:t>November 3, 2018</w:t>
            </w:r>
          </w:p>
        </w:tc>
        <w:tc>
          <w:tcPr>
            <w:tcW w:w="1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w w:val="92"/>
              </w:rPr>
              <w:t>October 28, 2017</w:t>
            </w: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851,051</w:t>
            </w:r>
          </w:p>
        </w:tc>
        <w:tc>
          <w:tcPr>
            <w:tcW w:w="26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665,310</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616,302</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2,120,992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1,793,761</w:t>
            </w: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467,464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288,200</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238,533</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984,602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705,303</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383,587</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377,110</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377,769</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1,136,390</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1,088,458</w:t>
            </w:r>
          </w:p>
        </w:tc>
        <w:tc>
          <w:tcPr>
            <w:tcW w:w="0" w:type="dxa"/>
            <w:vAlign w:val="bottom"/>
          </w:tcPr>
          <w:p>
            <w:pPr>
              <w:spacing w:after="0"/>
              <w:rPr>
                <w:sz w:val="1"/>
                <w:szCs w:val="1"/>
                <w:color w:val="auto"/>
              </w:rPr>
            </w:pPr>
          </w:p>
        </w:tc>
      </w:tr>
      <w:tr>
        <w:trPr>
          <w:trHeight w:val="318"/>
        </w:trPr>
        <w:tc>
          <w:tcPr>
            <w:tcW w:w="4480" w:type="dxa"/>
            <w:vAlign w:val="bottom"/>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9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1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9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2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264,888</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216,285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165,477</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657,907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534,444</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112,178</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133,701</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59,112</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318,192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169,875</w:t>
            </w: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27,031</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35,415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3,284</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64,013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8,455</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operating expenses</w:t>
            </w: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404,097</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385,401</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227,873</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1,040,112</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712,774</w:t>
            </w:r>
          </w:p>
        </w:tc>
        <w:tc>
          <w:tcPr>
            <w:tcW w:w="0" w:type="dxa"/>
            <w:vAlign w:val="bottom"/>
          </w:tcPr>
          <w:p>
            <w:pPr>
              <w:spacing w:after="0"/>
              <w:rPr>
                <w:sz w:val="1"/>
                <w:szCs w:val="1"/>
                <w:color w:val="auto"/>
              </w:rPr>
            </w:pPr>
          </w:p>
        </w:tc>
      </w:tr>
      <w:tr>
        <w:trPr>
          <w:trHeight w:val="237"/>
        </w:trPr>
        <w:tc>
          <w:tcPr>
            <w:tcW w:w="4480" w:type="dxa"/>
            <w:vAlign w:val="bottom"/>
          </w:tcPr>
          <w:p>
            <w:pPr>
              <w:ind w:left="40"/>
              <w:spacing w:after="0"/>
              <w:rPr>
                <w:sz w:val="20"/>
                <w:szCs w:val="20"/>
                <w:color w:val="auto"/>
              </w:rPr>
            </w:pPr>
            <w:r>
              <w:rPr>
                <w:rFonts w:ascii="Arial" w:cs="Arial" w:eastAsia="Arial" w:hAnsi="Arial"/>
                <w:sz w:val="18"/>
                <w:szCs w:val="18"/>
                <w:color w:val="auto"/>
              </w:rPr>
              <w:t>Operating income (loss) from continuing operations</w:t>
            </w: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(20,510)</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(8,291)</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149,896</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96,278</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375,684</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Interest income</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1,046</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3,575</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4,301</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10,690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11,643</w:t>
            </w: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Interest expense</w:t>
            </w:r>
          </w:p>
        </w:tc>
        <w:tc>
          <w:tcPr>
            <w:tcW w:w="34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(22,370)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(15,795)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(262)</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(38,409)</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(393)</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income (loss), net</w:t>
            </w:r>
          </w:p>
        </w:tc>
        <w:tc>
          <w:tcPr>
            <w:tcW w:w="3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(2,628)</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(2,701)</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2,161</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(3,858)</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5,471</w:t>
            </w:r>
          </w:p>
        </w:tc>
        <w:tc>
          <w:tcPr>
            <w:tcW w:w="0" w:type="dxa"/>
            <w:vAlign w:val="bottom"/>
          </w:tcPr>
          <w:p>
            <w:pPr>
              <w:spacing w:after="0"/>
              <w:rPr>
                <w:sz w:val="1"/>
                <w:szCs w:val="1"/>
                <w:color w:val="auto"/>
              </w:rPr>
            </w:pPr>
          </w:p>
        </w:tc>
      </w:tr>
      <w:tr>
        <w:trPr>
          <w:trHeight w:val="237"/>
        </w:trPr>
        <w:tc>
          <w:tcPr>
            <w:tcW w:w="4480" w:type="dxa"/>
            <w:vAlign w:val="bottom"/>
          </w:tcPr>
          <w:p>
            <w:pPr>
              <w:ind w:left="900"/>
              <w:spacing w:after="0"/>
              <w:rPr>
                <w:sz w:val="20"/>
                <w:szCs w:val="20"/>
                <w:color w:val="auto"/>
              </w:rPr>
            </w:pPr>
            <w:r>
              <w:rPr>
                <w:rFonts w:ascii="Arial" w:cs="Arial" w:eastAsia="Arial" w:hAnsi="Arial"/>
                <w:sz w:val="18"/>
                <w:szCs w:val="18"/>
                <w:color w:val="auto"/>
              </w:rPr>
              <w:t>Interest and other income (loss), net</w:t>
            </w: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(23,952)</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(14,921)</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6,200</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(31,577)</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16,721</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9"/>
        </w:trPr>
        <w:tc>
          <w:tcPr>
            <w:tcW w:w="4480" w:type="dxa"/>
            <w:vAlign w:val="bottom"/>
            <w:shd w:val="clear" w:color="auto" w:fill="CCEEFF"/>
          </w:tcPr>
          <w:p>
            <w:pPr>
              <w:ind w:left="40"/>
              <w:spacing w:after="0"/>
              <w:rPr>
                <w:sz w:val="20"/>
                <w:szCs w:val="20"/>
                <w:color w:val="auto"/>
              </w:rPr>
            </w:pPr>
            <w:r>
              <w:rPr>
                <w:rFonts w:ascii="Arial" w:cs="Arial" w:eastAsia="Arial" w:hAnsi="Arial"/>
                <w:sz w:val="18"/>
                <w:szCs w:val="18"/>
                <w:color w:val="auto"/>
                <w:w w:val="99"/>
              </w:rPr>
              <w:t>Income (loss) from continuing operations before income</w:t>
            </w:r>
          </w:p>
        </w:tc>
        <w:tc>
          <w:tcPr>
            <w:tcW w:w="3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448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taxes</w:t>
            </w: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(44,462)</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(23,212)</w:t>
            </w: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156,096</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64,701</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392,405</w:t>
            </w: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9,305</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(29,971)</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(16,903)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8,026</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continuing operations, net of tax</w:t>
            </w: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(53,767)</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6,759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149,337</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81,604</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384,379</w:t>
            </w:r>
          </w:p>
        </w:tc>
        <w:tc>
          <w:tcPr>
            <w:tcW w:w="0" w:type="dxa"/>
            <w:vAlign w:val="bottom"/>
          </w:tcPr>
          <w:p>
            <w:pPr>
              <w:spacing w:after="0"/>
              <w:rPr>
                <w:sz w:val="1"/>
                <w:szCs w:val="1"/>
                <w:color w:val="auto"/>
              </w:rPr>
            </w:pPr>
          </w:p>
        </w:tc>
      </w:tr>
      <w:tr>
        <w:trPr>
          <w:trHeight w:val="237"/>
        </w:trPr>
        <w:tc>
          <w:tcPr>
            <w:tcW w:w="4480" w:type="dxa"/>
            <w:vAlign w:val="bottom"/>
          </w:tcPr>
          <w:p>
            <w:pPr>
              <w:ind w:left="40"/>
              <w:spacing w:after="0"/>
              <w:rPr>
                <w:sz w:val="20"/>
                <w:szCs w:val="20"/>
                <w:color w:val="auto"/>
              </w:rPr>
            </w:pPr>
            <w:r>
              <w:rPr>
                <w:rFonts w:ascii="Arial" w:cs="Arial" w:eastAsia="Arial" w:hAnsi="Arial"/>
                <w:sz w:val="18"/>
                <w:szCs w:val="18"/>
                <w:color w:val="auto"/>
              </w:rPr>
              <w:t>Income from discontinued operations, net of tax</w:t>
            </w: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50,851</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87,689</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448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34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(53,767)</w:t>
            </w:r>
          </w:p>
        </w:tc>
        <w:tc>
          <w:tcPr>
            <w:tcW w:w="2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6,759</w:t>
            </w:r>
          </w:p>
        </w:tc>
        <w:tc>
          <w:tcPr>
            <w:tcW w:w="100" w:type="dxa"/>
            <w:vAlign w:val="bottom"/>
            <w:shd w:val="clear" w:color="auto" w:fill="CCEEFF"/>
          </w:tcPr>
          <w:p>
            <w:pPr>
              <w:spacing w:after="0"/>
              <w:rPr>
                <w:sz w:val="22"/>
                <w:szCs w:val="22"/>
                <w:color w:val="auto"/>
              </w:rPr>
            </w:pPr>
          </w:p>
        </w:tc>
        <w:tc>
          <w:tcPr>
            <w:tcW w:w="34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200,188</w:t>
            </w:r>
          </w:p>
        </w:tc>
        <w:tc>
          <w:tcPr>
            <w:tcW w:w="100" w:type="dxa"/>
            <w:vAlign w:val="bottom"/>
            <w:shd w:val="clear" w:color="auto" w:fill="CCEEFF"/>
          </w:tcPr>
          <w:p>
            <w:pPr>
              <w:spacing w:after="0"/>
              <w:rPr>
                <w:sz w:val="22"/>
                <w:szCs w:val="22"/>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81,604</w:t>
            </w:r>
          </w:p>
        </w:tc>
        <w:tc>
          <w:tcPr>
            <w:tcW w:w="120" w:type="dxa"/>
            <w:vAlign w:val="bottom"/>
            <w:shd w:val="clear" w:color="auto" w:fill="CCEEFF"/>
          </w:tcPr>
          <w:p>
            <w:pPr>
              <w:spacing w:after="0"/>
              <w:rPr>
                <w:sz w:val="22"/>
                <w:szCs w:val="22"/>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472,068</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4"/>
        </w:trPr>
        <w:tc>
          <w:tcPr>
            <w:tcW w:w="44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Basic:</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(0.08)</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21"/>
                <w:szCs w:val="21"/>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0.14</w:t>
            </w:r>
          </w:p>
        </w:tc>
        <w:tc>
          <w:tcPr>
            <w:tcW w:w="1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0.77</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8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0.11</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0.17</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Basic</w:t>
            </w: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80" w:type="dxa"/>
            <w:vAlign w:val="bottom"/>
            <w:vMerge w:val="continue"/>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(0.08)</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0.41</w:t>
            </w:r>
          </w:p>
        </w:tc>
        <w:tc>
          <w:tcPr>
            <w:tcW w:w="10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0.14</w:t>
            </w:r>
          </w:p>
        </w:tc>
        <w:tc>
          <w:tcPr>
            <w:tcW w:w="12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0.94</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448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Arial" w:cs="Arial" w:eastAsia="Arial" w:hAnsi="Arial"/>
                <w:sz w:val="18"/>
                <w:szCs w:val="18"/>
                <w:color w:val="auto"/>
              </w:rPr>
              <w:t>Net income (loss) per share — Diluted:</w:t>
            </w: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0.14</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0.75</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80" w:type="dxa"/>
            <w:vAlign w:val="bottom"/>
            <w:vMerge w:val="continue"/>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2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0.17</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 Diluted</w:t>
            </w: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26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0.40</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0.14</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0.92</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44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Basic</w:t>
            </w: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657,519</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552,238</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494,096</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569,031</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499,568</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44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Diluted</w:t>
            </w: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657,519</w:t>
            </w:r>
          </w:p>
        </w:tc>
        <w:tc>
          <w:tcPr>
            <w:tcW w:w="1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12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562,149</w:t>
            </w: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504,903</w:t>
            </w:r>
          </w:p>
        </w:tc>
        <w:tc>
          <w:tcPr>
            <w:tcW w:w="1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2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578,872</w:t>
            </w:r>
          </w:p>
        </w:tc>
        <w:tc>
          <w:tcPr>
            <w:tcW w:w="1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2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510,935</w:t>
            </w:r>
          </w:p>
        </w:tc>
        <w:tc>
          <w:tcPr>
            <w:tcW w:w="0" w:type="dxa"/>
            <w:vAlign w:val="bottom"/>
          </w:tcPr>
          <w:p>
            <w:pPr>
              <w:spacing w:after="0"/>
              <w:rPr>
                <w:sz w:val="1"/>
                <w:szCs w:val="1"/>
                <w:color w:val="auto"/>
              </w:rPr>
            </w:pPr>
          </w:p>
        </w:tc>
      </w:tr>
      <w:tr>
        <w:trPr>
          <w:trHeight w:val="27"/>
        </w:trPr>
        <w:tc>
          <w:tcPr>
            <w:tcW w:w="448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9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9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7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80" w:type="dxa"/>
            <w:vAlign w:val="bottom"/>
            <w:gridSpan w:val="2"/>
          </w:tcPr>
          <w:p>
            <w:pPr>
              <w:ind w:left="40"/>
              <w:spacing w:after="0"/>
              <w:rPr>
                <w:sz w:val="20"/>
                <w:szCs w:val="20"/>
                <w:color w:val="auto"/>
              </w:rPr>
            </w:pPr>
            <w:r>
              <w:rPr>
                <w:rFonts w:ascii="Arial" w:cs="Arial" w:eastAsia="Arial" w:hAnsi="Arial"/>
                <w:sz w:val="16"/>
                <w:szCs w:val="16"/>
                <w:b w:val="1"/>
                <w:bCs w:val="1"/>
                <w:color w:val="auto"/>
              </w:rPr>
              <w:t>November 3, 2018</w:t>
            </w:r>
          </w:p>
        </w:tc>
        <w:tc>
          <w:tcPr>
            <w:tcW w:w="180" w:type="dxa"/>
            <w:vAlign w:val="bottom"/>
          </w:tcPr>
          <w:p>
            <w:pPr>
              <w:spacing w:after="0"/>
              <w:rPr>
                <w:sz w:val="18"/>
                <w:szCs w:val="18"/>
                <w:color w:val="auto"/>
              </w:rPr>
            </w:pPr>
          </w:p>
        </w:tc>
        <w:tc>
          <w:tcPr>
            <w:tcW w:w="1520" w:type="dxa"/>
            <w:vAlign w:val="bottom"/>
          </w:tcPr>
          <w:p>
            <w:pPr>
              <w:jc w:val="right"/>
              <w:ind w:right="170"/>
              <w:spacing w:after="0"/>
              <w:rPr>
                <w:sz w:val="20"/>
                <w:szCs w:val="20"/>
                <w:color w:val="auto"/>
              </w:rPr>
            </w:pPr>
            <w:r>
              <w:rPr>
                <w:rFonts w:ascii="Arial" w:cs="Arial" w:eastAsia="Arial" w:hAnsi="Arial"/>
                <w:sz w:val="16"/>
                <w:szCs w:val="16"/>
                <w:b w:val="1"/>
                <w:bCs w:val="1"/>
                <w:color w:val="auto"/>
                <w:w w:val="98"/>
              </w:rPr>
              <w:t>February 3, 2018</w:t>
            </w:r>
          </w:p>
        </w:tc>
      </w:tr>
      <w:tr>
        <w:trPr>
          <w:trHeight w:val="33"/>
        </w:trPr>
        <w:tc>
          <w:tcPr>
            <w:tcW w:w="79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r>
      <w:tr>
        <w:trPr>
          <w:trHeight w:val="244"/>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Assets</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1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610,261</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888,482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140" w:type="dxa"/>
            <w:vAlign w:val="bottom"/>
          </w:tcPr>
          <w:p>
            <w:pPr>
              <w:spacing w:after="0"/>
              <w:rPr>
                <w:sz w:val="21"/>
                <w:szCs w:val="21"/>
                <w:color w:val="auto"/>
              </w:rPr>
            </w:pPr>
          </w:p>
        </w:tc>
        <w:tc>
          <w:tcPr>
            <w:tcW w:w="16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952,790</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453,775</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280,395</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376,210</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170,039</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49,230</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41,482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30,745</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30,767</w:t>
            </w:r>
          </w:p>
        </w:tc>
      </w:tr>
      <w:tr>
        <w:trPr>
          <w:trHeight w:val="27"/>
        </w:trPr>
        <w:tc>
          <w:tcPr>
            <w:tcW w:w="79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r>
      <w:tr>
        <w:trPr>
          <w:trHeight w:val="244"/>
        </w:trPr>
        <w:tc>
          <w:tcPr>
            <w:tcW w:w="79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1,520,221</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2,363,955</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313,113</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202,222</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5,499,145</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1,993,310</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Acquired intangible assets, net</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2,639,370</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140" w:type="dxa"/>
            <w:vAlign w:val="bottom"/>
            <w:tcBorders>
              <w:bottom w:val="single" w:sz="8" w:color="CCEEFF"/>
            </w:tcBorders>
            <w:shd w:val="clear" w:color="auto" w:fill="CCEEFF"/>
          </w:tcPr>
          <w:p>
            <w:pPr>
              <w:spacing w:after="0"/>
              <w:rPr>
                <w:sz w:val="23"/>
                <w:szCs w:val="23"/>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260,176</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148,800</w:t>
            </w:r>
          </w:p>
        </w:tc>
      </w:tr>
      <w:tr>
        <w:trPr>
          <w:trHeight w:val="237"/>
        </w:trPr>
        <w:tc>
          <w:tcPr>
            <w:tcW w:w="7900" w:type="dxa"/>
            <w:vAlign w:val="bottom"/>
          </w:tcPr>
          <w:p>
            <w:pPr>
              <w:ind w:left="900"/>
              <w:spacing w:after="0"/>
              <w:rPr>
                <w:sz w:val="20"/>
                <w:szCs w:val="20"/>
                <w:color w:val="auto"/>
              </w:rPr>
            </w:pPr>
            <w:r>
              <w:rPr>
                <w:rFonts w:ascii="Arial" w:cs="Arial" w:eastAsia="Arial" w:hAnsi="Arial"/>
                <w:sz w:val="18"/>
                <w:szCs w:val="18"/>
                <w:color w:val="auto"/>
              </w:rPr>
              <w:t>Total assets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4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10,232,025</w:t>
            </w:r>
          </w:p>
        </w:tc>
        <w:tc>
          <w:tcPr>
            <w:tcW w:w="2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5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4,708,287</w:t>
            </w:r>
          </w:p>
        </w:tc>
      </w:tr>
      <w:tr>
        <w:trPr>
          <w:trHeight w:val="67"/>
        </w:trPr>
        <w:tc>
          <w:tcPr>
            <w:tcW w:w="79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4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520" w:type="dxa"/>
            <w:vAlign w:val="bottom"/>
            <w:tcBorders>
              <w:bottom w:val="single" w:sz="8" w:color="auto"/>
            </w:tcBorders>
          </w:tcPr>
          <w:p>
            <w:pPr>
              <w:spacing w:after="0"/>
              <w:rPr>
                <w:sz w:val="5"/>
                <w:szCs w:val="5"/>
                <w:color w:val="auto"/>
              </w:rPr>
            </w:pPr>
          </w:p>
        </w:tc>
      </w:tr>
      <w:tr>
        <w:trPr>
          <w:trHeight w:val="264"/>
        </w:trPr>
        <w:tc>
          <w:tcPr>
            <w:tcW w:w="790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46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520" w:type="dxa"/>
            <w:vAlign w:val="bottom"/>
            <w:shd w:val="clear" w:color="auto" w:fill="CCEEFF"/>
          </w:tcPr>
          <w:p>
            <w:pPr>
              <w:spacing w:after="0"/>
              <w:rPr>
                <w:sz w:val="22"/>
                <w:szCs w:val="22"/>
                <w:color w:val="auto"/>
              </w:rPr>
            </w:pP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b w:val="1"/>
                <w:bCs w:val="1"/>
                <w:color w:val="auto"/>
              </w:rPr>
              <w:t>Liabilities and Shareholders’ Equity</w:t>
            </w:r>
          </w:p>
        </w:tc>
        <w:tc>
          <w:tcPr>
            <w:tcW w:w="14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liabilities:</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Accounts payable</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209,562</w:t>
            </w:r>
          </w:p>
        </w:tc>
        <w:tc>
          <w:tcPr>
            <w:tcW w:w="2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145,236</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liabilities</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302,095</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86,958</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Accrued employee compensation</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141,602</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127,711</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w:t>
            </w:r>
          </w:p>
        </w:tc>
        <w:tc>
          <w:tcPr>
            <w:tcW w:w="140" w:type="dxa"/>
            <w:vAlign w:val="bottom"/>
            <w:tcBorders>
              <w:bottom w:val="single" w:sz="8" w:color="CCEEFF"/>
            </w:tcBorders>
            <w:shd w:val="clear" w:color="auto" w:fill="CCEEFF"/>
          </w:tcPr>
          <w:p>
            <w:pPr>
              <w:spacing w:after="0"/>
              <w:rPr>
                <w:sz w:val="23"/>
                <w:szCs w:val="23"/>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2,947</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61,237</w:t>
            </w:r>
          </w:p>
        </w:tc>
      </w:tr>
      <w:tr>
        <w:trPr>
          <w:trHeight w:val="237"/>
        </w:trPr>
        <w:tc>
          <w:tcPr>
            <w:tcW w:w="7900" w:type="dxa"/>
            <w:vAlign w:val="bottom"/>
          </w:tcPr>
          <w:p>
            <w:pPr>
              <w:ind w:left="900"/>
              <w:spacing w:after="0"/>
              <w:rPr>
                <w:sz w:val="20"/>
                <w:szCs w:val="20"/>
                <w:color w:val="auto"/>
              </w:rPr>
            </w:pPr>
            <w:r>
              <w:rPr>
                <w:rFonts w:ascii="Arial" w:cs="Arial" w:eastAsia="Arial" w:hAnsi="Arial"/>
                <w:sz w:val="18"/>
                <w:szCs w:val="18"/>
                <w:color w:val="auto"/>
              </w:rPr>
              <w:t>Total current liabilities</w:t>
            </w:r>
          </w:p>
        </w:tc>
        <w:tc>
          <w:tcPr>
            <w:tcW w:w="140" w:type="dxa"/>
            <w:vAlign w:val="bottom"/>
            <w:tcBorders>
              <w:top w:val="single" w:sz="8" w:color="auto"/>
            </w:tcBorders>
          </w:tcPr>
          <w:p>
            <w:pPr>
              <w:spacing w:after="0"/>
              <w:rPr>
                <w:sz w:val="20"/>
                <w:szCs w:val="20"/>
                <w:color w:val="auto"/>
              </w:rPr>
            </w:pPr>
          </w:p>
        </w:tc>
        <w:tc>
          <w:tcPr>
            <w:tcW w:w="14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656,206</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5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421,142</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debt</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1,805,734</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Non-current income taxes payable</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53,862</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56,976</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tax liabilities</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108,016</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52,204</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32,928</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36,552</w:t>
            </w:r>
          </w:p>
        </w:tc>
      </w:tr>
      <w:tr>
        <w:trPr>
          <w:trHeight w:val="27"/>
        </w:trPr>
        <w:tc>
          <w:tcPr>
            <w:tcW w:w="79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r>
      <w:tr>
        <w:trPr>
          <w:trHeight w:val="264"/>
        </w:trPr>
        <w:tc>
          <w:tcPr>
            <w:tcW w:w="79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w:t>
            </w:r>
          </w:p>
        </w:tc>
        <w:tc>
          <w:tcPr>
            <w:tcW w:w="140" w:type="dxa"/>
            <w:vAlign w:val="bottom"/>
            <w:tcBorders>
              <w:bottom w:val="single" w:sz="8" w:color="CCEEFF"/>
            </w:tcBorders>
            <w:shd w:val="clear" w:color="auto" w:fill="CCEEFF"/>
          </w:tcPr>
          <w:p>
            <w:pPr>
              <w:spacing w:after="0"/>
              <w:rPr>
                <w:sz w:val="22"/>
                <w:szCs w:val="22"/>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2,656,746</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566,874</w:t>
            </w:r>
          </w:p>
        </w:tc>
      </w:tr>
      <w:tr>
        <w:trPr>
          <w:trHeight w:val="277"/>
        </w:trPr>
        <w:tc>
          <w:tcPr>
            <w:tcW w:w="7900" w:type="dxa"/>
            <w:vAlign w:val="bottom"/>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46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520" w:type="dxa"/>
            <w:vAlign w:val="bottom"/>
            <w:tcBorders>
              <w:top w:val="single" w:sz="8" w:color="auto"/>
            </w:tcBorders>
          </w:tcPr>
          <w:p>
            <w:pPr>
              <w:spacing w:after="0"/>
              <w:rPr>
                <w:sz w:val="24"/>
                <w:szCs w:val="24"/>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Common stock</w:t>
            </w:r>
          </w:p>
        </w:tc>
        <w:tc>
          <w:tcPr>
            <w:tcW w:w="140" w:type="dxa"/>
            <w:vAlign w:val="bottom"/>
          </w:tcPr>
          <w:p>
            <w:pPr>
              <w:spacing w:after="0"/>
              <w:rPr>
                <w:sz w:val="21"/>
                <w:szCs w:val="21"/>
                <w:color w:val="auto"/>
              </w:rPr>
            </w:pPr>
          </w:p>
        </w:tc>
        <w:tc>
          <w:tcPr>
            <w:tcW w:w="1460" w:type="dxa"/>
            <w:vAlign w:val="bottom"/>
          </w:tcPr>
          <w:p>
            <w:pPr>
              <w:jc w:val="right"/>
              <w:ind w:right="10"/>
              <w:spacing w:after="0"/>
              <w:rPr>
                <w:sz w:val="20"/>
                <w:szCs w:val="20"/>
                <w:color w:val="auto"/>
              </w:rPr>
            </w:pPr>
            <w:r>
              <w:rPr>
                <w:rFonts w:ascii="Arial" w:cs="Arial" w:eastAsia="Arial" w:hAnsi="Arial"/>
                <w:sz w:val="18"/>
                <w:szCs w:val="18"/>
                <w:color w:val="auto"/>
              </w:rPr>
              <w:t>1,314</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520" w:type="dxa"/>
            <w:vAlign w:val="bottom"/>
          </w:tcPr>
          <w:p>
            <w:pPr>
              <w:jc w:val="right"/>
              <w:ind w:right="10"/>
              <w:spacing w:after="0"/>
              <w:rPr>
                <w:sz w:val="20"/>
                <w:szCs w:val="20"/>
                <w:color w:val="auto"/>
              </w:rPr>
            </w:pPr>
            <w:r>
              <w:rPr>
                <w:rFonts w:ascii="Arial" w:cs="Arial" w:eastAsia="Arial" w:hAnsi="Arial"/>
                <w:sz w:val="18"/>
                <w:szCs w:val="18"/>
                <w:color w:val="auto"/>
              </w:rPr>
              <w:t>991</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Additional paid-in capital</w:t>
            </w:r>
          </w:p>
        </w:tc>
        <w:tc>
          <w:tcPr>
            <w:tcW w:w="14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6,157,283</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2,733,292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Accumulated other comprehensive loss</w:t>
            </w:r>
          </w:p>
        </w:tc>
        <w:tc>
          <w:tcPr>
            <w:tcW w:w="140" w:type="dxa"/>
            <w:vAlign w:val="bottom"/>
          </w:tcPr>
          <w:p>
            <w:pPr>
              <w:spacing w:after="0"/>
              <w:rPr>
                <w:sz w:val="21"/>
                <w:szCs w:val="21"/>
                <w:color w:val="auto"/>
              </w:rPr>
            </w:pPr>
          </w:p>
        </w:tc>
        <w:tc>
          <w:tcPr>
            <w:tcW w:w="16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(2,322)</w:t>
            </w:r>
          </w:p>
        </w:tc>
      </w:tr>
      <w:tr>
        <w:trPr>
          <w:trHeight w:val="27"/>
        </w:trPr>
        <w:tc>
          <w:tcPr>
            <w:tcW w:w="79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140" w:type="dxa"/>
            <w:vAlign w:val="bottom"/>
            <w:tcBorders>
              <w:bottom w:val="single" w:sz="8" w:color="CCEEFF"/>
            </w:tcBorders>
            <w:shd w:val="clear" w:color="auto" w:fill="CCEEFF"/>
          </w:tcPr>
          <w:p>
            <w:pPr>
              <w:spacing w:after="0"/>
              <w:rPr>
                <w:sz w:val="23"/>
                <w:szCs w:val="23"/>
                <w:color w:val="auto"/>
              </w:rPr>
            </w:pP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1,416,682</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1,409,452</w:t>
            </w:r>
          </w:p>
        </w:tc>
      </w:tr>
      <w:tr>
        <w:trPr>
          <w:trHeight w:val="237"/>
        </w:trPr>
        <w:tc>
          <w:tcPr>
            <w:tcW w:w="7900" w:type="dxa"/>
            <w:vAlign w:val="bottom"/>
          </w:tcPr>
          <w:p>
            <w:pPr>
              <w:ind w:left="900"/>
              <w:spacing w:after="0"/>
              <w:rPr>
                <w:sz w:val="20"/>
                <w:szCs w:val="20"/>
                <w:color w:val="auto"/>
              </w:rPr>
            </w:pPr>
            <w:r>
              <w:rPr>
                <w:rFonts w:ascii="Arial" w:cs="Arial" w:eastAsia="Arial" w:hAnsi="Arial"/>
                <w:sz w:val="18"/>
                <w:szCs w:val="18"/>
                <w:color w:val="auto"/>
              </w:rPr>
              <w:t>Total shareholders’ equity</w:t>
            </w:r>
          </w:p>
        </w:tc>
        <w:tc>
          <w:tcPr>
            <w:tcW w:w="140" w:type="dxa"/>
            <w:vAlign w:val="bottom"/>
            <w:tcBorders>
              <w:top w:val="single" w:sz="8" w:color="auto"/>
            </w:tcBorders>
          </w:tcPr>
          <w:p>
            <w:pPr>
              <w:spacing w:after="0"/>
              <w:rPr>
                <w:sz w:val="20"/>
                <w:szCs w:val="20"/>
                <w:color w:val="auto"/>
              </w:rPr>
            </w:pPr>
          </w:p>
        </w:tc>
        <w:tc>
          <w:tcPr>
            <w:tcW w:w="14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7,575,279</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5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4,141,413</w:t>
            </w:r>
          </w:p>
        </w:tc>
      </w:tr>
      <w:tr>
        <w:trPr>
          <w:trHeight w:val="27"/>
        </w:trPr>
        <w:tc>
          <w:tcPr>
            <w:tcW w:w="79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r>
      <w:tr>
        <w:trPr>
          <w:trHeight w:val="269"/>
        </w:trPr>
        <w:tc>
          <w:tcPr>
            <w:tcW w:w="79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10,232,025</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4,708,287</w:t>
            </w:r>
          </w:p>
        </w:tc>
      </w:tr>
      <w:tr>
        <w:trPr>
          <w:trHeight w:val="20"/>
        </w:trPr>
        <w:tc>
          <w:tcPr>
            <w:tcW w:w="79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4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9" w:name="page10"/>
    <w:bookmarkEnd w:id="9"/>
    <w:p>
      <w:pPr>
        <w:spacing w:after="0" w:line="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67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691"/>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5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8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November 3, 2018</w:t>
            </w:r>
          </w:p>
        </w:tc>
        <w:tc>
          <w:tcPr>
            <w:tcW w:w="200" w:type="dxa"/>
            <w:vAlign w:val="bottom"/>
          </w:tcPr>
          <w:p>
            <w:pPr>
              <w:spacing w:after="0"/>
              <w:rPr>
                <w:sz w:val="13"/>
                <w:szCs w:val="13"/>
                <w:color w:val="auto"/>
              </w:rPr>
            </w:pPr>
          </w:p>
        </w:tc>
        <w:tc>
          <w:tcPr>
            <w:tcW w:w="126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October 28,</w:t>
            </w:r>
          </w:p>
        </w:tc>
        <w:tc>
          <w:tcPr>
            <w:tcW w:w="120" w:type="dxa"/>
            <w:vAlign w:val="bottom"/>
          </w:tcPr>
          <w:p>
            <w:pPr>
              <w:spacing w:after="0"/>
              <w:rPr>
                <w:sz w:val="13"/>
                <w:szCs w:val="13"/>
                <w:color w:val="auto"/>
              </w:rPr>
            </w:pPr>
          </w:p>
        </w:tc>
        <w:tc>
          <w:tcPr>
            <w:tcW w:w="13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November 3, 2018</w:t>
            </w:r>
          </w:p>
        </w:tc>
        <w:tc>
          <w:tcPr>
            <w:tcW w:w="200" w:type="dxa"/>
            <w:vAlign w:val="bottom"/>
          </w:tcPr>
          <w:p>
            <w:pPr>
              <w:spacing w:after="0"/>
              <w:rPr>
                <w:sz w:val="13"/>
                <w:szCs w:val="13"/>
                <w:color w:val="auto"/>
              </w:rPr>
            </w:pPr>
          </w:p>
        </w:tc>
        <w:tc>
          <w:tcPr>
            <w:tcW w:w="1160" w:type="dxa"/>
            <w:vAlign w:val="bottom"/>
          </w:tcPr>
          <w:p>
            <w:pPr>
              <w:jc w:val="right"/>
              <w:ind w:right="251"/>
              <w:spacing w:after="0" w:line="153" w:lineRule="exact"/>
              <w:rPr>
                <w:sz w:val="20"/>
                <w:szCs w:val="20"/>
                <w:color w:val="auto"/>
              </w:rPr>
            </w:pPr>
            <w:r>
              <w:rPr>
                <w:rFonts w:ascii="Arial" w:cs="Arial" w:eastAsia="Arial" w:hAnsi="Arial"/>
                <w:sz w:val="14"/>
                <w:szCs w:val="14"/>
                <w:b w:val="1"/>
                <w:bCs w:val="1"/>
                <w:color w:val="auto"/>
              </w:rPr>
              <w:t>October 28,</w:t>
            </w:r>
          </w:p>
        </w:tc>
        <w:tc>
          <w:tcPr>
            <w:tcW w:w="0" w:type="dxa"/>
            <w:vAlign w:val="bottom"/>
          </w:tcPr>
          <w:p>
            <w:pPr>
              <w:spacing w:after="0"/>
              <w:rPr>
                <w:sz w:val="1"/>
                <w:szCs w:val="1"/>
                <w:color w:val="auto"/>
              </w:rPr>
            </w:pPr>
          </w:p>
        </w:tc>
      </w:tr>
      <w:tr>
        <w:trPr>
          <w:trHeight w:val="192"/>
        </w:trPr>
        <w:tc>
          <w:tcPr>
            <w:tcW w:w="56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8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160" w:type="dxa"/>
            <w:vAlign w:val="bottom"/>
          </w:tcPr>
          <w:p>
            <w:pPr>
              <w:jc w:val="right"/>
              <w:ind w:right="451"/>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6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160" w:type="dxa"/>
            <w:vAlign w:val="bottom"/>
          </w:tcPr>
          <w:p>
            <w:pPr>
              <w:jc w:val="right"/>
              <w:ind w:right="451"/>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63"/>
        </w:trPr>
        <w:tc>
          <w:tcPr>
            <w:tcW w:w="56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120" w:type="dxa"/>
            <w:vAlign w:val="bottom"/>
            <w:tcBorders>
              <w:top w:val="single" w:sz="8" w:color="auto"/>
              <w:bottom w:val="single" w:sz="8" w:color="CCEEFF"/>
            </w:tcBorders>
            <w:shd w:val="clear" w:color="auto" w:fill="CCEEFF"/>
          </w:tcPr>
          <w:p>
            <w:pPr>
              <w:spacing w:after="0"/>
              <w:rPr>
                <w:sz w:val="22"/>
                <w:szCs w:val="22"/>
                <w:color w:val="auto"/>
              </w:rPr>
            </w:pPr>
          </w:p>
        </w:tc>
        <w:tc>
          <w:tcPr>
            <w:tcW w:w="126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200" w:type="dxa"/>
            <w:vAlign w:val="bottom"/>
            <w:tcBorders>
              <w:top w:val="single" w:sz="8" w:color="auto"/>
              <w:bottom w:val="single" w:sz="8" w:color="CCEEFF"/>
            </w:tcBorders>
            <w:shd w:val="clear" w:color="auto" w:fill="CCEEFF"/>
          </w:tcPr>
          <w:p>
            <w:pPr>
              <w:spacing w:after="0"/>
              <w:rPr>
                <w:sz w:val="22"/>
                <w:szCs w:val="22"/>
                <w:color w:val="auto"/>
              </w:rPr>
            </w:pPr>
          </w:p>
        </w:tc>
        <w:tc>
          <w:tcPr>
            <w:tcW w:w="1160" w:type="dxa"/>
            <w:vAlign w:val="bottom"/>
            <w:tcBorders>
              <w:top w:val="single" w:sz="8" w:color="auto"/>
              <w:bottom w:val="single" w:sz="8" w:color="CCEEFF"/>
            </w:tcBorders>
            <w:shd w:val="clear" w:color="auto" w:fill="CCEEFF"/>
          </w:tcPr>
          <w:p>
            <w:pPr>
              <w:spacing w:after="0"/>
              <w:rPr>
                <w:sz w:val="22"/>
                <w:szCs w:val="22"/>
                <w:color w:val="auto"/>
              </w:rPr>
            </w:pP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120" w:type="dxa"/>
            <w:vAlign w:val="bottom"/>
            <w:tcBorders>
              <w:top w:val="single" w:sz="8" w:color="auto"/>
              <w:bottom w:val="single" w:sz="8" w:color="CCEEFF"/>
            </w:tcBorders>
            <w:shd w:val="clear" w:color="auto" w:fill="CCEEFF"/>
          </w:tcPr>
          <w:p>
            <w:pPr>
              <w:spacing w:after="0"/>
              <w:rPr>
                <w:sz w:val="22"/>
                <w:szCs w:val="22"/>
                <w:color w:val="auto"/>
              </w:rPr>
            </w:pPr>
          </w:p>
        </w:tc>
        <w:tc>
          <w:tcPr>
            <w:tcW w:w="124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200" w:type="dxa"/>
            <w:vAlign w:val="bottom"/>
            <w:tcBorders>
              <w:top w:val="single" w:sz="8" w:color="auto"/>
              <w:bottom w:val="single" w:sz="8" w:color="CCEEFF"/>
            </w:tcBorders>
            <w:shd w:val="clear" w:color="auto" w:fill="CCEEFF"/>
          </w:tcPr>
          <w:p>
            <w:pPr>
              <w:spacing w:after="0"/>
              <w:rPr>
                <w:sz w:val="22"/>
                <w:szCs w:val="22"/>
                <w:color w:val="auto"/>
              </w:rPr>
            </w:pPr>
          </w:p>
        </w:tc>
        <w:tc>
          <w:tcPr>
            <w:tcW w:w="1160" w:type="dxa"/>
            <w:vAlign w:val="bottom"/>
            <w:tcBorders>
              <w:top w:val="single" w:sz="8" w:color="auto"/>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(53,767)</w:t>
            </w:r>
          </w:p>
        </w:tc>
        <w:tc>
          <w:tcPr>
            <w:tcW w:w="120" w:type="dxa"/>
            <w:vAlign w:val="bottom"/>
          </w:tcPr>
          <w:p>
            <w:pPr>
              <w:spacing w:after="0"/>
              <w:rPr>
                <w:sz w:val="21"/>
                <w:szCs w:val="21"/>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200,188</w:t>
            </w:r>
          </w:p>
        </w:tc>
        <w:tc>
          <w:tcPr>
            <w:tcW w:w="10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81,604</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472,068</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620" w:type="dxa"/>
            <w:vAlign w:val="bottom"/>
            <w:shd w:val="clear" w:color="auto" w:fill="CCEEFF"/>
          </w:tcPr>
          <w:p>
            <w:pPr>
              <w:ind w:left="40"/>
              <w:spacing w:after="0"/>
              <w:rPr>
                <w:sz w:val="20"/>
                <w:szCs w:val="20"/>
                <w:color w:val="auto"/>
              </w:rPr>
            </w:pPr>
            <w:r>
              <w:rPr>
                <w:rFonts w:ascii="Arial" w:cs="Arial" w:eastAsia="Arial" w:hAnsi="Arial"/>
                <w:sz w:val="18"/>
                <w:szCs w:val="18"/>
                <w:color w:val="auto"/>
              </w:rPr>
              <w:t>Adjustments to reconcile net income (loss) to net cash provided by</w:t>
            </w: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6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operating activities:</w:t>
            </w:r>
          </w:p>
        </w:tc>
        <w:tc>
          <w:tcPr>
            <w:tcW w:w="12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Depreciation and amortization</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39,259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21,383</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86,356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62,569</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50,240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18,873</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133,484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65,312</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78,691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1,076</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104,630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3,212</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of inventory fair value adjustment associated with</w:t>
            </w: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acquisition of Cavium</w:t>
            </w:r>
          </w:p>
        </w:tc>
        <w:tc>
          <w:tcPr>
            <w:tcW w:w="12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102,842</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125,775</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of deferred debt issuance costs and debt discounts</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2,217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9,290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impairment charges (gain)</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9,888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44</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11,881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(402)</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from investments in privately-held companies</w:t>
            </w:r>
          </w:p>
        </w:tc>
        <w:tc>
          <w:tcPr>
            <w:tcW w:w="120" w:type="dxa"/>
            <w:vAlign w:val="bottom"/>
          </w:tcPr>
          <w:p>
            <w:pPr>
              <w:spacing w:after="0"/>
              <w:rPr>
                <w:sz w:val="21"/>
                <w:szCs w:val="21"/>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(1,751)</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(2,501)</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w w:val="98"/>
              </w:rPr>
              <w:t>Amortization (accretion) of premium/discount on available-for-sale</w:t>
            </w:r>
          </w:p>
        </w:tc>
        <w:tc>
          <w:tcPr>
            <w:tcW w:w="1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securities</w:t>
            </w:r>
          </w:p>
        </w:tc>
        <w:tc>
          <w:tcPr>
            <w:tcW w:w="120" w:type="dxa"/>
            <w:vAlign w:val="bottom"/>
            <w:tcBorders>
              <w:bottom w:val="single" w:sz="8" w:color="CCEEFF"/>
            </w:tcBorders>
            <w:shd w:val="clear" w:color="auto" w:fill="CCEEFF"/>
          </w:tcPr>
          <w:p>
            <w:pPr>
              <w:spacing w:after="0"/>
              <w:rPr>
                <w:sz w:val="20"/>
                <w:szCs w:val="20"/>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1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624</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603</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Other non-cash expense (income), net</w:t>
            </w:r>
          </w:p>
        </w:tc>
        <w:tc>
          <w:tcPr>
            <w:tcW w:w="120" w:type="dxa"/>
            <w:vAlign w:val="bottom"/>
          </w:tcPr>
          <w:p>
            <w:pPr>
              <w:spacing w:after="0"/>
              <w:rPr>
                <w:sz w:val="21"/>
                <w:szCs w:val="21"/>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2,755</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4,227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1,331</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(6,261)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(27,675)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2,797</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Loss (gain) on sale of property and equipment</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179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(190)</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(473)</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on sale of discontinued operations</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(46,219)</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(88,406)</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Loss (gain) on sale of business</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1,592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1,592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(5,254)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Accounts receivable</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(10,948)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5,583</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(59,697)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(30,730)</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Inventories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(1,327)</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1,859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(16,039)</w:t>
            </w: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Prepaid expenses and other assets</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7,630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5,268</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(11,874)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13,122</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payable</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22,531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16,119</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22,260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20,087</w:t>
            </w: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40,255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(7,046)</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29,023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(40,462)</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employee compensation</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20,617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(2,237)</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(20,922)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(10,612)</w:t>
            </w: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Deferred income</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(564)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3,865</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(1,293)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5,149</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operating activities</w:t>
            </w:r>
          </w:p>
        </w:tc>
        <w:tc>
          <w:tcPr>
            <w:tcW w:w="12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299,394</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216,191</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490,103</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451,371</w:t>
            </w:r>
          </w:p>
        </w:tc>
        <w:tc>
          <w:tcPr>
            <w:tcW w:w="0" w:type="dxa"/>
            <w:vAlign w:val="bottom"/>
          </w:tcPr>
          <w:p>
            <w:pPr>
              <w:spacing w:after="0"/>
              <w:rPr>
                <w:sz w:val="1"/>
                <w:szCs w:val="1"/>
                <w:color w:val="auto"/>
              </w:rPr>
            </w:pP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12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56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2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(296,659)</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(672,887)</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Sales of available-for-sale securities</w:t>
            </w:r>
          </w:p>
        </w:tc>
        <w:tc>
          <w:tcPr>
            <w:tcW w:w="120" w:type="dxa"/>
            <w:vAlign w:val="bottom"/>
          </w:tcPr>
          <w:p>
            <w:pPr>
              <w:spacing w:after="0"/>
              <w:rPr>
                <w:sz w:val="21"/>
                <w:szCs w:val="21"/>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167,451</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623,896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284,151</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136,090</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187,985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305,702</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Return of investment from privately-held companies</w:t>
            </w:r>
          </w:p>
        </w:tc>
        <w:tc>
          <w:tcPr>
            <w:tcW w:w="120" w:type="dxa"/>
            <w:vAlign w:val="bottom"/>
          </w:tcPr>
          <w:p>
            <w:pPr>
              <w:spacing w:after="0"/>
              <w:rPr>
                <w:sz w:val="21"/>
                <w:szCs w:val="21"/>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3,701</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6,089</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time deposits</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(225,000)</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Maturities of time deposits</w:t>
            </w:r>
          </w:p>
        </w:tc>
        <w:tc>
          <w:tcPr>
            <w:tcW w:w="12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25,000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175,000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225,000</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technology licenses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(9,918)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(3,555)</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(11,181)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(5,256)</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property and equipment</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(12,646)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(10,613)</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(47,035)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(25,156)</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sales of property and equipment</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249</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1,988</w:t>
            </w:r>
          </w:p>
        </w:tc>
        <w:tc>
          <w:tcPr>
            <w:tcW w:w="0" w:type="dxa"/>
            <w:vAlign w:val="bottom"/>
          </w:tcPr>
          <w:p>
            <w:pPr>
              <w:spacing w:after="0"/>
              <w:rPr>
                <w:sz w:val="1"/>
                <w:szCs w:val="1"/>
                <w:color w:val="auto"/>
              </w:rPr>
            </w:pP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Cash payment for acquisition of Cavium, net of cash and cash</w:t>
            </w:r>
          </w:p>
        </w:tc>
        <w:tc>
          <w:tcPr>
            <w:tcW w:w="1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equivalents acquired</w:t>
            </w:r>
          </w:p>
        </w:tc>
        <w:tc>
          <w:tcPr>
            <w:tcW w:w="120" w:type="dxa"/>
            <w:vAlign w:val="bottom"/>
          </w:tcPr>
          <w:p>
            <w:pPr>
              <w:spacing w:after="0"/>
              <w:rPr>
                <w:sz w:val="20"/>
                <w:szCs w:val="20"/>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(2,649,465)</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from sale of discontinued operations</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93,735</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165,940</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Net proceeds (payments) from sale of business</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(4,602)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2,402</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(3,352)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2,402</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w:t>
            </w:r>
          </w:p>
        </w:tc>
        <w:tc>
          <w:tcPr>
            <w:tcW w:w="12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12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(1,571)</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92,801</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(1,768,290)</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62,973</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Repurchases of common stock</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(53,969)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(140,017)</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(53,969)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(527,574)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employee stock plans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16,192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39,614</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60,772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137,424</w:t>
            </w:r>
          </w:p>
        </w:tc>
        <w:tc>
          <w:tcPr>
            <w:tcW w:w="0" w:type="dxa"/>
            <w:vAlign w:val="bottom"/>
          </w:tcPr>
          <w:p>
            <w:pPr>
              <w:spacing w:after="0"/>
              <w:rPr>
                <w:sz w:val="1"/>
                <w:szCs w:val="1"/>
                <w:color w:val="auto"/>
              </w:rPr>
            </w:pP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Tax withholding paid on behalf of employees for net share</w:t>
            </w:r>
          </w:p>
        </w:tc>
        <w:tc>
          <w:tcPr>
            <w:tcW w:w="1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settlement</w:t>
            </w:r>
          </w:p>
        </w:tc>
        <w:tc>
          <w:tcPr>
            <w:tcW w:w="12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(8,915)</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(1,120)</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(45,691)</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(25,934)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Dividend payments to shareholders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(39,411)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(29,470)</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(108,592)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(89,556)</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(23,003)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(8,401)</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(52,481)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(22,697)</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Proceeds from issuance of debt</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1,892,605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5620" w:type="dxa"/>
            <w:vAlign w:val="bottom"/>
          </w:tcPr>
          <w:p>
            <w:pPr>
              <w:ind w:left="500"/>
              <w:spacing w:after="0"/>
              <w:rPr>
                <w:sz w:val="20"/>
                <w:szCs w:val="20"/>
                <w:color w:val="auto"/>
              </w:rPr>
            </w:pPr>
            <w:r>
              <w:rPr>
                <w:rFonts w:ascii="Arial" w:cs="Arial" w:eastAsia="Arial" w:hAnsi="Arial"/>
                <w:sz w:val="18"/>
                <w:szCs w:val="18"/>
                <w:color w:val="auto"/>
              </w:rPr>
              <w:t>Principal payments of debt</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(681,128)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Payment of equity and debt financing costs</w:t>
            </w:r>
          </w:p>
        </w:tc>
        <w:tc>
          <w:tcPr>
            <w:tcW w:w="1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(2,115)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(11,550)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6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1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1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43" w:orient="portrait"/>
          <w:cols w:equalWidth="0" w:num="1">
            <w:col w:w="11420"/>
          </w:cols>
          <w:pgMar w:left="240" w:top="715" w:right="239" w:bottom="0" w:gutter="0" w:footer="0" w:header="0"/>
        </w:sectPr>
      </w:pPr>
    </w:p>
    <w:bookmarkStart w:id="10" w:name="page11"/>
    <w:bookmarkEnd w:id="10"/>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620" w:type="dxa"/>
            <w:vAlign w:val="bottom"/>
          </w:tcPr>
          <w:p>
            <w:pPr>
              <w:ind w:left="1340"/>
              <w:spacing w:after="0"/>
              <w:rPr>
                <w:sz w:val="20"/>
                <w:szCs w:val="20"/>
                <w:color w:val="auto"/>
              </w:rPr>
            </w:pPr>
            <w:r>
              <w:rPr>
                <w:rFonts w:ascii="Arial" w:cs="Arial" w:eastAsia="Arial" w:hAnsi="Arial"/>
                <w:sz w:val="18"/>
                <w:szCs w:val="18"/>
                <w:color w:val="auto"/>
              </w:rPr>
              <w:t>Net cash provided by (used in) financing activities</w:t>
            </w:r>
          </w:p>
        </w:tc>
        <w:tc>
          <w:tcPr>
            <w:tcW w:w="38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(186,221)</w:t>
            </w: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(139,394)</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999,966</w:t>
            </w: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(528,337)</w:t>
            </w:r>
          </w:p>
        </w:tc>
      </w:tr>
      <w:tr>
        <w:trPr>
          <w:trHeight w:val="27"/>
        </w:trPr>
        <w:tc>
          <w:tcPr>
            <w:tcW w:w="562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38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111,602</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169,598</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(278,221)</w:t>
            </w:r>
          </w:p>
        </w:tc>
        <w:tc>
          <w:tcPr>
            <w:tcW w:w="1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(13,993)</w:t>
            </w: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38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498,659</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630,501</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888,482</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814,092</w:t>
            </w:r>
          </w:p>
        </w:tc>
      </w:tr>
      <w:tr>
        <w:trPr>
          <w:trHeight w:val="27"/>
        </w:trPr>
        <w:tc>
          <w:tcPr>
            <w:tcW w:w="562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69"/>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38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610,261</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800,099</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610,261</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800,099</w:t>
            </w:r>
          </w:p>
        </w:tc>
      </w:tr>
      <w:tr>
        <w:trPr>
          <w:trHeight w:val="20"/>
        </w:trPr>
        <w:tc>
          <w:tcPr>
            <w:tcW w:w="56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125"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ind w:left="6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52"/>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42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4,</w:t>
            </w:r>
          </w:p>
        </w:tc>
        <w:tc>
          <w:tcPr>
            <w:tcW w:w="128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October 28, 2017</w:t>
            </w:r>
          </w:p>
        </w:tc>
        <w:tc>
          <w:tcPr>
            <w:tcW w:w="14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4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20" w:type="dxa"/>
            <w:vAlign w:val="bottom"/>
            <w:vMerge w:val="restart"/>
          </w:tcPr>
          <w:p>
            <w:pPr>
              <w:jc w:val="right"/>
              <w:ind w:right="32"/>
              <w:spacing w:after="0"/>
              <w:rPr>
                <w:sz w:val="20"/>
                <w:szCs w:val="20"/>
                <w:color w:val="auto"/>
              </w:rPr>
            </w:pPr>
            <w:r>
              <w:rPr>
                <w:rFonts w:ascii="Arial" w:cs="Arial" w:eastAsia="Arial" w:hAnsi="Arial"/>
                <w:sz w:val="14"/>
                <w:szCs w:val="14"/>
                <w:b w:val="1"/>
                <w:bCs w:val="1"/>
                <w:color w:val="auto"/>
                <w:w w:val="90"/>
              </w:rPr>
              <w:t>November 3, 2018</w:t>
            </w:r>
          </w:p>
        </w:tc>
        <w:tc>
          <w:tcPr>
            <w:tcW w:w="1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vMerge w:val="restart"/>
          </w:tcPr>
          <w:p>
            <w:pPr>
              <w:jc w:val="right"/>
              <w:ind w:right="434"/>
              <w:spacing w:after="0"/>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9"/>
                <w:szCs w:val="9"/>
                <w:color w:val="auto"/>
              </w:rPr>
            </w:pPr>
          </w:p>
        </w:tc>
        <w:tc>
          <w:tcPr>
            <w:tcW w:w="1280" w:type="dxa"/>
            <w:vAlign w:val="bottom"/>
            <w:gridSpan w:val="3"/>
            <w:vMerge w:val="continue"/>
          </w:tcPr>
          <w:p>
            <w:pPr>
              <w:spacing w:after="0"/>
              <w:rPr>
                <w:sz w:val="9"/>
                <w:szCs w:val="9"/>
                <w:color w:val="auto"/>
              </w:rPr>
            </w:pPr>
          </w:p>
        </w:tc>
        <w:tc>
          <w:tcPr>
            <w:tcW w:w="140" w:type="dxa"/>
            <w:vAlign w:val="bottom"/>
          </w:tcPr>
          <w:p>
            <w:pPr>
              <w:spacing w:after="0"/>
              <w:rPr>
                <w:sz w:val="9"/>
                <w:szCs w:val="9"/>
                <w:color w:val="auto"/>
              </w:rPr>
            </w:pPr>
          </w:p>
        </w:tc>
        <w:tc>
          <w:tcPr>
            <w:tcW w:w="1280" w:type="dxa"/>
            <w:vAlign w:val="bottom"/>
            <w:vMerge w:val="restart"/>
          </w:tcPr>
          <w:p>
            <w:pPr>
              <w:jc w:val="right"/>
              <w:ind w:right="74"/>
              <w:spacing w:after="0"/>
              <w:rPr>
                <w:sz w:val="20"/>
                <w:szCs w:val="20"/>
                <w:color w:val="auto"/>
              </w:rPr>
            </w:pPr>
            <w:r>
              <w:rPr>
                <w:rFonts w:ascii="Arial" w:cs="Arial" w:eastAsia="Arial" w:hAnsi="Arial"/>
                <w:sz w:val="14"/>
                <w:szCs w:val="14"/>
                <w:b w:val="1"/>
                <w:bCs w:val="1"/>
                <w:color w:val="auto"/>
                <w:w w:val="92"/>
              </w:rPr>
              <w:t>November 3, 2018</w:t>
            </w:r>
          </w:p>
        </w:tc>
        <w:tc>
          <w:tcPr>
            <w:tcW w:w="100" w:type="dxa"/>
            <w:vAlign w:val="bottom"/>
            <w:vMerge w:val="restart"/>
          </w:tcPr>
          <w:p>
            <w:pPr>
              <w:spacing w:after="0"/>
              <w:rPr>
                <w:sz w:val="9"/>
                <w:szCs w:val="9"/>
                <w:color w:val="auto"/>
              </w:rPr>
            </w:pPr>
          </w:p>
        </w:tc>
        <w:tc>
          <w:tcPr>
            <w:tcW w:w="160" w:type="dxa"/>
            <w:vAlign w:val="bottom"/>
          </w:tcPr>
          <w:p>
            <w:pPr>
              <w:spacing w:after="0"/>
              <w:rPr>
                <w:sz w:val="9"/>
                <w:szCs w:val="9"/>
                <w:color w:val="auto"/>
              </w:rPr>
            </w:pPr>
          </w:p>
        </w:tc>
        <w:tc>
          <w:tcPr>
            <w:tcW w:w="1260" w:type="dxa"/>
            <w:vAlign w:val="bottom"/>
            <w:vMerge w:val="restart"/>
          </w:tcPr>
          <w:p>
            <w:pPr>
              <w:jc w:val="right"/>
              <w:ind w:right="92"/>
              <w:spacing w:after="0"/>
              <w:rPr>
                <w:sz w:val="20"/>
                <w:szCs w:val="20"/>
                <w:color w:val="auto"/>
              </w:rPr>
            </w:pPr>
            <w:r>
              <w:rPr>
                <w:rFonts w:ascii="Arial" w:cs="Arial" w:eastAsia="Arial" w:hAnsi="Arial"/>
                <w:sz w:val="14"/>
                <w:szCs w:val="14"/>
                <w:b w:val="1"/>
                <w:bCs w:val="1"/>
                <w:color w:val="auto"/>
                <w:w w:val="94"/>
              </w:rPr>
              <w:t>October 28, 2017</w:t>
            </w:r>
          </w:p>
        </w:tc>
        <w:tc>
          <w:tcPr>
            <w:tcW w:w="0" w:type="dxa"/>
            <w:vAlign w:val="bottom"/>
          </w:tcPr>
          <w:p>
            <w:pPr>
              <w:spacing w:after="0"/>
              <w:rPr>
                <w:sz w:val="1"/>
                <w:szCs w:val="1"/>
                <w:color w:val="auto"/>
              </w:rPr>
            </w:pPr>
          </w:p>
        </w:tc>
      </w:tr>
      <w:tr>
        <w:trPr>
          <w:trHeight w:val="87"/>
        </w:trPr>
        <w:tc>
          <w:tcPr>
            <w:tcW w:w="4280" w:type="dxa"/>
            <w:vAlign w:val="bottom"/>
            <w:tcBorders>
              <w:bottom w:val="single" w:sz="8" w:color="CCEEFF"/>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1220" w:type="dxa"/>
            <w:vAlign w:val="bottom"/>
            <w:tcBorders>
              <w:bottom w:val="single" w:sz="8" w:color="auto"/>
            </w:tcBorders>
            <w:vMerge w:val="continue"/>
          </w:tcPr>
          <w:p>
            <w:pPr>
              <w:spacing w:after="0"/>
              <w:rPr>
                <w:sz w:val="7"/>
                <w:szCs w:val="7"/>
                <w:color w:val="auto"/>
              </w:rPr>
            </w:pPr>
          </w:p>
        </w:tc>
        <w:tc>
          <w:tcPr>
            <w:tcW w:w="120" w:type="dxa"/>
            <w:vAlign w:val="bottom"/>
            <w:tcBorders>
              <w:bottom w:val="single" w:sz="8" w:color="CCEEFF"/>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100" w:type="dxa"/>
            <w:vAlign w:val="bottom"/>
            <w:tcBorders>
              <w:bottom w:val="single" w:sz="8" w:color="auto"/>
            </w:tcBorders>
            <w:vMerge w:val="continue"/>
          </w:tcPr>
          <w:p>
            <w:pPr>
              <w:spacing w:after="0"/>
              <w:rPr>
                <w:sz w:val="7"/>
                <w:szCs w:val="7"/>
                <w:color w:val="auto"/>
              </w:rPr>
            </w:pPr>
          </w:p>
        </w:tc>
        <w:tc>
          <w:tcPr>
            <w:tcW w:w="120" w:type="dxa"/>
            <w:vAlign w:val="bottom"/>
            <w:tcBorders>
              <w:bottom w:val="single" w:sz="8" w:color="CCEEFF"/>
            </w:tcBorders>
          </w:tcPr>
          <w:p>
            <w:pPr>
              <w:spacing w:after="0"/>
              <w:rPr>
                <w:sz w:val="7"/>
                <w:szCs w:val="7"/>
                <w:color w:val="auto"/>
              </w:rPr>
            </w:pPr>
          </w:p>
        </w:tc>
        <w:tc>
          <w:tcPr>
            <w:tcW w:w="260" w:type="dxa"/>
            <w:vAlign w:val="bottom"/>
            <w:tcBorders>
              <w:bottom w:val="single" w:sz="8" w:color="auto"/>
            </w:tcBorders>
          </w:tcPr>
          <w:p>
            <w:pPr>
              <w:spacing w:after="0"/>
              <w:rPr>
                <w:sz w:val="7"/>
                <w:szCs w:val="7"/>
                <w:color w:val="auto"/>
              </w:rPr>
            </w:pPr>
          </w:p>
        </w:tc>
        <w:tc>
          <w:tcPr>
            <w:tcW w:w="920" w:type="dxa"/>
            <w:vAlign w:val="bottom"/>
            <w:tcBorders>
              <w:bottom w:val="single" w:sz="8" w:color="auto"/>
            </w:tcBorders>
          </w:tcPr>
          <w:p>
            <w:pPr>
              <w:spacing w:after="0"/>
              <w:rPr>
                <w:sz w:val="7"/>
                <w:szCs w:val="7"/>
                <w:color w:val="auto"/>
              </w:rPr>
            </w:pPr>
          </w:p>
        </w:tc>
        <w:tc>
          <w:tcPr>
            <w:tcW w:w="100" w:type="dxa"/>
            <w:vAlign w:val="bottom"/>
            <w:tcBorders>
              <w:bottom w:val="single" w:sz="8" w:color="CCEEFF"/>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1280" w:type="dxa"/>
            <w:vAlign w:val="bottom"/>
            <w:tcBorders>
              <w:bottom w:val="single" w:sz="8" w:color="auto"/>
            </w:tcBorders>
            <w:vMerge w:val="continue"/>
          </w:tcPr>
          <w:p>
            <w:pPr>
              <w:spacing w:after="0"/>
              <w:rPr>
                <w:sz w:val="7"/>
                <w:szCs w:val="7"/>
                <w:color w:val="auto"/>
              </w:rPr>
            </w:pPr>
          </w:p>
        </w:tc>
        <w:tc>
          <w:tcPr>
            <w:tcW w:w="100" w:type="dxa"/>
            <w:vAlign w:val="bottom"/>
            <w:tcBorders>
              <w:bottom w:val="single" w:sz="8" w:color="CCEEFF"/>
            </w:tcBorders>
            <w:vMerge w:val="continue"/>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12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0"/>
        </w:trPr>
        <w:tc>
          <w:tcPr>
            <w:tcW w:w="4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383,587</w:t>
            </w:r>
          </w:p>
        </w:tc>
        <w:tc>
          <w:tcPr>
            <w:tcW w:w="36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377,110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377,769</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1,136,390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1,088,458</w:t>
            </w:r>
          </w:p>
        </w:tc>
        <w:tc>
          <w:tcPr>
            <w:tcW w:w="0" w:type="dxa"/>
            <w:vAlign w:val="bottom"/>
          </w:tcPr>
          <w:p>
            <w:pPr>
              <w:spacing w:after="0"/>
              <w:rPr>
                <w:sz w:val="1"/>
                <w:szCs w:val="1"/>
                <w:color w:val="auto"/>
              </w:rPr>
            </w:pPr>
          </w:p>
        </w:tc>
      </w:tr>
      <w:tr>
        <w:trPr>
          <w:trHeight w:val="243"/>
        </w:trPr>
        <w:tc>
          <w:tcPr>
            <w:tcW w:w="42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2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2,429</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4,748</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1,747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9,082</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4,983</w:t>
            </w:r>
          </w:p>
        </w:tc>
        <w:tc>
          <w:tcPr>
            <w:tcW w:w="0" w:type="dxa"/>
            <w:vAlign w:val="bottom"/>
          </w:tcPr>
          <w:p>
            <w:pPr>
              <w:spacing w:after="0"/>
              <w:rPr>
                <w:sz w:val="1"/>
                <w:szCs w:val="1"/>
                <w:color w:val="auto"/>
              </w:rPr>
            </w:pPr>
          </w:p>
        </w:tc>
      </w:tr>
      <w:tr>
        <w:trPr>
          <w:trHeight w:val="243"/>
        </w:trPr>
        <w:tc>
          <w:tcPr>
            <w:tcW w:w="428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tcPr>
          <w:p>
            <w:pPr>
              <w:spacing w:after="0"/>
              <w:rPr>
                <w:sz w:val="21"/>
                <w:szCs w:val="21"/>
                <w:color w:val="auto"/>
              </w:rPr>
            </w:pPr>
          </w:p>
        </w:tc>
        <w:tc>
          <w:tcPr>
            <w:tcW w:w="1220" w:type="dxa"/>
            <w:vAlign w:val="bottom"/>
          </w:tcPr>
          <w:p>
            <w:pPr>
              <w:jc w:val="right"/>
              <w:ind w:right="152"/>
              <w:spacing w:after="0"/>
              <w:rPr>
                <w:sz w:val="20"/>
                <w:szCs w:val="20"/>
                <w:color w:val="auto"/>
              </w:rPr>
            </w:pPr>
            <w:r>
              <w:rPr>
                <w:rFonts w:ascii="Arial" w:cs="Arial" w:eastAsia="Arial" w:hAnsi="Arial"/>
                <w:sz w:val="18"/>
                <w:szCs w:val="18"/>
                <w:color w:val="auto"/>
              </w:rPr>
              <w:t>57,594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jc w:val="right"/>
              <w:ind w:right="154"/>
              <w:spacing w:after="0"/>
              <w:rPr>
                <w:sz w:val="20"/>
                <w:szCs w:val="20"/>
                <w:color w:val="auto"/>
              </w:rPr>
            </w:pPr>
            <w:r>
              <w:rPr>
                <w:rFonts w:ascii="Arial" w:cs="Arial" w:eastAsia="Arial" w:hAnsi="Arial"/>
                <w:sz w:val="18"/>
                <w:szCs w:val="18"/>
                <w:color w:val="auto"/>
              </w:rPr>
              <w:t>18,984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80" w:type="dxa"/>
            <w:vAlign w:val="bottom"/>
          </w:tcPr>
          <w:p>
            <w:pPr>
              <w:jc w:val="right"/>
              <w:ind w:right="114"/>
              <w:spacing w:after="0"/>
              <w:rPr>
                <w:sz w:val="20"/>
                <w:szCs w:val="20"/>
                <w:color w:val="auto"/>
              </w:rPr>
            </w:pPr>
            <w:r>
              <w:rPr>
                <w:rFonts w:ascii="Arial" w:cs="Arial" w:eastAsia="Arial" w:hAnsi="Arial"/>
                <w:sz w:val="18"/>
                <w:szCs w:val="18"/>
                <w:color w:val="auto"/>
              </w:rPr>
              <w:t>76,577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60" w:type="dxa"/>
            <w:vAlign w:val="bottom"/>
          </w:tcPr>
          <w:p>
            <w:pPr>
              <w:jc w:val="right"/>
              <w:ind w:right="9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2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(a)</w:t>
            </w:r>
          </w:p>
        </w:tc>
        <w:tc>
          <w:tcPr>
            <w:tcW w:w="1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105,841</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22,933</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128,774</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3,000</w:t>
            </w:r>
          </w:p>
        </w:tc>
        <w:tc>
          <w:tcPr>
            <w:tcW w:w="0" w:type="dxa"/>
            <w:vAlign w:val="bottom"/>
          </w:tcPr>
          <w:p>
            <w:pPr>
              <w:spacing w:after="0"/>
              <w:rPr>
                <w:sz w:val="1"/>
                <w:szCs w:val="1"/>
                <w:color w:val="auto"/>
              </w:rPr>
            </w:pPr>
          </w:p>
        </w:tc>
      </w:tr>
      <w:tr>
        <w:trPr>
          <w:trHeight w:val="237"/>
        </w:trPr>
        <w:tc>
          <w:tcPr>
            <w:tcW w:w="428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1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165,864</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46,665</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1,747</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rPr>
              <w:t>214,433</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7,983</w:t>
            </w:r>
          </w:p>
        </w:tc>
        <w:tc>
          <w:tcPr>
            <w:tcW w:w="0" w:type="dxa"/>
            <w:vAlign w:val="bottom"/>
          </w:tcPr>
          <w:p>
            <w:pPr>
              <w:spacing w:after="0"/>
              <w:rPr>
                <w:sz w:val="1"/>
                <w:szCs w:val="1"/>
                <w:color w:val="auto"/>
              </w:rPr>
            </w:pPr>
          </w:p>
        </w:tc>
      </w:tr>
      <w:tr>
        <w:trPr>
          <w:trHeight w:val="27"/>
        </w:trPr>
        <w:tc>
          <w:tcPr>
            <w:tcW w:w="428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gross profit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549,451</w:t>
            </w:r>
          </w:p>
        </w:tc>
        <w:tc>
          <w:tcPr>
            <w:tcW w:w="360" w:type="dxa"/>
            <w:vAlign w:val="bottom"/>
            <w:tcBorders>
              <w:bottom w:val="single" w:sz="8" w:color="CCEEFF"/>
            </w:tcBorders>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423,775</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379,516</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1,350,823</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1,096,441</w:t>
            </w:r>
          </w:p>
        </w:tc>
        <w:tc>
          <w:tcPr>
            <w:tcW w:w="0" w:type="dxa"/>
            <w:vAlign w:val="bottom"/>
          </w:tcPr>
          <w:p>
            <w:pPr>
              <w:spacing w:after="0"/>
              <w:rPr>
                <w:sz w:val="1"/>
                <w:szCs w:val="1"/>
                <w:color w:val="auto"/>
              </w:rPr>
            </w:pPr>
          </w:p>
        </w:tc>
      </w:tr>
      <w:tr>
        <w:trPr>
          <w:trHeight w:val="20"/>
        </w:trPr>
        <w:tc>
          <w:tcPr>
            <w:tcW w:w="42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5"/>
        </w:trPr>
        <w:tc>
          <w:tcPr>
            <w:tcW w:w="4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margin</w:t>
            </w:r>
          </w:p>
        </w:tc>
        <w:tc>
          <w:tcPr>
            <w:tcW w:w="1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45.1 %</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56.7 %</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61.3%</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53.6%</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60.7%</w:t>
            </w:r>
          </w:p>
        </w:tc>
        <w:tc>
          <w:tcPr>
            <w:tcW w:w="0" w:type="dxa"/>
            <w:vAlign w:val="bottom"/>
          </w:tcPr>
          <w:p>
            <w:pPr>
              <w:spacing w:after="0"/>
              <w:rPr>
                <w:sz w:val="1"/>
                <w:szCs w:val="1"/>
                <w:color w:val="auto"/>
              </w:rPr>
            </w:pPr>
          </w:p>
        </w:tc>
      </w:tr>
      <w:tr>
        <w:trPr>
          <w:trHeight w:val="20"/>
        </w:trPr>
        <w:tc>
          <w:tcPr>
            <w:tcW w:w="428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gross margin</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28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64.6 %</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63.7 %</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61.6%</w:t>
            </w: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63.7%</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61.1%</w:t>
            </w:r>
          </w:p>
        </w:tc>
        <w:tc>
          <w:tcPr>
            <w:tcW w:w="0" w:type="dxa"/>
            <w:vAlign w:val="bottom"/>
          </w:tcPr>
          <w:p>
            <w:pPr>
              <w:spacing w:after="0"/>
              <w:rPr>
                <w:sz w:val="1"/>
                <w:szCs w:val="1"/>
                <w:color w:val="auto"/>
              </w:rPr>
            </w:pPr>
          </w:p>
        </w:tc>
      </w:tr>
      <w:tr>
        <w:trPr>
          <w:trHeight w:val="67"/>
        </w:trPr>
        <w:tc>
          <w:tcPr>
            <w:tcW w:w="428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428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122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260" w:type="dxa"/>
            <w:vAlign w:val="bottom"/>
            <w:shd w:val="clear" w:color="auto" w:fill="CCEEFF"/>
          </w:tcPr>
          <w:p>
            <w:pPr>
              <w:spacing w:after="0"/>
              <w:rPr>
                <w:sz w:val="23"/>
                <w:szCs w:val="23"/>
                <w:color w:val="auto"/>
              </w:rPr>
            </w:pPr>
          </w:p>
        </w:tc>
        <w:tc>
          <w:tcPr>
            <w:tcW w:w="92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128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2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280" w:type="dxa"/>
            <w:vAlign w:val="bottom"/>
          </w:tcPr>
          <w:p>
            <w:pPr>
              <w:ind w:left="40"/>
              <w:spacing w:after="0"/>
              <w:rPr>
                <w:sz w:val="20"/>
                <w:szCs w:val="20"/>
                <w:color w:val="auto"/>
              </w:rPr>
            </w:pPr>
            <w:r>
              <w:rPr>
                <w:rFonts w:ascii="Arial" w:cs="Arial" w:eastAsia="Arial" w:hAnsi="Arial"/>
                <w:sz w:val="18"/>
                <w:szCs w:val="18"/>
                <w:color w:val="auto"/>
              </w:rPr>
              <w:t>Total GAAP operating expenses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50"/>
              <w:spacing w:after="0"/>
              <w:rPr>
                <w:sz w:val="20"/>
                <w:szCs w:val="20"/>
                <w:color w:val="auto"/>
              </w:rPr>
            </w:pPr>
            <w:r>
              <w:rPr>
                <w:rFonts w:ascii="Arial" w:cs="Arial" w:eastAsia="Arial" w:hAnsi="Arial"/>
                <w:sz w:val="18"/>
                <w:szCs w:val="18"/>
                <w:color w:val="auto"/>
              </w:rPr>
              <w:t>404,097</w:t>
            </w:r>
          </w:p>
        </w:tc>
        <w:tc>
          <w:tcPr>
            <w:tcW w:w="12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50"/>
              <w:spacing w:after="0"/>
              <w:rPr>
                <w:sz w:val="20"/>
                <w:szCs w:val="20"/>
                <w:color w:val="auto"/>
              </w:rPr>
            </w:pPr>
            <w:r>
              <w:rPr>
                <w:rFonts w:ascii="Arial" w:cs="Arial" w:eastAsia="Arial" w:hAnsi="Arial"/>
                <w:sz w:val="18"/>
                <w:szCs w:val="18"/>
                <w:color w:val="auto"/>
              </w:rPr>
              <w:t>385,401</w:t>
            </w:r>
          </w:p>
        </w:tc>
        <w:tc>
          <w:tcPr>
            <w:tcW w:w="120" w:type="dxa"/>
            <w:vAlign w:val="bottom"/>
          </w:tcPr>
          <w:p>
            <w:pPr>
              <w:spacing w:after="0"/>
              <w:rPr>
                <w:sz w:val="20"/>
                <w:szCs w:val="20"/>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ind w:right="90"/>
              <w:spacing w:after="0"/>
              <w:rPr>
                <w:sz w:val="20"/>
                <w:szCs w:val="20"/>
                <w:color w:val="auto"/>
              </w:rPr>
            </w:pPr>
            <w:r>
              <w:rPr>
                <w:rFonts w:ascii="Arial" w:cs="Arial" w:eastAsia="Arial" w:hAnsi="Arial"/>
                <w:sz w:val="18"/>
                <w:szCs w:val="18"/>
                <w:color w:val="auto"/>
              </w:rPr>
              <w:t>227,873</w:t>
            </w:r>
          </w:p>
        </w:tc>
        <w:tc>
          <w:tcPr>
            <w:tcW w:w="100" w:type="dxa"/>
            <w:vAlign w:val="bottom"/>
          </w:tcPr>
          <w:p>
            <w:pPr>
              <w:spacing w:after="0"/>
              <w:rPr>
                <w:sz w:val="20"/>
                <w:szCs w:val="20"/>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0"/>
              <w:spacing w:after="0"/>
              <w:rPr>
                <w:sz w:val="20"/>
                <w:szCs w:val="20"/>
                <w:color w:val="auto"/>
              </w:rPr>
            </w:pPr>
            <w:r>
              <w:rPr>
                <w:rFonts w:ascii="Arial" w:cs="Arial" w:eastAsia="Arial" w:hAnsi="Arial"/>
                <w:sz w:val="18"/>
                <w:szCs w:val="18"/>
                <w:color w:val="auto"/>
              </w:rPr>
              <w:t>1,040,112</w:t>
            </w:r>
          </w:p>
        </w:tc>
        <w:tc>
          <w:tcPr>
            <w:tcW w:w="100" w:type="dxa"/>
            <w:vAlign w:val="bottom"/>
          </w:tcPr>
          <w:p>
            <w:pPr>
              <w:spacing w:after="0"/>
              <w:rPr>
                <w:sz w:val="20"/>
                <w:szCs w:val="20"/>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90"/>
              <w:spacing w:after="0"/>
              <w:rPr>
                <w:sz w:val="20"/>
                <w:szCs w:val="20"/>
                <w:color w:val="auto"/>
              </w:rPr>
            </w:pPr>
            <w:r>
              <w:rPr>
                <w:rFonts w:ascii="Arial" w:cs="Arial" w:eastAsia="Arial" w:hAnsi="Arial"/>
                <w:sz w:val="18"/>
                <w:szCs w:val="18"/>
                <w:color w:val="auto"/>
              </w:rPr>
              <w:t>712,774</w:t>
            </w:r>
          </w:p>
        </w:tc>
      </w:tr>
      <w:tr>
        <w:trPr>
          <w:trHeight w:val="27"/>
        </w:trPr>
        <w:tc>
          <w:tcPr>
            <w:tcW w:w="4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r>
      <w:tr>
        <w:trPr>
          <w:trHeight w:val="243"/>
        </w:trPr>
        <w:tc>
          <w:tcPr>
            <w:tcW w:w="428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(47,811)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(68,675)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(18,892)</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jc w:val="right"/>
              <w:ind w:right="50"/>
              <w:spacing w:after="0"/>
              <w:rPr>
                <w:sz w:val="20"/>
                <w:szCs w:val="20"/>
                <w:color w:val="auto"/>
              </w:rPr>
            </w:pPr>
            <w:r>
              <w:rPr>
                <w:rFonts w:ascii="Arial" w:cs="Arial" w:eastAsia="Arial" w:hAnsi="Arial"/>
                <w:sz w:val="18"/>
                <w:szCs w:val="18"/>
                <w:color w:val="auto"/>
              </w:rPr>
              <w:t>(138,433)</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jc w:val="right"/>
              <w:ind w:right="30"/>
              <w:spacing w:after="0"/>
              <w:rPr>
                <w:sz w:val="20"/>
                <w:szCs w:val="20"/>
                <w:color w:val="auto"/>
              </w:rPr>
            </w:pPr>
            <w:r>
              <w:rPr>
                <w:rFonts w:ascii="Arial" w:cs="Arial" w:eastAsia="Arial" w:hAnsi="Arial"/>
                <w:sz w:val="18"/>
                <w:szCs w:val="18"/>
                <w:color w:val="auto"/>
              </w:rPr>
              <w:t>(58,762)</w:t>
            </w:r>
          </w:p>
        </w:tc>
      </w:tr>
      <w:tr>
        <w:trPr>
          <w:trHeight w:val="27"/>
        </w:trPr>
        <w:tc>
          <w:tcPr>
            <w:tcW w:w="4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2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(b)</w:t>
            </w: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(27,031)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(35,415)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(3,284)</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(64,013)</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(8,455)</w:t>
            </w:r>
          </w:p>
        </w:tc>
      </w:tr>
      <w:tr>
        <w:trPr>
          <w:trHeight w:val="243"/>
        </w:trPr>
        <w:tc>
          <w:tcPr>
            <w:tcW w:w="428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(21,098)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(6,955)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(1,076)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jc w:val="right"/>
              <w:ind w:right="50"/>
              <w:spacing w:after="0"/>
              <w:rPr>
                <w:sz w:val="20"/>
                <w:szCs w:val="20"/>
                <w:color w:val="auto"/>
              </w:rPr>
            </w:pPr>
            <w:r>
              <w:rPr>
                <w:rFonts w:ascii="Arial" w:cs="Arial" w:eastAsia="Arial" w:hAnsi="Arial"/>
                <w:sz w:val="18"/>
                <w:szCs w:val="18"/>
                <w:color w:val="auto"/>
              </w:rPr>
              <w:t>(28,053)</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jc w:val="right"/>
              <w:ind w:right="30"/>
              <w:spacing w:after="0"/>
              <w:rPr>
                <w:sz w:val="20"/>
                <w:szCs w:val="20"/>
                <w:color w:val="auto"/>
              </w:rPr>
            </w:pPr>
            <w:r>
              <w:rPr>
                <w:rFonts w:ascii="Arial" w:cs="Arial" w:eastAsia="Arial" w:hAnsi="Arial"/>
                <w:sz w:val="18"/>
                <w:szCs w:val="18"/>
                <w:color w:val="auto"/>
              </w:rPr>
              <w:t>(3,212)</w:t>
            </w:r>
          </w:p>
        </w:tc>
      </w:tr>
      <w:tr>
        <w:trPr>
          <w:trHeight w:val="27"/>
        </w:trPr>
        <w:tc>
          <w:tcPr>
            <w:tcW w:w="4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42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operating expenses (c)</w:t>
            </w: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(11,222)</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(28,229)</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(120)</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(54,703)</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(4,110)</w:t>
            </w:r>
          </w:p>
        </w:tc>
      </w:tr>
      <w:tr>
        <w:trPr>
          <w:trHeight w:val="237"/>
        </w:trPr>
        <w:tc>
          <w:tcPr>
            <w:tcW w:w="428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(107,162)</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(139,274)</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(23,372)</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(285,202)</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(74,539)</w:t>
            </w:r>
          </w:p>
        </w:tc>
      </w:tr>
      <w:tr>
        <w:trPr>
          <w:trHeight w:val="27"/>
        </w:trPr>
        <w:tc>
          <w:tcPr>
            <w:tcW w:w="42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9"/>
        </w:trPr>
        <w:tc>
          <w:tcPr>
            <w:tcW w:w="4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296,935</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246,127</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204,501</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754,910</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638,235</w:t>
            </w:r>
          </w:p>
        </w:tc>
      </w:tr>
      <w:tr>
        <w:trPr>
          <w:trHeight w:val="20"/>
        </w:trPr>
        <w:tc>
          <w:tcPr>
            <w:tcW w:w="42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2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324"/>
        </w:trPr>
        <w:tc>
          <w:tcPr>
            <w:tcW w:w="428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28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operating margin</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20" w:type="dxa"/>
            <w:vAlign w:val="bottom"/>
            <w:shd w:val="clear" w:color="auto" w:fill="CCEEFF"/>
          </w:tcPr>
          <w:p>
            <w:pPr>
              <w:spacing w:after="0"/>
              <w:rPr>
                <w:sz w:val="23"/>
                <w:szCs w:val="23"/>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20" w:type="dxa"/>
            <w:vAlign w:val="bottom"/>
            <w:shd w:val="clear" w:color="auto" w:fill="CCEEFF"/>
          </w:tcPr>
          <w:p>
            <w:pPr>
              <w:spacing w:after="0"/>
              <w:rPr>
                <w:sz w:val="23"/>
                <w:szCs w:val="23"/>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w:t>
            </w:r>
          </w:p>
        </w:tc>
        <w:tc>
          <w:tcPr>
            <w:tcW w:w="100" w:type="dxa"/>
            <w:vAlign w:val="bottom"/>
            <w:shd w:val="clear" w:color="auto" w:fill="CCEEFF"/>
          </w:tcPr>
          <w:p>
            <w:pPr>
              <w:spacing w:after="0"/>
              <w:rPr>
                <w:sz w:val="23"/>
                <w:szCs w:val="23"/>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100" w:type="dxa"/>
            <w:vAlign w:val="bottom"/>
            <w:shd w:val="clear" w:color="auto" w:fill="CCEEFF"/>
          </w:tcPr>
          <w:p>
            <w:pPr>
              <w:spacing w:after="0"/>
              <w:rPr>
                <w:sz w:val="23"/>
                <w:szCs w:val="23"/>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w:t>
            </w:r>
          </w:p>
        </w:tc>
      </w:tr>
      <w:tr>
        <w:trPr>
          <w:trHeight w:val="243"/>
        </w:trPr>
        <w:tc>
          <w:tcPr>
            <w:tcW w:w="4280" w:type="dxa"/>
            <w:vAlign w:val="bottom"/>
          </w:tcPr>
          <w:p>
            <w:pPr>
              <w:ind w:left="460"/>
              <w:spacing w:after="0"/>
              <w:rPr>
                <w:sz w:val="20"/>
                <w:szCs w:val="20"/>
                <w:color w:val="auto"/>
              </w:rPr>
            </w:pPr>
            <w:r>
              <w:rPr>
                <w:rFonts w:ascii="Arial" w:cs="Arial" w:eastAsia="Arial" w:hAnsi="Arial"/>
                <w:sz w:val="18"/>
                <w:szCs w:val="18"/>
                <w:color w:val="auto"/>
              </w:rPr>
              <w:t>Other cost of goods sold (a)</w:t>
            </w:r>
          </w:p>
        </w:tc>
        <w:tc>
          <w:tcPr>
            <w:tcW w:w="1340" w:type="dxa"/>
            <w:vAlign w:val="bottom"/>
          </w:tcPr>
          <w:p>
            <w:pPr>
              <w:jc w:val="right"/>
              <w:spacing w:after="0"/>
              <w:rPr>
                <w:sz w:val="20"/>
                <w:szCs w:val="20"/>
                <w:color w:val="auto"/>
              </w:rPr>
            </w:pPr>
            <w:r>
              <w:rPr>
                <w:rFonts w:ascii="Arial" w:cs="Arial" w:eastAsia="Arial" w:hAnsi="Arial"/>
                <w:sz w:val="18"/>
                <w:szCs w:val="18"/>
                <w:color w:val="auto"/>
              </w:rPr>
              <w:t>12.4 %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3.5 %</w:t>
            </w:r>
          </w:p>
        </w:tc>
        <w:tc>
          <w:tcPr>
            <w:tcW w:w="120" w:type="dxa"/>
            <w:vAlign w:val="bottom"/>
          </w:tcPr>
          <w:p>
            <w:pPr>
              <w:spacing w:after="0"/>
              <w:rPr>
                <w:sz w:val="21"/>
                <w:szCs w:val="21"/>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20" w:type="dxa"/>
            <w:vAlign w:val="bottom"/>
          </w:tcPr>
          <w:p>
            <w:pPr>
              <w:jc w:val="right"/>
              <w:spacing w:after="0"/>
              <w:rPr>
                <w:sz w:val="20"/>
                <w:szCs w:val="20"/>
                <w:color w:val="auto"/>
              </w:rPr>
            </w:pPr>
            <w:r>
              <w:rPr>
                <w:rFonts w:ascii="Arial" w:cs="Arial" w:eastAsia="Arial" w:hAnsi="Arial"/>
                <w:sz w:val="18"/>
                <w:szCs w:val="18"/>
                <w:color w:val="auto"/>
              </w:rPr>
              <w:t>6.1%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0.2%</w:t>
            </w:r>
          </w:p>
        </w:tc>
      </w:tr>
      <w:tr>
        <w:trPr>
          <w:trHeight w:val="27"/>
        </w:trPr>
        <w:tc>
          <w:tcPr>
            <w:tcW w:w="42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42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5.9 %</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11.0 %</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w:t>
            </w:r>
          </w:p>
        </w:tc>
      </w:tr>
      <w:tr>
        <w:trPr>
          <w:trHeight w:val="243"/>
        </w:trPr>
        <w:tc>
          <w:tcPr>
            <w:tcW w:w="4280" w:type="dxa"/>
            <w:vAlign w:val="bottom"/>
          </w:tcPr>
          <w:p>
            <w:pPr>
              <w:ind w:left="460"/>
              <w:spacing w:after="0"/>
              <w:rPr>
                <w:sz w:val="20"/>
                <w:szCs w:val="20"/>
                <w:color w:val="auto"/>
              </w:rPr>
            </w:pPr>
            <w:r>
              <w:rPr>
                <w:rFonts w:ascii="Arial" w:cs="Arial" w:eastAsia="Arial" w:hAnsi="Arial"/>
                <w:sz w:val="18"/>
                <w:szCs w:val="18"/>
                <w:color w:val="auto"/>
              </w:rPr>
              <w:t>Restructuring related charges (b)</w:t>
            </w:r>
          </w:p>
        </w:tc>
        <w:tc>
          <w:tcPr>
            <w:tcW w:w="1340" w:type="dxa"/>
            <w:vAlign w:val="bottom"/>
          </w:tcPr>
          <w:p>
            <w:pPr>
              <w:jc w:val="right"/>
              <w:spacing w:after="0"/>
              <w:rPr>
                <w:sz w:val="20"/>
                <w:szCs w:val="20"/>
                <w:color w:val="auto"/>
              </w:rPr>
            </w:pPr>
            <w:r>
              <w:rPr>
                <w:rFonts w:ascii="Arial" w:cs="Arial" w:eastAsia="Arial" w:hAnsi="Arial"/>
                <w:sz w:val="18"/>
                <w:szCs w:val="18"/>
                <w:color w:val="auto"/>
              </w:rPr>
              <w:t>3.2 %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5.3 %</w:t>
            </w: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0.5%</w:t>
            </w:r>
          </w:p>
        </w:tc>
      </w:tr>
      <w:tr>
        <w:trPr>
          <w:trHeight w:val="27"/>
        </w:trPr>
        <w:tc>
          <w:tcPr>
            <w:tcW w:w="42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29"/>
        </w:trPr>
        <w:tc>
          <w:tcPr>
            <w:tcW w:w="4280" w:type="dxa"/>
            <w:vAlign w:val="bottom"/>
            <w:shd w:val="clear" w:color="auto" w:fill="CCEEFF"/>
          </w:tcPr>
          <w:p>
            <w:pPr>
              <w:ind w:left="460"/>
              <w:spacing w:after="0"/>
              <w:rPr>
                <w:sz w:val="20"/>
                <w:szCs w:val="20"/>
                <w:color w:val="auto"/>
              </w:rPr>
            </w:pPr>
            <w:r>
              <w:rPr>
                <w:rFonts w:ascii="Arial" w:cs="Arial" w:eastAsia="Arial" w:hAnsi="Arial"/>
                <w:sz w:val="18"/>
                <w:szCs w:val="18"/>
                <w:color w:val="auto"/>
                <w:w w:val="99"/>
              </w:rPr>
              <w:t>Amortization and write-off of acquired intangible</w:t>
            </w:r>
          </w:p>
        </w:tc>
        <w:tc>
          <w:tcPr>
            <w:tcW w:w="13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r>
      <w:tr>
        <w:trPr>
          <w:trHeight w:val="237"/>
        </w:trPr>
        <w:tc>
          <w:tcPr>
            <w:tcW w:w="428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assets</w:t>
            </w: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9.2 %</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1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00" w:type="dxa"/>
            <w:vAlign w:val="bottom"/>
            <w:tcBorders>
              <w:bottom w:val="single" w:sz="8" w:color="CCEEFF"/>
            </w:tcBorders>
            <w:shd w:val="clear" w:color="auto" w:fill="CCEEFF"/>
          </w:tcPr>
          <w:p>
            <w:pPr>
              <w:spacing w:after="0"/>
              <w:rPr>
                <w:sz w:val="20"/>
                <w:szCs w:val="20"/>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100" w:type="dxa"/>
            <w:vAlign w:val="bottom"/>
            <w:tcBorders>
              <w:bottom w:val="single" w:sz="8" w:color="CCEEFF"/>
            </w:tcBorders>
            <w:shd w:val="clear" w:color="auto" w:fill="CCEEFF"/>
          </w:tcPr>
          <w:p>
            <w:pPr>
              <w:spacing w:after="0"/>
              <w:rPr>
                <w:sz w:val="20"/>
                <w:szCs w:val="20"/>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r>
      <w:tr>
        <w:trPr>
          <w:trHeight w:val="243"/>
        </w:trPr>
        <w:tc>
          <w:tcPr>
            <w:tcW w:w="4280" w:type="dxa"/>
            <w:vAlign w:val="bottom"/>
          </w:tcPr>
          <w:p>
            <w:pPr>
              <w:ind w:left="460"/>
              <w:spacing w:after="0"/>
              <w:rPr>
                <w:sz w:val="20"/>
                <w:szCs w:val="20"/>
                <w:color w:val="auto"/>
              </w:rPr>
            </w:pPr>
            <w:r>
              <w:rPr>
                <w:rFonts w:ascii="Arial" w:cs="Arial" w:eastAsia="Arial" w:hAnsi="Arial"/>
                <w:sz w:val="18"/>
                <w:szCs w:val="18"/>
                <w:color w:val="auto"/>
              </w:rPr>
              <w:t>Other operating expenses (c)</w:t>
            </w:r>
          </w:p>
        </w:tc>
        <w:tc>
          <w:tcPr>
            <w:tcW w:w="1340" w:type="dxa"/>
            <w:vAlign w:val="bottom"/>
          </w:tcPr>
          <w:p>
            <w:pPr>
              <w:jc w:val="right"/>
              <w:spacing w:after="0"/>
              <w:rPr>
                <w:sz w:val="20"/>
                <w:szCs w:val="20"/>
                <w:color w:val="auto"/>
              </w:rPr>
            </w:pPr>
            <w:r>
              <w:rPr>
                <w:rFonts w:ascii="Arial" w:cs="Arial" w:eastAsia="Arial" w:hAnsi="Arial"/>
                <w:sz w:val="18"/>
                <w:szCs w:val="18"/>
                <w:color w:val="auto"/>
              </w:rPr>
              <w:t>1.4 %</w:t>
            </w:r>
          </w:p>
        </w:tc>
        <w:tc>
          <w:tcPr>
            <w:tcW w:w="120" w:type="dxa"/>
            <w:vAlign w:val="bottom"/>
          </w:tcPr>
          <w:p>
            <w:pPr>
              <w:spacing w:after="0"/>
              <w:rPr>
                <w:sz w:val="21"/>
                <w:szCs w:val="21"/>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4.2 %</w:t>
            </w: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0.1%</w:t>
            </w:r>
          </w:p>
        </w:tc>
      </w:tr>
      <w:tr>
        <w:trPr>
          <w:trHeight w:val="27"/>
        </w:trPr>
        <w:tc>
          <w:tcPr>
            <w:tcW w:w="428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257"/>
        </w:trPr>
        <w:tc>
          <w:tcPr>
            <w:tcW w:w="4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operating margin</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29.7 %</w:t>
            </w:r>
          </w:p>
        </w:tc>
        <w:tc>
          <w:tcPr>
            <w:tcW w:w="12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26.7 %</w:t>
            </w:r>
          </w:p>
        </w:tc>
        <w:tc>
          <w:tcPr>
            <w:tcW w:w="1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w:t>
            </w:r>
          </w:p>
        </w:tc>
        <w:tc>
          <w:tcPr>
            <w:tcW w:w="10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28.1%</w:t>
            </w:r>
          </w:p>
        </w:tc>
        <w:tc>
          <w:tcPr>
            <w:tcW w:w="10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25.5%</w:t>
            </w:r>
          </w:p>
        </w:tc>
      </w:tr>
      <w:tr>
        <w:trPr>
          <w:trHeight w:val="20"/>
        </w:trPr>
        <w:tc>
          <w:tcPr>
            <w:tcW w:w="428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81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8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ind w:left="40"/>
              <w:spacing w:after="0"/>
              <w:rPr>
                <w:sz w:val="20"/>
                <w:szCs w:val="20"/>
                <w:color w:val="auto"/>
              </w:rPr>
            </w:pPr>
            <w:r>
              <w:rPr>
                <w:rFonts w:ascii="Arial" w:cs="Arial" w:eastAsia="Arial" w:hAnsi="Arial"/>
                <w:sz w:val="14"/>
                <w:szCs w:val="14"/>
                <w:b w:val="1"/>
                <w:bCs w:val="1"/>
                <w:color w:val="auto"/>
              </w:rPr>
              <w:t>Three Months Ended</w:t>
            </w:r>
          </w:p>
        </w:tc>
        <w:tc>
          <w:tcPr>
            <w:tcW w:w="34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693"/>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45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140" w:type="dxa"/>
            <w:vAlign w:val="bottom"/>
            <w:gridSpan w:val="2"/>
          </w:tcPr>
          <w:p>
            <w:pPr>
              <w:ind w:left="100"/>
              <w:spacing w:after="0" w:line="153" w:lineRule="exact"/>
              <w:rPr>
                <w:sz w:val="20"/>
                <w:szCs w:val="20"/>
                <w:color w:val="auto"/>
              </w:rPr>
            </w:pPr>
            <w:r>
              <w:rPr>
                <w:rFonts w:ascii="Arial" w:cs="Arial" w:eastAsia="Arial" w:hAnsi="Arial"/>
                <w:sz w:val="14"/>
                <w:szCs w:val="14"/>
                <w:b w:val="1"/>
                <w:bCs w:val="1"/>
                <w:color w:val="auto"/>
              </w:rPr>
              <w:t>August 4,</w:t>
            </w:r>
          </w:p>
        </w:tc>
        <w:tc>
          <w:tcPr>
            <w:tcW w:w="124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October 28, 2017</w:t>
            </w:r>
          </w:p>
        </w:tc>
        <w:tc>
          <w:tcPr>
            <w:tcW w:w="12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4580" w:type="dxa"/>
            <w:vAlign w:val="bottom"/>
          </w:tcPr>
          <w:p>
            <w:pPr>
              <w:spacing w:after="0"/>
              <w:rPr>
                <w:sz w:val="9"/>
                <w:szCs w:val="9"/>
                <w:color w:val="auto"/>
              </w:rPr>
            </w:pPr>
          </w:p>
        </w:tc>
        <w:tc>
          <w:tcPr>
            <w:tcW w:w="12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9"/>
              </w:rPr>
              <w:t>November 3, 2018</w:t>
            </w: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vMerge w:val="restart"/>
          </w:tcPr>
          <w:p>
            <w:pPr>
              <w:jc w:val="right"/>
              <w:ind w:right="415"/>
              <w:spacing w:after="0"/>
              <w:rPr>
                <w:sz w:val="20"/>
                <w:szCs w:val="20"/>
                <w:color w:val="auto"/>
              </w:rPr>
            </w:pPr>
            <w:r>
              <w:rPr>
                <w:rFonts w:ascii="Arial" w:cs="Arial" w:eastAsia="Arial" w:hAnsi="Arial"/>
                <w:sz w:val="14"/>
                <w:szCs w:val="14"/>
                <w:b w:val="1"/>
                <w:bCs w:val="1"/>
                <w:color w:val="auto"/>
              </w:rPr>
              <w:t>2018</w:t>
            </w:r>
          </w:p>
        </w:tc>
        <w:tc>
          <w:tcPr>
            <w:tcW w:w="100" w:type="dxa"/>
            <w:vAlign w:val="bottom"/>
          </w:tcPr>
          <w:p>
            <w:pPr>
              <w:spacing w:after="0"/>
              <w:rPr>
                <w:sz w:val="9"/>
                <w:szCs w:val="9"/>
                <w:color w:val="auto"/>
              </w:rPr>
            </w:pPr>
          </w:p>
        </w:tc>
        <w:tc>
          <w:tcPr>
            <w:tcW w:w="12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1240" w:type="dxa"/>
            <w:vAlign w:val="bottom"/>
            <w:vMerge w:val="restart"/>
          </w:tcPr>
          <w:p>
            <w:pPr>
              <w:jc w:val="right"/>
              <w:ind w:right="35"/>
              <w:spacing w:after="0"/>
              <w:rPr>
                <w:sz w:val="20"/>
                <w:szCs w:val="20"/>
                <w:color w:val="auto"/>
              </w:rPr>
            </w:pPr>
            <w:r>
              <w:rPr>
                <w:rFonts w:ascii="Arial" w:cs="Arial" w:eastAsia="Arial" w:hAnsi="Arial"/>
                <w:sz w:val="14"/>
                <w:szCs w:val="14"/>
                <w:b w:val="1"/>
                <w:bCs w:val="1"/>
                <w:color w:val="auto"/>
                <w:w w:val="92"/>
              </w:rPr>
              <w:t>November 3, 2018</w:t>
            </w:r>
          </w:p>
        </w:tc>
        <w:tc>
          <w:tcPr>
            <w:tcW w:w="120" w:type="dxa"/>
            <w:vAlign w:val="bottom"/>
            <w:vMerge w:val="restart"/>
          </w:tcPr>
          <w:p>
            <w:pPr>
              <w:spacing w:after="0"/>
              <w:rPr>
                <w:sz w:val="9"/>
                <w:szCs w:val="9"/>
                <w:color w:val="auto"/>
              </w:rPr>
            </w:pPr>
          </w:p>
        </w:tc>
        <w:tc>
          <w:tcPr>
            <w:tcW w:w="140" w:type="dxa"/>
            <w:vAlign w:val="bottom"/>
          </w:tcPr>
          <w:p>
            <w:pPr>
              <w:spacing w:after="0"/>
              <w:rPr>
                <w:sz w:val="9"/>
                <w:szCs w:val="9"/>
                <w:color w:val="auto"/>
              </w:rPr>
            </w:pPr>
          </w:p>
        </w:tc>
        <w:tc>
          <w:tcPr>
            <w:tcW w:w="1220" w:type="dxa"/>
            <w:vAlign w:val="bottom"/>
            <w:vMerge w:val="restart"/>
          </w:tcPr>
          <w:p>
            <w:pPr>
              <w:jc w:val="right"/>
              <w:ind w:right="73"/>
              <w:spacing w:after="0"/>
              <w:rPr>
                <w:sz w:val="20"/>
                <w:szCs w:val="20"/>
                <w:color w:val="auto"/>
              </w:rPr>
            </w:pPr>
            <w:r>
              <w:rPr>
                <w:rFonts w:ascii="Arial" w:cs="Arial" w:eastAsia="Arial" w:hAnsi="Arial"/>
                <w:sz w:val="14"/>
                <w:szCs w:val="14"/>
                <w:b w:val="1"/>
                <w:bCs w:val="1"/>
                <w:color w:val="auto"/>
                <w:w w:val="92"/>
              </w:rPr>
              <w:t>October 28, 2017</w:t>
            </w:r>
          </w:p>
        </w:tc>
        <w:tc>
          <w:tcPr>
            <w:tcW w:w="0" w:type="dxa"/>
            <w:vAlign w:val="bottom"/>
          </w:tcPr>
          <w:p>
            <w:pPr>
              <w:spacing w:after="0"/>
              <w:rPr>
                <w:sz w:val="1"/>
                <w:szCs w:val="1"/>
                <w:color w:val="auto"/>
              </w:rPr>
            </w:pPr>
          </w:p>
        </w:tc>
      </w:tr>
      <w:tr>
        <w:trPr>
          <w:trHeight w:val="87"/>
        </w:trPr>
        <w:tc>
          <w:tcPr>
            <w:tcW w:w="4580" w:type="dxa"/>
            <w:vAlign w:val="bottom"/>
            <w:tcBorders>
              <w:bottom w:val="single" w:sz="8" w:color="CCEEFF"/>
            </w:tcBorders>
          </w:tcPr>
          <w:p>
            <w:pPr>
              <w:spacing w:after="0"/>
              <w:rPr>
                <w:sz w:val="7"/>
                <w:szCs w:val="7"/>
                <w:color w:val="auto"/>
              </w:rPr>
            </w:pPr>
          </w:p>
        </w:tc>
        <w:tc>
          <w:tcPr>
            <w:tcW w:w="1280" w:type="dxa"/>
            <w:vAlign w:val="bottom"/>
            <w:tcBorders>
              <w:bottom w:val="single" w:sz="8" w:color="auto"/>
            </w:tcBorders>
            <w:gridSpan w:val="2"/>
            <w:vMerge w:val="continue"/>
          </w:tcPr>
          <w:p>
            <w:pPr>
              <w:spacing w:after="0"/>
              <w:rPr>
                <w:sz w:val="7"/>
                <w:szCs w:val="7"/>
                <w:color w:val="auto"/>
              </w:rPr>
            </w:pPr>
          </w:p>
        </w:tc>
        <w:tc>
          <w:tcPr>
            <w:tcW w:w="120" w:type="dxa"/>
            <w:vAlign w:val="bottom"/>
            <w:tcBorders>
              <w:bottom w:val="single" w:sz="8" w:color="CCEEFF"/>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1040" w:type="dxa"/>
            <w:vAlign w:val="bottom"/>
            <w:tcBorders>
              <w:bottom w:val="single" w:sz="8" w:color="auto"/>
            </w:tcBorders>
            <w:vMerge w:val="continue"/>
          </w:tcPr>
          <w:p>
            <w:pPr>
              <w:spacing w:after="0"/>
              <w:rPr>
                <w:sz w:val="7"/>
                <w:szCs w:val="7"/>
                <w:color w:val="auto"/>
              </w:rPr>
            </w:pPr>
          </w:p>
        </w:tc>
        <w:tc>
          <w:tcPr>
            <w:tcW w:w="100" w:type="dxa"/>
            <w:vAlign w:val="bottom"/>
            <w:tcBorders>
              <w:bottom w:val="single" w:sz="8" w:color="CCEEFF"/>
            </w:tcBorders>
          </w:tcPr>
          <w:p>
            <w:pPr>
              <w:spacing w:after="0"/>
              <w:rPr>
                <w:sz w:val="7"/>
                <w:szCs w:val="7"/>
                <w:color w:val="auto"/>
              </w:rPr>
            </w:pPr>
          </w:p>
        </w:tc>
        <w:tc>
          <w:tcPr>
            <w:tcW w:w="340" w:type="dxa"/>
            <w:vAlign w:val="bottom"/>
            <w:tcBorders>
              <w:bottom w:val="single" w:sz="8" w:color="auto"/>
            </w:tcBorders>
          </w:tcPr>
          <w:p>
            <w:pPr>
              <w:spacing w:after="0"/>
              <w:rPr>
                <w:sz w:val="7"/>
                <w:szCs w:val="7"/>
                <w:color w:val="auto"/>
              </w:rPr>
            </w:pPr>
          </w:p>
        </w:tc>
        <w:tc>
          <w:tcPr>
            <w:tcW w:w="800" w:type="dxa"/>
            <w:vAlign w:val="bottom"/>
            <w:tcBorders>
              <w:bottom w:val="single" w:sz="8" w:color="auto"/>
            </w:tcBorders>
          </w:tcPr>
          <w:p>
            <w:pPr>
              <w:spacing w:after="0"/>
              <w:rPr>
                <w:sz w:val="7"/>
                <w:szCs w:val="7"/>
                <w:color w:val="auto"/>
              </w:rPr>
            </w:pPr>
          </w:p>
        </w:tc>
        <w:tc>
          <w:tcPr>
            <w:tcW w:w="100" w:type="dxa"/>
            <w:vAlign w:val="bottom"/>
            <w:tcBorders>
              <w:bottom w:val="single" w:sz="8" w:color="CCEEFF"/>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1240" w:type="dxa"/>
            <w:vAlign w:val="bottom"/>
            <w:tcBorders>
              <w:bottom w:val="single" w:sz="8" w:color="auto"/>
            </w:tcBorders>
            <w:vMerge w:val="continue"/>
          </w:tcPr>
          <w:p>
            <w:pPr>
              <w:spacing w:after="0"/>
              <w:rPr>
                <w:sz w:val="7"/>
                <w:szCs w:val="7"/>
                <w:color w:val="auto"/>
              </w:rPr>
            </w:pPr>
          </w:p>
        </w:tc>
        <w:tc>
          <w:tcPr>
            <w:tcW w:w="120" w:type="dxa"/>
            <w:vAlign w:val="bottom"/>
            <w:tcBorders>
              <w:bottom w:val="single" w:sz="8" w:color="CCEEFF"/>
            </w:tcBorders>
            <w:vMerge w:val="continue"/>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122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(loss), net</w:t>
            </w:r>
          </w:p>
        </w:tc>
        <w:tc>
          <w:tcPr>
            <w:tcW w:w="380" w:type="dxa"/>
            <w:vAlign w:val="bottom"/>
            <w:tcBorders>
              <w:bottom w:val="single" w:sz="8" w:color="CCEEFF"/>
            </w:tcBorders>
            <w:shd w:val="clear" w:color="auto" w:fill="CCEEFF"/>
          </w:tcPr>
          <w:p>
            <w:pPr>
              <w:jc w:val="right"/>
              <w:ind w:right="176"/>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(23,952)</w:t>
            </w:r>
          </w:p>
        </w:tc>
        <w:tc>
          <w:tcPr>
            <w:tcW w:w="340" w:type="dxa"/>
            <w:vAlign w:val="bottom"/>
            <w:tcBorders>
              <w:bottom w:val="single" w:sz="8" w:color="CCEEFF"/>
            </w:tcBorders>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(14,921)</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6,200</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(31,577)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16,721</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38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8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items (d)</w:t>
            </w:r>
          </w:p>
        </w:tc>
        <w:tc>
          <w:tcPr>
            <w:tcW w:w="38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1,491</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(2,286)</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(5,371)</w:t>
            </w:r>
          </w:p>
        </w:tc>
        <w:tc>
          <w:tcPr>
            <w:tcW w:w="0" w:type="dxa"/>
            <w:vAlign w:val="bottom"/>
          </w:tcPr>
          <w:p>
            <w:pPr>
              <w:spacing w:after="0"/>
              <w:rPr>
                <w:sz w:val="1"/>
                <w:szCs w:val="1"/>
                <w:color w:val="auto"/>
              </w:rPr>
            </w:pP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Write-off of debt issuance costs (e)</w:t>
            </w:r>
          </w:p>
        </w:tc>
        <w:tc>
          <w:tcPr>
            <w:tcW w:w="380" w:type="dxa"/>
            <w:vAlign w:val="bottom"/>
          </w:tcPr>
          <w:p>
            <w:pPr>
              <w:spacing w:after="0"/>
              <w:rPr>
                <w:sz w:val="21"/>
                <w:szCs w:val="21"/>
                <w:color w:val="auto"/>
              </w:rPr>
            </w:pPr>
          </w:p>
        </w:tc>
        <w:tc>
          <w:tcPr>
            <w:tcW w:w="900" w:type="dxa"/>
            <w:vAlign w:val="bottom"/>
          </w:tcPr>
          <w:p>
            <w:pPr>
              <w:jc w:val="right"/>
              <w:ind w:right="10"/>
              <w:spacing w:after="0"/>
              <w:rPr>
                <w:sz w:val="20"/>
                <w:szCs w:val="20"/>
                <w:color w:val="auto"/>
              </w:rPr>
            </w:pPr>
            <w:r>
              <w:rPr>
                <w:rFonts w:ascii="Arial" w:cs="Arial" w:eastAsia="Arial" w:hAnsi="Arial"/>
                <w:sz w:val="18"/>
                <w:szCs w:val="18"/>
                <w:color w:val="auto"/>
              </w:rPr>
              <w:t>850</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ind w:right="35"/>
              <w:spacing w:after="0"/>
              <w:rPr>
                <w:sz w:val="20"/>
                <w:szCs w:val="20"/>
                <w:color w:val="auto"/>
              </w:rPr>
            </w:pPr>
            <w:r>
              <w:rPr>
                <w:rFonts w:ascii="Arial" w:cs="Arial" w:eastAsia="Arial" w:hAnsi="Arial"/>
                <w:sz w:val="18"/>
                <w:szCs w:val="18"/>
                <w:color w:val="auto"/>
              </w:rPr>
              <w:t>6,104</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ind w:right="15"/>
              <w:spacing w:after="0"/>
              <w:rPr>
                <w:sz w:val="20"/>
                <w:szCs w:val="20"/>
                <w:color w:val="auto"/>
              </w:rPr>
            </w:pPr>
            <w:r>
              <w:rPr>
                <w:rFonts w:ascii="Arial" w:cs="Arial" w:eastAsia="Arial" w:hAnsi="Arial"/>
                <w:sz w:val="18"/>
                <w:szCs w:val="18"/>
                <w:color w:val="auto"/>
              </w:rPr>
              <w:t>6,954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58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38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2,341</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5,983</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(2,286)</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6,812</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(5,371)</w:t>
            </w:r>
          </w:p>
        </w:tc>
        <w:tc>
          <w:tcPr>
            <w:tcW w:w="0" w:type="dxa"/>
            <w:vAlign w:val="bottom"/>
          </w:tcPr>
          <w:p>
            <w:pPr>
              <w:spacing w:after="0"/>
              <w:rPr>
                <w:sz w:val="1"/>
                <w:szCs w:val="1"/>
                <w:color w:val="auto"/>
              </w:rPr>
            </w:pPr>
          </w:p>
        </w:tc>
      </w:tr>
      <w:tr>
        <w:trPr>
          <w:trHeight w:val="237"/>
        </w:trPr>
        <w:tc>
          <w:tcPr>
            <w:tcW w:w="4580" w:type="dxa"/>
            <w:vAlign w:val="bottom"/>
          </w:tcPr>
          <w:p>
            <w:pPr>
              <w:ind w:left="40"/>
              <w:spacing w:after="0"/>
              <w:rPr>
                <w:sz w:val="20"/>
                <w:szCs w:val="20"/>
                <w:color w:val="auto"/>
              </w:rPr>
            </w:pPr>
            <w:r>
              <w:rPr>
                <w:rFonts w:ascii="Arial" w:cs="Arial" w:eastAsia="Arial" w:hAnsi="Arial"/>
                <w:sz w:val="18"/>
                <w:szCs w:val="18"/>
                <w:color w:val="auto"/>
              </w:rPr>
              <w:t>Total non-GAAP interest and other income (loss), net</w:t>
            </w:r>
          </w:p>
        </w:tc>
        <w:tc>
          <w:tcPr>
            <w:tcW w:w="380" w:type="dxa"/>
            <w:vAlign w:val="bottom"/>
            <w:tcBorders>
              <w:top w:val="single" w:sz="8" w:color="auto"/>
            </w:tcBorders>
          </w:tcPr>
          <w:p>
            <w:pPr>
              <w:jc w:val="right"/>
              <w:ind w:right="176"/>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(21,611)</w:t>
            </w:r>
          </w:p>
        </w:tc>
        <w:tc>
          <w:tcPr>
            <w:tcW w:w="12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(8,938)</w:t>
            </w:r>
          </w:p>
        </w:tc>
        <w:tc>
          <w:tcPr>
            <w:tcW w:w="100" w:type="dxa"/>
            <w:vAlign w:val="bottom"/>
          </w:tcPr>
          <w:p>
            <w:pPr>
              <w:spacing w:after="0"/>
              <w:rPr>
                <w:sz w:val="20"/>
                <w:szCs w:val="20"/>
                <w:color w:val="auto"/>
              </w:rPr>
            </w:pPr>
          </w:p>
        </w:tc>
        <w:tc>
          <w:tcPr>
            <w:tcW w:w="34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8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3,914</w:t>
            </w:r>
          </w:p>
        </w:tc>
        <w:tc>
          <w:tcPr>
            <w:tcW w:w="10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(24,765)</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11,350</w:t>
            </w:r>
          </w:p>
        </w:tc>
        <w:tc>
          <w:tcPr>
            <w:tcW w:w="0" w:type="dxa"/>
            <w:vAlign w:val="bottom"/>
          </w:tcPr>
          <w:p>
            <w:pPr>
              <w:spacing w:after="0"/>
              <w:rPr>
                <w:sz w:val="1"/>
                <w:szCs w:val="1"/>
                <w:color w:val="auto"/>
              </w:rPr>
            </w:pPr>
          </w:p>
        </w:tc>
      </w:tr>
      <w:tr>
        <w:trPr>
          <w:trHeight w:val="67"/>
        </w:trPr>
        <w:tc>
          <w:tcPr>
            <w:tcW w:w="458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8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58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8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58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8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580" w:type="dxa"/>
            <w:vAlign w:val="bottom"/>
          </w:tcPr>
          <w:p>
            <w:pPr>
              <w:ind w:left="40"/>
              <w:spacing w:after="0"/>
              <w:rPr>
                <w:sz w:val="20"/>
                <w:szCs w:val="20"/>
                <w:color w:val="auto"/>
              </w:rPr>
            </w:pPr>
            <w:r>
              <w:rPr>
                <w:rFonts w:ascii="Arial" w:cs="Arial" w:eastAsia="Arial" w:hAnsi="Arial"/>
                <w:sz w:val="18"/>
                <w:szCs w:val="18"/>
                <w:color w:val="auto"/>
              </w:rPr>
              <w:t>GAAP net income (loss)</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(53,767)</w:t>
            </w:r>
          </w:p>
        </w:tc>
        <w:tc>
          <w:tcPr>
            <w:tcW w:w="12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200,188</w:t>
            </w:r>
          </w:p>
        </w:tc>
        <w:tc>
          <w:tcPr>
            <w:tcW w:w="100" w:type="dxa"/>
            <w:vAlign w:val="bottom"/>
          </w:tcPr>
          <w:p>
            <w:pPr>
              <w:spacing w:after="0"/>
              <w:rPr>
                <w:sz w:val="20"/>
                <w:szCs w:val="20"/>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81,604</w:t>
            </w:r>
          </w:p>
        </w:tc>
        <w:tc>
          <w:tcPr>
            <w:tcW w:w="120" w:type="dxa"/>
            <w:vAlign w:val="bottom"/>
          </w:tcPr>
          <w:p>
            <w:pPr>
              <w:spacing w:after="0"/>
              <w:rPr>
                <w:sz w:val="20"/>
                <w:szCs w:val="20"/>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472,068</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70"/>
        </w:trPr>
        <w:tc>
          <w:tcPr>
            <w:tcW w:w="458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w w:val="96"/>
              </w:rPr>
              <w:t>Less: Income from discontinued operations, net of tax</w:t>
            </w:r>
          </w:p>
        </w:tc>
        <w:tc>
          <w:tcPr>
            <w:tcW w:w="3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50,851</w:t>
            </w:r>
          </w:p>
        </w:tc>
        <w:tc>
          <w:tcPr>
            <w:tcW w:w="10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87,689</w:t>
            </w:r>
          </w:p>
        </w:tc>
      </w:tr>
      <w:tr>
        <w:trPr>
          <w:trHeight w:val="237"/>
        </w:trPr>
        <w:tc>
          <w:tcPr>
            <w:tcW w:w="4580" w:type="dxa"/>
            <w:vAlign w:val="bottom"/>
          </w:tcPr>
          <w:p>
            <w:pPr>
              <w:ind w:left="40"/>
              <w:spacing w:after="0"/>
              <w:rPr>
                <w:sz w:val="20"/>
                <w:szCs w:val="20"/>
                <w:color w:val="auto"/>
              </w:rPr>
            </w:pPr>
            <w:r>
              <w:rPr>
                <w:rFonts w:ascii="Arial" w:cs="Arial" w:eastAsia="Arial" w:hAnsi="Arial"/>
                <w:sz w:val="18"/>
                <w:szCs w:val="18"/>
                <w:color w:val="auto"/>
              </w:rPr>
              <w:t>GAAP net income (loss) from continuing operations</w:t>
            </w:r>
          </w:p>
        </w:tc>
        <w:tc>
          <w:tcPr>
            <w:tcW w:w="3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(53,767)</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6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149,337</w:t>
            </w:r>
          </w:p>
        </w:tc>
        <w:tc>
          <w:tcPr>
            <w:tcW w:w="10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81,604</w:t>
            </w:r>
          </w:p>
        </w:tc>
        <w:tc>
          <w:tcPr>
            <w:tcW w:w="1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384,379</w:t>
            </w:r>
          </w:p>
        </w:tc>
      </w:tr>
      <w:tr>
        <w:trPr>
          <w:trHeight w:val="27"/>
        </w:trPr>
        <w:tc>
          <w:tcPr>
            <w:tcW w:w="458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44"/>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Other cost of goods sold (a)</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105,841</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22,933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128,774</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3,000</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50,240</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73,423</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20,639</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147,515</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63,745</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w w:val="92"/>
              </w:rPr>
              <w:t>Restructuring related charges in operating expenses (b)</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27,031</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35,415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3,284</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64,013</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8,455</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29"/>
        </w:trPr>
        <w:tc>
          <w:tcPr>
            <w:tcW w:w="45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Restructuring related items in interest and other</w:t>
            </w:r>
          </w:p>
        </w:tc>
        <w:tc>
          <w:tcPr>
            <w:tcW w:w="36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r>
      <w:tr>
        <w:trPr>
          <w:trHeight w:val="237"/>
        </w:trPr>
        <w:tc>
          <w:tcPr>
            <w:tcW w:w="458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income, net (d)</w:t>
            </w:r>
          </w:p>
        </w:tc>
        <w:tc>
          <w:tcPr>
            <w:tcW w:w="36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1,491</w:t>
            </w:r>
          </w:p>
        </w:tc>
        <w:tc>
          <w:tcPr>
            <w:tcW w:w="12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(2,286)</w:t>
            </w:r>
          </w:p>
        </w:tc>
        <w:tc>
          <w:tcPr>
            <w:tcW w:w="10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w:t>
            </w: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(5,371)</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Amortization of acquired intangible assets</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78,692</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25,939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1,076</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104,630</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3,212</w:t>
            </w:r>
          </w:p>
        </w:tc>
      </w:tr>
      <w:tr>
        <w:trPr>
          <w:trHeight w:val="27"/>
        </w:trPr>
        <w:tc>
          <w:tcPr>
            <w:tcW w:w="4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Write-off of debt issuance costs (e)</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850</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6,104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6,954</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4580" w:type="dxa"/>
            <w:vAlign w:val="bottom"/>
          </w:tcPr>
          <w:p>
            <w:pPr>
              <w:ind w:left="460"/>
              <w:spacing w:after="0"/>
              <w:rPr>
                <w:sz w:val="20"/>
                <w:szCs w:val="20"/>
                <w:color w:val="auto"/>
              </w:rPr>
            </w:pPr>
            <w:r>
              <w:rPr>
                <w:rFonts w:ascii="Arial" w:cs="Arial" w:eastAsia="Arial" w:hAnsi="Arial"/>
                <w:sz w:val="18"/>
                <w:szCs w:val="18"/>
                <w:color w:val="auto"/>
              </w:rPr>
              <w:t>Other operating expenses (c)</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11,222</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28,229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120</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54,703</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4,110</w:t>
            </w:r>
          </w:p>
        </w:tc>
      </w:tr>
      <w:tr>
        <w:trPr>
          <w:trHeight w:val="27"/>
        </w:trPr>
        <w:tc>
          <w:tcPr>
            <w:tcW w:w="458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4"/>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Pre-tax total special items</w:t>
            </w:r>
          </w:p>
        </w:tc>
        <w:tc>
          <w:tcPr>
            <w:tcW w:w="36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275,367</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191,922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22,833</w:t>
            </w:r>
          </w:p>
        </w:tc>
        <w:tc>
          <w:tcPr>
            <w:tcW w:w="10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506,447</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77,151</w:t>
            </w:r>
          </w:p>
        </w:tc>
      </w:tr>
      <w:tr>
        <w:trPr>
          <w:trHeight w:val="237"/>
        </w:trPr>
        <w:tc>
          <w:tcPr>
            <w:tcW w:w="4580" w:type="dxa"/>
            <w:vAlign w:val="bottom"/>
          </w:tcPr>
          <w:p>
            <w:pPr>
              <w:ind w:left="440"/>
              <w:spacing w:after="0"/>
              <w:rPr>
                <w:sz w:val="20"/>
                <w:szCs w:val="20"/>
                <w:color w:val="auto"/>
              </w:rPr>
            </w:pPr>
            <w:r>
              <w:rPr>
                <w:rFonts w:ascii="Arial" w:cs="Arial" w:eastAsia="Arial" w:hAnsi="Arial"/>
                <w:sz w:val="18"/>
                <w:szCs w:val="18"/>
                <w:color w:val="auto"/>
              </w:rPr>
              <w:t>Other income tax effects and adjustments (f)</w:t>
            </w:r>
          </w:p>
        </w:tc>
        <w:tc>
          <w:tcPr>
            <w:tcW w:w="3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55</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(36,720)</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(398)</w:t>
            </w:r>
          </w:p>
        </w:tc>
        <w:tc>
          <w:tcPr>
            <w:tcW w:w="10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(39,763)</w:t>
            </w:r>
          </w:p>
        </w:tc>
        <w:tc>
          <w:tcPr>
            <w:tcW w:w="1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(10,760)</w:t>
            </w:r>
          </w:p>
        </w:tc>
      </w:tr>
      <w:tr>
        <w:trPr>
          <w:trHeight w:val="27"/>
        </w:trPr>
        <w:tc>
          <w:tcPr>
            <w:tcW w:w="458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9"/>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221,655</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161,961</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171,772</w:t>
            </w:r>
          </w:p>
        </w:tc>
        <w:tc>
          <w:tcPr>
            <w:tcW w:w="10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548,288</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450,770</w:t>
            </w:r>
          </w:p>
        </w:tc>
      </w:tr>
      <w:tr>
        <w:trPr>
          <w:trHeight w:val="20"/>
        </w:trPr>
        <w:tc>
          <w:tcPr>
            <w:tcW w:w="458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5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r>
      <w:tr>
        <w:trPr>
          <w:trHeight w:val="324"/>
        </w:trPr>
        <w:tc>
          <w:tcPr>
            <w:tcW w:w="458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8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40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40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64"/>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basic</w:t>
            </w:r>
          </w:p>
        </w:tc>
        <w:tc>
          <w:tcPr>
            <w:tcW w:w="36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657,519</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9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552,238</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spacing w:after="0"/>
              <w:rPr>
                <w:sz w:val="22"/>
                <w:szCs w:val="22"/>
                <w:color w:val="auto"/>
              </w:rPr>
            </w:pPr>
          </w:p>
        </w:tc>
        <w:tc>
          <w:tcPr>
            <w:tcW w:w="86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494,096</w:t>
            </w:r>
          </w:p>
        </w:tc>
        <w:tc>
          <w:tcPr>
            <w:tcW w:w="10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auto"/>
            </w:tcBorders>
            <w:shd w:val="clear" w:color="auto" w:fill="CCEEFF"/>
          </w:tcPr>
          <w:p>
            <w:pPr>
              <w:spacing w:after="0"/>
              <w:rPr>
                <w:sz w:val="22"/>
                <w:szCs w:val="22"/>
                <w:color w:val="auto"/>
              </w:rPr>
            </w:pPr>
          </w:p>
        </w:tc>
        <w:tc>
          <w:tcPr>
            <w:tcW w:w="96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569,031</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auto"/>
            </w:tcBorders>
            <w:shd w:val="clear" w:color="auto" w:fill="CCEEFF"/>
          </w:tcPr>
          <w:p>
            <w:pPr>
              <w:spacing w:after="0"/>
              <w:rPr>
                <w:sz w:val="22"/>
                <w:szCs w:val="22"/>
                <w:color w:val="auto"/>
              </w:rPr>
            </w:pPr>
          </w:p>
        </w:tc>
        <w:tc>
          <w:tcPr>
            <w:tcW w:w="96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499,568</w:t>
            </w:r>
          </w:p>
        </w:tc>
        <w:tc>
          <w:tcPr>
            <w:tcW w:w="0" w:type="dxa"/>
            <w:vAlign w:val="bottom"/>
          </w:tcPr>
          <w:p>
            <w:pPr>
              <w:spacing w:after="0"/>
              <w:rPr>
                <w:sz w:val="1"/>
                <w:szCs w:val="1"/>
                <w:color w:val="auto"/>
              </w:rPr>
            </w:pPr>
          </w:p>
        </w:tc>
      </w:tr>
      <w:tr>
        <w:trPr>
          <w:trHeight w:val="20"/>
        </w:trPr>
        <w:tc>
          <w:tcPr>
            <w:tcW w:w="4580" w:type="dxa"/>
            <w:vAlign w:val="bottom"/>
            <w:vMerge w:val="restart"/>
          </w:tcPr>
          <w:p>
            <w:pPr>
              <w:ind w:left="40"/>
              <w:spacing w:after="0"/>
              <w:rPr>
                <w:sz w:val="20"/>
                <w:szCs w:val="20"/>
                <w:color w:val="auto"/>
              </w:rPr>
            </w:pPr>
            <w:r>
              <w:rPr>
                <w:rFonts w:ascii="Arial" w:cs="Arial" w:eastAsia="Arial" w:hAnsi="Arial"/>
                <w:sz w:val="18"/>
                <w:szCs w:val="18"/>
                <w:color w:val="auto"/>
              </w:rPr>
              <w:t>Weighted average shares — diluted</w:t>
            </w:r>
          </w:p>
        </w:tc>
        <w:tc>
          <w:tcPr>
            <w:tcW w:w="36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4580" w:type="dxa"/>
            <w:vAlign w:val="bottom"/>
            <w:vMerge w:val="continue"/>
          </w:tcPr>
          <w:p>
            <w:pPr>
              <w:spacing w:after="0"/>
              <w:rPr>
                <w:sz w:val="20"/>
                <w:szCs w:val="20"/>
                <w:color w:val="auto"/>
              </w:rPr>
            </w:pPr>
          </w:p>
        </w:tc>
        <w:tc>
          <w:tcPr>
            <w:tcW w:w="360" w:type="dxa"/>
            <w:vAlign w:val="bottom"/>
          </w:tcPr>
          <w:p>
            <w:pPr>
              <w:spacing w:after="0"/>
              <w:rPr>
                <w:sz w:val="20"/>
                <w:szCs w:val="20"/>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657,519</w:t>
            </w:r>
          </w:p>
        </w:tc>
        <w:tc>
          <w:tcPr>
            <w:tcW w:w="1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562,149</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504,903</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578,872</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510,935</w:t>
            </w:r>
          </w:p>
        </w:tc>
        <w:tc>
          <w:tcPr>
            <w:tcW w:w="0" w:type="dxa"/>
            <w:vAlign w:val="bottom"/>
          </w:tcPr>
          <w:p>
            <w:pPr>
              <w:spacing w:after="0"/>
              <w:rPr>
                <w:sz w:val="1"/>
                <w:szCs w:val="1"/>
                <w:color w:val="auto"/>
              </w:rPr>
            </w:pPr>
          </w:p>
        </w:tc>
      </w:tr>
      <w:tr>
        <w:trPr>
          <w:trHeight w:val="67"/>
        </w:trPr>
        <w:tc>
          <w:tcPr>
            <w:tcW w:w="4580" w:type="dxa"/>
            <w:vAlign w:val="bottom"/>
            <w:tcBorders>
              <w:bottom w:val="single" w:sz="8" w:color="CCEEFF"/>
            </w:tcBorders>
          </w:tcPr>
          <w:p>
            <w:pPr>
              <w:spacing w:after="0"/>
              <w:rPr>
                <w:sz w:val="5"/>
                <w:szCs w:val="5"/>
                <w:color w:val="auto"/>
              </w:rPr>
            </w:pPr>
          </w:p>
        </w:tc>
        <w:tc>
          <w:tcPr>
            <w:tcW w:w="36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8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580" w:type="dxa"/>
            <w:vAlign w:val="bottom"/>
            <w:shd w:val="clear" w:color="auto" w:fill="CCEEFF"/>
          </w:tcPr>
          <w:p>
            <w:pPr>
              <w:spacing w:after="0"/>
              <w:rPr>
                <w:sz w:val="21"/>
                <w:szCs w:val="21"/>
                <w:color w:val="auto"/>
              </w:rPr>
            </w:pPr>
          </w:p>
        </w:tc>
        <w:tc>
          <w:tcPr>
            <w:tcW w:w="36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8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400" w:type="dxa"/>
            <w:vAlign w:val="bottom"/>
            <w:shd w:val="clear" w:color="auto" w:fill="CCEEFF"/>
          </w:tcPr>
          <w:p>
            <w:pPr>
              <w:spacing w:after="0"/>
              <w:rPr>
                <w:sz w:val="21"/>
                <w:szCs w:val="21"/>
                <w:color w:val="auto"/>
              </w:rPr>
            </w:pPr>
          </w:p>
        </w:tc>
        <w:tc>
          <w:tcPr>
            <w:tcW w:w="9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400" w:type="dxa"/>
            <w:vAlign w:val="bottom"/>
            <w:shd w:val="clear" w:color="auto" w:fill="CCEEFF"/>
          </w:tcPr>
          <w:p>
            <w:pPr>
              <w:spacing w:after="0"/>
              <w:rPr>
                <w:sz w:val="21"/>
                <w:szCs w:val="21"/>
                <w:color w:val="auto"/>
              </w:rPr>
            </w:pPr>
          </w:p>
        </w:tc>
        <w:tc>
          <w:tcPr>
            <w:tcW w:w="9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4580" w:type="dxa"/>
            <w:vAlign w:val="bottom"/>
          </w:tcPr>
          <w:p>
            <w:pPr>
              <w:ind w:left="40"/>
              <w:spacing w:after="0"/>
              <w:rPr>
                <w:sz w:val="20"/>
                <w:szCs w:val="20"/>
                <w:color w:val="auto"/>
              </w:rPr>
            </w:pPr>
            <w:r>
              <w:rPr>
                <w:rFonts w:ascii="Arial" w:cs="Arial" w:eastAsia="Arial" w:hAnsi="Arial"/>
                <w:sz w:val="18"/>
                <w:szCs w:val="18"/>
                <w:color w:val="auto"/>
                <w:w w:val="98"/>
              </w:rPr>
              <w:t>GAAP diluted net income (loss) per share from continuing</w:t>
            </w:r>
          </w:p>
        </w:tc>
        <w:tc>
          <w:tcPr>
            <w:tcW w:w="360" w:type="dxa"/>
            <w:vAlign w:val="bottom"/>
            <w:vMerge w:val="restart"/>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vMerge w:val="restart"/>
          </w:tcPr>
          <w:p>
            <w:pPr>
              <w:jc w:val="right"/>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19"/>
                <w:szCs w:val="19"/>
                <w:color w:val="auto"/>
              </w:rPr>
            </w:pPr>
          </w:p>
        </w:tc>
        <w:tc>
          <w:tcPr>
            <w:tcW w:w="340" w:type="dxa"/>
            <w:vAlign w:val="bottom"/>
            <w:vMerge w:val="restart"/>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vMerge w:val="restart"/>
          </w:tcPr>
          <w:p>
            <w:pPr>
              <w:jc w:val="right"/>
              <w:ind w:right="30"/>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19"/>
                <w:szCs w:val="19"/>
                <w:color w:val="auto"/>
              </w:rPr>
            </w:pPr>
          </w:p>
        </w:tc>
        <w:tc>
          <w:tcPr>
            <w:tcW w:w="280" w:type="dxa"/>
            <w:vAlign w:val="bottom"/>
            <w:vMerge w:val="restart"/>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vMerge w:val="restart"/>
          </w:tcPr>
          <w:p>
            <w:pPr>
              <w:jc w:val="right"/>
              <w:ind w:right="30"/>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19"/>
                <w:szCs w:val="19"/>
                <w:color w:val="auto"/>
              </w:rPr>
            </w:pPr>
          </w:p>
        </w:tc>
        <w:tc>
          <w:tcPr>
            <w:tcW w:w="400" w:type="dxa"/>
            <w:vAlign w:val="bottom"/>
            <w:vMerge w:val="restart"/>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vMerge w:val="restart"/>
          </w:tcPr>
          <w:p>
            <w:pPr>
              <w:jc w:val="right"/>
              <w:ind w:right="10"/>
              <w:spacing w:after="0"/>
              <w:rPr>
                <w:sz w:val="20"/>
                <w:szCs w:val="20"/>
                <w:color w:val="auto"/>
              </w:rPr>
            </w:pPr>
            <w:r>
              <w:rPr>
                <w:rFonts w:ascii="Arial" w:cs="Arial" w:eastAsia="Arial" w:hAnsi="Arial"/>
                <w:sz w:val="18"/>
                <w:szCs w:val="18"/>
                <w:color w:val="auto"/>
              </w:rPr>
              <w:t>0.14</w:t>
            </w:r>
          </w:p>
        </w:tc>
        <w:tc>
          <w:tcPr>
            <w:tcW w:w="120" w:type="dxa"/>
            <w:vAlign w:val="bottom"/>
          </w:tcPr>
          <w:p>
            <w:pPr>
              <w:spacing w:after="0"/>
              <w:rPr>
                <w:sz w:val="19"/>
                <w:szCs w:val="19"/>
                <w:color w:val="auto"/>
              </w:rPr>
            </w:pPr>
          </w:p>
        </w:tc>
        <w:tc>
          <w:tcPr>
            <w:tcW w:w="400" w:type="dxa"/>
            <w:vAlign w:val="bottom"/>
            <w:vMerge w:val="restart"/>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vMerge w:val="restart"/>
          </w:tcPr>
          <w:p>
            <w:pPr>
              <w:jc w:val="right"/>
              <w:ind w:right="10"/>
              <w:spacing w:after="0"/>
              <w:rPr>
                <w:sz w:val="20"/>
                <w:szCs w:val="20"/>
                <w:color w:val="auto"/>
              </w:rPr>
            </w:pPr>
            <w:r>
              <w:rPr>
                <w:rFonts w:ascii="Arial" w:cs="Arial" w:eastAsia="Arial" w:hAnsi="Arial"/>
                <w:sz w:val="18"/>
                <w:szCs w:val="18"/>
                <w:color w:val="auto"/>
              </w:rPr>
              <w:t>0.75</w:t>
            </w:r>
          </w:p>
        </w:tc>
        <w:tc>
          <w:tcPr>
            <w:tcW w:w="0" w:type="dxa"/>
            <w:vAlign w:val="bottom"/>
          </w:tcPr>
          <w:p>
            <w:pPr>
              <w:spacing w:after="0"/>
              <w:rPr>
                <w:sz w:val="1"/>
                <w:szCs w:val="1"/>
                <w:color w:val="auto"/>
              </w:rPr>
            </w:pPr>
          </w:p>
        </w:tc>
      </w:tr>
      <w:tr>
        <w:trPr>
          <w:trHeight w:val="277"/>
        </w:trPr>
        <w:tc>
          <w:tcPr>
            <w:tcW w:w="4580" w:type="dxa"/>
            <w:vAlign w:val="bottom"/>
            <w:tcBorders>
              <w:bottom w:val="single" w:sz="8" w:color="CCEEFF"/>
            </w:tcBorders>
          </w:tcPr>
          <w:p>
            <w:pPr>
              <w:ind w:left="260"/>
              <w:spacing w:after="0"/>
              <w:rPr>
                <w:sz w:val="20"/>
                <w:szCs w:val="20"/>
                <w:color w:val="auto"/>
              </w:rPr>
            </w:pPr>
            <w:r>
              <w:rPr>
                <w:rFonts w:ascii="Arial" w:cs="Arial" w:eastAsia="Arial" w:hAnsi="Arial"/>
                <w:sz w:val="18"/>
                <w:szCs w:val="18"/>
                <w:color w:val="auto"/>
              </w:rPr>
              <w:t>operations</w:t>
            </w:r>
          </w:p>
        </w:tc>
        <w:tc>
          <w:tcPr>
            <w:tcW w:w="360" w:type="dxa"/>
            <w:vAlign w:val="bottom"/>
            <w:tcBorders>
              <w:bottom w:val="single" w:sz="8" w:color="auto"/>
            </w:tcBorders>
            <w:vMerge w:val="continue"/>
          </w:tcPr>
          <w:p>
            <w:pPr>
              <w:spacing w:after="0"/>
              <w:rPr>
                <w:sz w:val="24"/>
                <w:szCs w:val="24"/>
                <w:color w:val="auto"/>
              </w:rPr>
            </w:pPr>
          </w:p>
        </w:tc>
        <w:tc>
          <w:tcPr>
            <w:tcW w:w="920" w:type="dxa"/>
            <w:vAlign w:val="bottom"/>
            <w:tcBorders>
              <w:bottom w:val="single" w:sz="8" w:color="auto"/>
            </w:tcBorders>
            <w:vMerge w:val="continue"/>
          </w:tcPr>
          <w:p>
            <w:pPr>
              <w:spacing w:after="0"/>
              <w:rPr>
                <w:sz w:val="24"/>
                <w:szCs w:val="24"/>
                <w:color w:val="auto"/>
              </w:rPr>
            </w:pPr>
          </w:p>
        </w:tc>
        <w:tc>
          <w:tcPr>
            <w:tcW w:w="120" w:type="dxa"/>
            <w:vAlign w:val="bottom"/>
            <w:tcBorders>
              <w:bottom w:val="single" w:sz="8" w:color="CCEEFF"/>
            </w:tcBorders>
          </w:tcPr>
          <w:p>
            <w:pPr>
              <w:spacing w:after="0"/>
              <w:rPr>
                <w:sz w:val="24"/>
                <w:szCs w:val="24"/>
                <w:color w:val="auto"/>
              </w:rPr>
            </w:pPr>
          </w:p>
        </w:tc>
        <w:tc>
          <w:tcPr>
            <w:tcW w:w="340" w:type="dxa"/>
            <w:vAlign w:val="bottom"/>
            <w:tcBorders>
              <w:bottom w:val="single" w:sz="8" w:color="auto"/>
            </w:tcBorders>
            <w:vMerge w:val="continue"/>
          </w:tcPr>
          <w:p>
            <w:pPr>
              <w:spacing w:after="0"/>
              <w:rPr>
                <w:sz w:val="24"/>
                <w:szCs w:val="24"/>
                <w:color w:val="auto"/>
              </w:rPr>
            </w:pPr>
          </w:p>
        </w:tc>
        <w:tc>
          <w:tcPr>
            <w:tcW w:w="920" w:type="dxa"/>
            <w:vAlign w:val="bottom"/>
            <w:tcBorders>
              <w:bottom w:val="single" w:sz="8" w:color="auto"/>
            </w:tcBorders>
            <w:vMerge w:val="continue"/>
          </w:tcPr>
          <w:p>
            <w:pPr>
              <w:spacing w:after="0"/>
              <w:rPr>
                <w:sz w:val="24"/>
                <w:szCs w:val="24"/>
                <w:color w:val="auto"/>
              </w:rPr>
            </w:pP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vMerge w:val="continue"/>
          </w:tcPr>
          <w:p>
            <w:pPr>
              <w:spacing w:after="0"/>
              <w:rPr>
                <w:sz w:val="24"/>
                <w:szCs w:val="24"/>
                <w:color w:val="auto"/>
              </w:rPr>
            </w:pPr>
          </w:p>
        </w:tc>
        <w:tc>
          <w:tcPr>
            <w:tcW w:w="860" w:type="dxa"/>
            <w:vAlign w:val="bottom"/>
            <w:tcBorders>
              <w:bottom w:val="single" w:sz="8" w:color="auto"/>
            </w:tcBorders>
            <w:vMerge w:val="continue"/>
          </w:tcPr>
          <w:p>
            <w:pPr>
              <w:spacing w:after="0"/>
              <w:rPr>
                <w:sz w:val="24"/>
                <w:szCs w:val="24"/>
                <w:color w:val="auto"/>
              </w:rPr>
            </w:pPr>
          </w:p>
        </w:tc>
        <w:tc>
          <w:tcPr>
            <w:tcW w:w="100" w:type="dxa"/>
            <w:vAlign w:val="bottom"/>
            <w:tcBorders>
              <w:bottom w:val="single" w:sz="8" w:color="CCEEFF"/>
            </w:tcBorders>
          </w:tcPr>
          <w:p>
            <w:pPr>
              <w:spacing w:after="0"/>
              <w:rPr>
                <w:sz w:val="24"/>
                <w:szCs w:val="24"/>
                <w:color w:val="auto"/>
              </w:rPr>
            </w:pPr>
          </w:p>
        </w:tc>
        <w:tc>
          <w:tcPr>
            <w:tcW w:w="400" w:type="dxa"/>
            <w:vAlign w:val="bottom"/>
            <w:tcBorders>
              <w:bottom w:val="single" w:sz="8" w:color="auto"/>
            </w:tcBorders>
            <w:vMerge w:val="continue"/>
          </w:tcPr>
          <w:p>
            <w:pPr>
              <w:spacing w:after="0"/>
              <w:rPr>
                <w:sz w:val="24"/>
                <w:szCs w:val="24"/>
                <w:color w:val="auto"/>
              </w:rPr>
            </w:pPr>
          </w:p>
        </w:tc>
        <w:tc>
          <w:tcPr>
            <w:tcW w:w="960" w:type="dxa"/>
            <w:vAlign w:val="bottom"/>
            <w:tcBorders>
              <w:bottom w:val="single" w:sz="8" w:color="auto"/>
            </w:tcBorders>
            <w:vMerge w:val="continue"/>
          </w:tcPr>
          <w:p>
            <w:pPr>
              <w:spacing w:after="0"/>
              <w:rPr>
                <w:sz w:val="24"/>
                <w:szCs w:val="24"/>
                <w:color w:val="auto"/>
              </w:rPr>
            </w:pPr>
          </w:p>
        </w:tc>
        <w:tc>
          <w:tcPr>
            <w:tcW w:w="120" w:type="dxa"/>
            <w:vAlign w:val="bottom"/>
            <w:tcBorders>
              <w:bottom w:val="single" w:sz="8" w:color="CCEEFF"/>
            </w:tcBorders>
          </w:tcPr>
          <w:p>
            <w:pPr>
              <w:spacing w:after="0"/>
              <w:rPr>
                <w:sz w:val="24"/>
                <w:szCs w:val="24"/>
                <w:color w:val="auto"/>
              </w:rPr>
            </w:pPr>
          </w:p>
        </w:tc>
        <w:tc>
          <w:tcPr>
            <w:tcW w:w="400" w:type="dxa"/>
            <w:vAlign w:val="bottom"/>
            <w:tcBorders>
              <w:bottom w:val="single" w:sz="8" w:color="auto"/>
            </w:tcBorders>
            <w:vMerge w:val="continue"/>
          </w:tcPr>
          <w:p>
            <w:pPr>
              <w:spacing w:after="0"/>
              <w:rPr>
                <w:sz w:val="24"/>
                <w:szCs w:val="24"/>
                <w:color w:val="auto"/>
              </w:rPr>
            </w:pPr>
          </w:p>
        </w:tc>
        <w:tc>
          <w:tcPr>
            <w:tcW w:w="960" w:type="dxa"/>
            <w:vAlign w:val="bottom"/>
            <w:tcBorders>
              <w:bottom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4580" w:type="dxa"/>
            <w:vAlign w:val="bottom"/>
            <w:shd w:val="clear" w:color="auto" w:fill="CCEEFF"/>
          </w:tcPr>
          <w:p>
            <w:pPr>
              <w:ind w:left="40"/>
              <w:spacing w:after="0" w:line="189" w:lineRule="exact"/>
              <w:rPr>
                <w:sz w:val="20"/>
                <w:szCs w:val="20"/>
                <w:color w:val="auto"/>
              </w:rPr>
            </w:pPr>
            <w:r>
              <w:rPr>
                <w:rFonts w:ascii="Arial" w:cs="Arial" w:eastAsia="Arial" w:hAnsi="Arial"/>
                <w:sz w:val="18"/>
                <w:szCs w:val="18"/>
                <w:color w:val="auto"/>
              </w:rPr>
              <w:t>Non-GAAP diluted net income per share from continuing</w:t>
            </w:r>
          </w:p>
        </w:tc>
        <w:tc>
          <w:tcPr>
            <w:tcW w:w="360" w:type="dxa"/>
            <w:vAlign w:val="bottom"/>
            <w:vMerge w:val="restart"/>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rPr>
              <w:t>0.33</w:t>
            </w:r>
          </w:p>
        </w:tc>
        <w:tc>
          <w:tcPr>
            <w:tcW w:w="120" w:type="dxa"/>
            <w:vAlign w:val="bottom"/>
            <w:shd w:val="clear" w:color="auto" w:fill="CCEEFF"/>
          </w:tcPr>
          <w:p>
            <w:pPr>
              <w:spacing w:after="0"/>
              <w:rPr>
                <w:sz w:val="16"/>
                <w:szCs w:val="16"/>
                <w:color w:val="auto"/>
              </w:rPr>
            </w:pPr>
          </w:p>
        </w:tc>
        <w:tc>
          <w:tcPr>
            <w:tcW w:w="340" w:type="dxa"/>
            <w:vAlign w:val="bottom"/>
            <w:vMerge w:val="restart"/>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rPr>
              <w:t>0.28</w:t>
            </w:r>
          </w:p>
        </w:tc>
        <w:tc>
          <w:tcPr>
            <w:tcW w:w="100" w:type="dxa"/>
            <w:vAlign w:val="bottom"/>
            <w:shd w:val="clear" w:color="auto" w:fill="CCEEFF"/>
          </w:tcPr>
          <w:p>
            <w:pPr>
              <w:spacing w:after="0"/>
              <w:rPr>
                <w:sz w:val="16"/>
                <w:szCs w:val="16"/>
                <w:color w:val="auto"/>
              </w:rPr>
            </w:pPr>
          </w:p>
        </w:tc>
        <w:tc>
          <w:tcPr>
            <w:tcW w:w="280" w:type="dxa"/>
            <w:vAlign w:val="bottom"/>
            <w:vMerge w:val="restart"/>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rPr>
              <w:t>0.34</w:t>
            </w:r>
          </w:p>
        </w:tc>
        <w:tc>
          <w:tcPr>
            <w:tcW w:w="100" w:type="dxa"/>
            <w:vAlign w:val="bottom"/>
            <w:shd w:val="clear" w:color="auto" w:fill="CCEEFF"/>
          </w:tcPr>
          <w:p>
            <w:pPr>
              <w:spacing w:after="0"/>
              <w:rPr>
                <w:sz w:val="16"/>
                <w:szCs w:val="16"/>
                <w:color w:val="auto"/>
              </w:rPr>
            </w:pPr>
          </w:p>
        </w:tc>
        <w:tc>
          <w:tcPr>
            <w:tcW w:w="400" w:type="dxa"/>
            <w:vAlign w:val="bottom"/>
            <w:vMerge w:val="restart"/>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rPr>
              <w:t>0.95</w:t>
            </w:r>
          </w:p>
        </w:tc>
        <w:tc>
          <w:tcPr>
            <w:tcW w:w="120" w:type="dxa"/>
            <w:vAlign w:val="bottom"/>
            <w:shd w:val="clear" w:color="auto" w:fill="CCEEFF"/>
          </w:tcPr>
          <w:p>
            <w:pPr>
              <w:spacing w:after="0"/>
              <w:rPr>
                <w:sz w:val="16"/>
                <w:szCs w:val="16"/>
                <w:color w:val="auto"/>
              </w:rPr>
            </w:pPr>
          </w:p>
        </w:tc>
        <w:tc>
          <w:tcPr>
            <w:tcW w:w="400" w:type="dxa"/>
            <w:vAlign w:val="bottom"/>
            <w:vMerge w:val="restart"/>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rPr>
              <w:t>0.87</w:t>
            </w:r>
          </w:p>
        </w:tc>
        <w:tc>
          <w:tcPr>
            <w:tcW w:w="0" w:type="dxa"/>
            <w:vAlign w:val="bottom"/>
          </w:tcPr>
          <w:p>
            <w:pPr>
              <w:spacing w:after="0"/>
              <w:rPr>
                <w:sz w:val="1"/>
                <w:szCs w:val="1"/>
                <w:color w:val="auto"/>
              </w:rPr>
            </w:pPr>
          </w:p>
        </w:tc>
      </w:tr>
      <w:tr>
        <w:trPr>
          <w:trHeight w:val="237"/>
        </w:trPr>
        <w:tc>
          <w:tcPr>
            <w:tcW w:w="458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operations (g)</w:t>
            </w:r>
          </w:p>
        </w:tc>
        <w:tc>
          <w:tcPr>
            <w:tcW w:w="360" w:type="dxa"/>
            <w:vAlign w:val="bottom"/>
            <w:tcBorders>
              <w:bottom w:val="single" w:sz="8" w:color="auto"/>
            </w:tcBorders>
            <w:vMerge w:val="continue"/>
            <w:shd w:val="clear" w:color="auto" w:fill="CCEEFF"/>
          </w:tcPr>
          <w:p>
            <w:pPr>
              <w:spacing w:after="0"/>
              <w:rPr>
                <w:sz w:val="20"/>
                <w:szCs w:val="20"/>
                <w:color w:val="auto"/>
              </w:rPr>
            </w:pPr>
          </w:p>
        </w:tc>
        <w:tc>
          <w:tcPr>
            <w:tcW w:w="920" w:type="dxa"/>
            <w:vAlign w:val="bottom"/>
            <w:tcBorders>
              <w:bottom w:val="single" w:sz="8" w:color="auto"/>
            </w:tcBorders>
            <w:vMerge w:val="continue"/>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auto"/>
            </w:tcBorders>
            <w:vMerge w:val="continue"/>
            <w:shd w:val="clear" w:color="auto" w:fill="CCEEFF"/>
          </w:tcPr>
          <w:p>
            <w:pPr>
              <w:spacing w:after="0"/>
              <w:rPr>
                <w:sz w:val="20"/>
                <w:szCs w:val="20"/>
                <w:color w:val="auto"/>
              </w:rPr>
            </w:pPr>
          </w:p>
        </w:tc>
        <w:tc>
          <w:tcPr>
            <w:tcW w:w="920" w:type="dxa"/>
            <w:vAlign w:val="bottom"/>
            <w:tcBorders>
              <w:bottom w:val="single" w:sz="8" w:color="auto"/>
            </w:tcBorders>
            <w:vMerge w:val="continue"/>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vMerge w:val="continue"/>
            <w:shd w:val="clear" w:color="auto" w:fill="CCEEFF"/>
          </w:tcPr>
          <w:p>
            <w:pPr>
              <w:spacing w:after="0"/>
              <w:rPr>
                <w:sz w:val="20"/>
                <w:szCs w:val="20"/>
                <w:color w:val="auto"/>
              </w:rPr>
            </w:pPr>
          </w:p>
        </w:tc>
        <w:tc>
          <w:tcPr>
            <w:tcW w:w="860" w:type="dxa"/>
            <w:vAlign w:val="bottom"/>
            <w:tcBorders>
              <w:bottom w:val="single" w:sz="8" w:color="auto"/>
            </w:tcBorders>
            <w:vMerge w:val="continue"/>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auto"/>
            </w:tcBorders>
            <w:vMerge w:val="continue"/>
            <w:shd w:val="clear" w:color="auto" w:fill="CCEEFF"/>
          </w:tcPr>
          <w:p>
            <w:pPr>
              <w:spacing w:after="0"/>
              <w:rPr>
                <w:sz w:val="20"/>
                <w:szCs w:val="20"/>
                <w:color w:val="auto"/>
              </w:rPr>
            </w:pPr>
          </w:p>
        </w:tc>
        <w:tc>
          <w:tcPr>
            <w:tcW w:w="960" w:type="dxa"/>
            <w:vAlign w:val="bottom"/>
            <w:tcBorders>
              <w:bottom w:val="single" w:sz="8" w:color="auto"/>
            </w:tcBorders>
            <w:vMerge w:val="continue"/>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auto"/>
            </w:tcBorders>
            <w:vMerge w:val="continue"/>
            <w:shd w:val="clear" w:color="auto" w:fill="CCEEFF"/>
          </w:tcPr>
          <w:p>
            <w:pPr>
              <w:spacing w:after="0"/>
              <w:rPr>
                <w:sz w:val="20"/>
                <w:szCs w:val="20"/>
                <w:color w:val="auto"/>
              </w:rPr>
            </w:pPr>
          </w:p>
        </w:tc>
        <w:tc>
          <w:tcPr>
            <w:tcW w:w="960" w:type="dxa"/>
            <w:vAlign w:val="bottom"/>
            <w:tcBorders>
              <w:bottom w:val="single" w:sz="8" w:color="auto"/>
            </w:tcBorders>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58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53" w:right="239" w:bottom="1440" w:gutter="0" w:footer="0" w:header="0"/>
        </w:sectPr>
      </w:pPr>
    </w:p>
    <w:bookmarkStart w:id="13" w:name="page14"/>
    <w:bookmarkEnd w:id="13"/>
    <w:p>
      <w:pPr>
        <w:ind w:left="465" w:hanging="465"/>
        <w:spacing w:after="0"/>
        <w:tabs>
          <w:tab w:leader="none" w:pos="465"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Other costs of goods sold includes amortization of the Cavium inventory fair value step up and charges for past intellectual property licensing matters.</w:t>
      </w:r>
    </w:p>
    <w:p>
      <w:pPr>
        <w:spacing w:after="0" w:line="221" w:lineRule="exact"/>
        <w:rPr>
          <w:rFonts w:ascii="Arial" w:cs="Arial" w:eastAsia="Arial" w:hAnsi="Arial"/>
          <w:sz w:val="16"/>
          <w:szCs w:val="16"/>
          <w:i w:val="1"/>
          <w:iCs w:val="1"/>
          <w:color w:val="auto"/>
        </w:rPr>
      </w:pPr>
    </w:p>
    <w:p>
      <w:pPr>
        <w:ind w:left="465" w:hanging="465"/>
        <w:spacing w:after="0"/>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employee severance, facilities related costs, and impairment of equipment and other assets.</w:t>
      </w:r>
    </w:p>
    <w:p>
      <w:pPr>
        <w:spacing w:after="0" w:line="198" w:lineRule="exact"/>
        <w:rPr>
          <w:rFonts w:ascii="Arial" w:cs="Arial" w:eastAsia="Arial" w:hAnsi="Arial"/>
          <w:sz w:val="18"/>
          <w:szCs w:val="18"/>
          <w:i w:val="1"/>
          <w:iCs w:val="1"/>
          <w:color w:val="auto"/>
        </w:rPr>
      </w:pPr>
    </w:p>
    <w:p>
      <w:pPr>
        <w:ind w:left="465" w:hanging="465"/>
        <w:spacing w:after="0" w:line="277"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primarily include Cavium merger costs and costs of retention bonuses offered to employees who remained through the ramp down of certain operations due to restructuring actions.</w:t>
      </w:r>
    </w:p>
    <w:p>
      <w:pPr>
        <w:spacing w:after="0" w:line="143" w:lineRule="exact"/>
        <w:rPr>
          <w:rFonts w:ascii="Arial" w:cs="Arial" w:eastAsia="Arial" w:hAnsi="Arial"/>
          <w:sz w:val="18"/>
          <w:szCs w:val="18"/>
          <w:i w:val="1"/>
          <w:iCs w:val="1"/>
          <w:color w:val="auto"/>
        </w:rPr>
      </w:pPr>
    </w:p>
    <w:p>
      <w:pPr>
        <w:ind w:left="465" w:right="460" w:hanging="465"/>
        <w:spacing w:after="0" w:line="277"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465" w:right="740" w:hanging="465"/>
        <w:spacing w:after="0" w:line="277"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the partial term loan repayment during the three months ended November 3, 2018 and the terminated bridge loan commitment during the three months ended August 4, 2018.</w:t>
      </w:r>
    </w:p>
    <w:p>
      <w:pPr>
        <w:spacing w:after="0" w:line="143" w:lineRule="exact"/>
        <w:rPr>
          <w:rFonts w:ascii="Arial" w:cs="Arial" w:eastAsia="Arial" w:hAnsi="Arial"/>
          <w:sz w:val="18"/>
          <w:szCs w:val="18"/>
          <w:i w:val="1"/>
          <w:iCs w:val="1"/>
          <w:color w:val="auto"/>
        </w:rPr>
      </w:pPr>
    </w:p>
    <w:p>
      <w:pPr>
        <w:ind w:left="465" w:hanging="465"/>
        <w:spacing w:after="0"/>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4%.</w:t>
      </w:r>
    </w:p>
    <w:p>
      <w:pPr>
        <w:spacing w:after="0" w:line="198" w:lineRule="exact"/>
        <w:rPr>
          <w:rFonts w:ascii="Arial" w:cs="Arial" w:eastAsia="Arial" w:hAnsi="Arial"/>
          <w:sz w:val="18"/>
          <w:szCs w:val="18"/>
          <w:i w:val="1"/>
          <w:iCs w:val="1"/>
          <w:color w:val="auto"/>
        </w:rPr>
      </w:pPr>
    </w:p>
    <w:p>
      <w:pPr>
        <w:jc w:val="both"/>
        <w:ind w:left="465" w:right="140" w:hanging="465"/>
        <w:spacing w:after="0" w:line="264" w:lineRule="auto"/>
        <w:tabs>
          <w:tab w:leader="none" w:pos="465"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Non-GAAP diluted net income per share from continuing operations for the three months ended November 3, 2018 was calculated by dividing non-GAAP net income from continuing operations by weighted average shares outstanding (diluted) of 665,752 shares due to the non-GAAP net income reported in that period.</w:t>
      </w:r>
    </w:p>
    <w:p>
      <w:pPr>
        <w:sectPr>
          <w:pgSz w:w="11900" w:h="16838" w:orient="portrait"/>
          <w:cols w:equalWidth="0" w:num="1">
            <w:col w:w="11285"/>
          </w:cols>
          <w:pgMar w:left="275" w:top="787" w:right="339" w:bottom="1440" w:gutter="0" w:footer="0" w:header="0"/>
        </w:sectPr>
      </w:pPr>
    </w:p>
    <w:bookmarkStart w:id="14" w:name="page15"/>
    <w:bookmarkEnd w:id="14"/>
    <w:tbl>
      <w:tblPr>
        <w:tblLayout w:type="fixed"/>
        <w:tblInd w:w="0" w:type="dxa"/>
        <w:tblCellMar>
          <w:top w:w="0" w:type="dxa"/>
          <w:left w:w="0" w:type="dxa"/>
          <w:bottom w:w="0" w:type="dxa"/>
          <w:right w:w="0" w:type="dxa"/>
        </w:tblCellMar>
      </w:tblPr>
      <w:tr>
        <w:trPr>
          <w:trHeight w:val="234"/>
        </w:trPr>
        <w:tc>
          <w:tcPr>
            <w:tcW w:w="7560" w:type="dxa"/>
            <w:vAlign w:val="bottom"/>
            <w:gridSpan w:val="2"/>
          </w:tcPr>
          <w:p>
            <w:pPr>
              <w:jc w:val="center"/>
              <w:ind w:left="2990"/>
              <w:spacing w:after="0"/>
              <w:rPr>
                <w:sz w:val="20"/>
                <w:szCs w:val="20"/>
                <w:color w:val="auto"/>
              </w:rPr>
            </w:pPr>
            <w:r>
              <w:rPr>
                <w:rFonts w:ascii="Arial" w:cs="Arial" w:eastAsia="Arial" w:hAnsi="Arial"/>
                <w:sz w:val="18"/>
                <w:szCs w:val="18"/>
                <w:b w:val="1"/>
                <w:bCs w:val="1"/>
                <w:color w:val="auto"/>
                <w:w w:val="92"/>
              </w:rPr>
              <w:t>Marvell Technology Group Ltd.</w:t>
            </w:r>
          </w:p>
        </w:tc>
        <w:tc>
          <w:tcPr>
            <w:tcW w:w="3020" w:type="dxa"/>
            <w:vAlign w:val="bottom"/>
          </w:tcPr>
          <w:p>
            <w:pPr>
              <w:spacing w:after="0"/>
              <w:rPr>
                <w:sz w:val="20"/>
                <w:szCs w:val="20"/>
                <w:color w:val="auto"/>
              </w:rPr>
            </w:pPr>
          </w:p>
        </w:tc>
      </w:tr>
      <w:tr>
        <w:trPr>
          <w:trHeight w:val="270"/>
        </w:trPr>
        <w:tc>
          <w:tcPr>
            <w:tcW w:w="7560" w:type="dxa"/>
            <w:vAlign w:val="bottom"/>
            <w:gridSpan w:val="2"/>
          </w:tcPr>
          <w:p>
            <w:pPr>
              <w:jc w:val="center"/>
              <w:ind w:left="2990"/>
              <w:spacing w:after="0"/>
              <w:rPr>
                <w:sz w:val="20"/>
                <w:szCs w:val="20"/>
                <w:color w:val="auto"/>
              </w:rPr>
            </w:pPr>
            <w:r>
              <w:rPr>
                <w:rFonts w:ascii="Arial" w:cs="Arial" w:eastAsia="Arial" w:hAnsi="Arial"/>
                <w:sz w:val="18"/>
                <w:szCs w:val="18"/>
                <w:b w:val="1"/>
                <w:bCs w:val="1"/>
                <w:color w:val="auto"/>
                <w:w w:val="92"/>
              </w:rPr>
              <w:t>Outlook for the Fourth Quarter of Fiscal Year 2019</w:t>
            </w:r>
          </w:p>
        </w:tc>
        <w:tc>
          <w:tcPr>
            <w:tcW w:w="3020" w:type="dxa"/>
            <w:vAlign w:val="bottom"/>
          </w:tcPr>
          <w:p>
            <w:pPr>
              <w:spacing w:after="0"/>
              <w:rPr>
                <w:sz w:val="23"/>
                <w:szCs w:val="23"/>
                <w:color w:val="auto"/>
              </w:rPr>
            </w:pPr>
          </w:p>
        </w:tc>
      </w:tr>
      <w:tr>
        <w:trPr>
          <w:trHeight w:val="270"/>
        </w:trPr>
        <w:tc>
          <w:tcPr>
            <w:tcW w:w="7560" w:type="dxa"/>
            <w:vAlign w:val="bottom"/>
            <w:gridSpan w:val="2"/>
          </w:tcPr>
          <w:p>
            <w:pPr>
              <w:ind w:left="3160"/>
              <w:spacing w:after="0"/>
              <w:rPr>
                <w:sz w:val="20"/>
                <w:szCs w:val="20"/>
                <w:color w:val="auto"/>
              </w:rPr>
            </w:pPr>
            <w:r>
              <w:rPr>
                <w:rFonts w:ascii="Arial" w:cs="Arial" w:eastAsia="Arial" w:hAnsi="Arial"/>
                <w:sz w:val="18"/>
                <w:szCs w:val="18"/>
                <w:b w:val="1"/>
                <w:bCs w:val="1"/>
                <w:color w:val="auto"/>
                <w:w w:val="95"/>
              </w:rPr>
              <w:t>Reconciliations from GAAP to Non-GAAP (Unaudited)</w:t>
            </w:r>
          </w:p>
        </w:tc>
        <w:tc>
          <w:tcPr>
            <w:tcW w:w="3020" w:type="dxa"/>
            <w:vAlign w:val="bottom"/>
          </w:tcPr>
          <w:p>
            <w:pPr>
              <w:spacing w:after="0"/>
              <w:rPr>
                <w:sz w:val="23"/>
                <w:szCs w:val="23"/>
                <w:color w:val="auto"/>
              </w:rPr>
            </w:pPr>
          </w:p>
        </w:tc>
      </w:tr>
      <w:tr>
        <w:trPr>
          <w:trHeight w:val="270"/>
        </w:trPr>
        <w:tc>
          <w:tcPr>
            <w:tcW w:w="7560" w:type="dxa"/>
            <w:vAlign w:val="bottom"/>
            <w:gridSpan w:val="2"/>
          </w:tcPr>
          <w:p>
            <w:pPr>
              <w:jc w:val="center"/>
              <w:ind w:left="2990"/>
              <w:spacing w:after="0"/>
              <w:rPr>
                <w:sz w:val="20"/>
                <w:szCs w:val="20"/>
                <w:color w:val="auto"/>
              </w:rPr>
            </w:pPr>
            <w:r>
              <w:rPr>
                <w:rFonts w:ascii="Arial" w:cs="Arial" w:eastAsia="Arial" w:hAnsi="Arial"/>
                <w:sz w:val="18"/>
                <w:szCs w:val="18"/>
                <w:b w:val="1"/>
                <w:bCs w:val="1"/>
                <w:color w:val="auto"/>
                <w:w w:val="89"/>
              </w:rPr>
              <w:t>(In millions, except per share amounts)</w:t>
            </w:r>
          </w:p>
        </w:tc>
        <w:tc>
          <w:tcPr>
            <w:tcW w:w="3020" w:type="dxa"/>
            <w:vAlign w:val="bottom"/>
          </w:tcPr>
          <w:p>
            <w:pPr>
              <w:spacing w:after="0"/>
              <w:rPr>
                <w:sz w:val="23"/>
                <w:szCs w:val="23"/>
                <w:color w:val="auto"/>
              </w:rPr>
            </w:pPr>
          </w:p>
        </w:tc>
      </w:tr>
      <w:tr>
        <w:trPr>
          <w:trHeight w:val="423"/>
        </w:trPr>
        <w:tc>
          <w:tcPr>
            <w:tcW w:w="68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20" w:type="dxa"/>
            <w:vAlign w:val="bottom"/>
          </w:tcPr>
          <w:p>
            <w:pPr>
              <w:jc w:val="center"/>
              <w:ind w:right="591"/>
              <w:spacing w:after="0"/>
              <w:rPr>
                <w:sz w:val="20"/>
                <w:szCs w:val="20"/>
                <w:color w:val="auto"/>
              </w:rPr>
            </w:pPr>
            <w:r>
              <w:rPr>
                <w:rFonts w:ascii="Arial" w:cs="Arial" w:eastAsia="Arial" w:hAnsi="Arial"/>
                <w:sz w:val="14"/>
                <w:szCs w:val="14"/>
                <w:b w:val="1"/>
                <w:bCs w:val="1"/>
                <w:color w:val="auto"/>
                <w:w w:val="94"/>
              </w:rPr>
              <w:t>Outlook for Three Months Ended</w:t>
            </w:r>
          </w:p>
        </w:tc>
      </w:tr>
      <w:tr>
        <w:trPr>
          <w:trHeight w:val="192"/>
        </w:trPr>
        <w:tc>
          <w:tcPr>
            <w:tcW w:w="6880" w:type="dxa"/>
            <w:vAlign w:val="bottom"/>
            <w:tcBorders>
              <w:bottom w:val="single" w:sz="8" w:color="CCEEFF"/>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tcPr>
          <w:p>
            <w:pPr>
              <w:jc w:val="center"/>
              <w:ind w:right="591"/>
              <w:spacing w:after="0"/>
              <w:rPr>
                <w:sz w:val="20"/>
                <w:szCs w:val="20"/>
                <w:color w:val="auto"/>
              </w:rPr>
            </w:pPr>
            <w:r>
              <w:rPr>
                <w:rFonts w:ascii="Arial" w:cs="Arial" w:eastAsia="Arial" w:hAnsi="Arial"/>
                <w:sz w:val="14"/>
                <w:szCs w:val="14"/>
                <w:b w:val="1"/>
                <w:bCs w:val="1"/>
                <w:color w:val="auto"/>
                <w:w w:val="95"/>
              </w:rPr>
              <w:t>February 2, 2019</w:t>
            </w:r>
          </w:p>
        </w:tc>
      </w:tr>
      <w:tr>
        <w:trPr>
          <w:trHeight w:val="250"/>
        </w:trPr>
        <w:tc>
          <w:tcPr>
            <w:tcW w:w="75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GAAP revenue</w:t>
            </w:r>
          </w:p>
        </w:tc>
        <w:tc>
          <w:tcPr>
            <w:tcW w:w="3020" w:type="dxa"/>
            <w:vAlign w:val="bottom"/>
            <w:tcBorders>
              <w:bottom w:val="single" w:sz="8" w:color="CCEEFF"/>
            </w:tcBorders>
            <w:shd w:val="clear" w:color="auto" w:fill="CCEEFF"/>
          </w:tcPr>
          <w:p>
            <w:pPr>
              <w:jc w:val="center"/>
              <w:ind w:right="551"/>
              <w:spacing w:after="0"/>
              <w:rPr>
                <w:sz w:val="20"/>
                <w:szCs w:val="20"/>
                <w:color w:val="auto"/>
              </w:rPr>
            </w:pPr>
            <w:r>
              <w:rPr>
                <w:rFonts w:ascii="Arial" w:cs="Arial" w:eastAsia="Arial" w:hAnsi="Arial"/>
                <w:sz w:val="18"/>
                <w:szCs w:val="18"/>
                <w:color w:val="auto"/>
                <w:w w:val="89"/>
              </w:rPr>
              <w:t>$790 - $830</w:t>
            </w:r>
          </w:p>
        </w:tc>
      </w:tr>
      <w:tr>
        <w:trPr>
          <w:trHeight w:val="243"/>
        </w:trPr>
        <w:tc>
          <w:tcPr>
            <w:tcW w:w="7560" w:type="dxa"/>
            <w:vAlign w:val="bottom"/>
            <w:gridSpan w:val="2"/>
          </w:tcPr>
          <w:p>
            <w:pPr>
              <w:ind w:left="40"/>
              <w:spacing w:after="0"/>
              <w:rPr>
                <w:sz w:val="20"/>
                <w:szCs w:val="20"/>
                <w:color w:val="auto"/>
              </w:rPr>
            </w:pPr>
            <w:r>
              <w:rPr>
                <w:rFonts w:ascii="Arial" w:cs="Arial" w:eastAsia="Arial" w:hAnsi="Arial"/>
                <w:sz w:val="18"/>
                <w:szCs w:val="18"/>
                <w:color w:val="auto"/>
              </w:rPr>
              <w:t>Special items:</w:t>
            </w:r>
          </w:p>
        </w:tc>
        <w:tc>
          <w:tcPr>
            <w:tcW w:w="3020" w:type="dxa"/>
            <w:vAlign w:val="bottom"/>
          </w:tcPr>
          <w:p>
            <w:pPr>
              <w:jc w:val="center"/>
              <w:ind w:right="591"/>
              <w:spacing w:after="0"/>
              <w:rPr>
                <w:sz w:val="20"/>
                <w:szCs w:val="20"/>
                <w:color w:val="auto"/>
              </w:rPr>
            </w:pPr>
            <w:r>
              <w:rPr>
                <w:rFonts w:ascii="Arial" w:cs="Arial" w:eastAsia="Arial" w:hAnsi="Arial"/>
                <w:sz w:val="18"/>
                <w:szCs w:val="18"/>
                <w:color w:val="auto"/>
                <w:w w:val="99"/>
              </w:rPr>
              <w:t>—</w:t>
            </w:r>
          </w:p>
        </w:tc>
      </w:tr>
      <w:tr>
        <w:trPr>
          <w:trHeight w:val="27"/>
        </w:trPr>
        <w:tc>
          <w:tcPr>
            <w:tcW w:w="6880" w:type="dxa"/>
            <w:vAlign w:val="bottom"/>
            <w:tcBorders>
              <w:bottom w:val="single" w:sz="8" w:color="CCEEFF"/>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5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Non-GAAP revenue</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89"/>
              </w:rPr>
              <w:t>$790 - $830</w:t>
            </w:r>
          </w:p>
        </w:tc>
      </w:tr>
      <w:tr>
        <w:trPr>
          <w:trHeight w:val="297"/>
        </w:trPr>
        <w:tc>
          <w:tcPr>
            <w:tcW w:w="68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20" w:type="dxa"/>
            <w:vAlign w:val="bottom"/>
          </w:tcPr>
          <w:p>
            <w:pPr>
              <w:spacing w:after="0"/>
              <w:rPr>
                <w:sz w:val="24"/>
                <w:szCs w:val="24"/>
                <w:color w:val="auto"/>
              </w:rPr>
            </w:pPr>
          </w:p>
        </w:tc>
      </w:tr>
      <w:tr>
        <w:trPr>
          <w:trHeight w:val="250"/>
        </w:trPr>
        <w:tc>
          <w:tcPr>
            <w:tcW w:w="75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GAAP gross margin</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94"/>
              </w:rPr>
              <w:t>46%</w:t>
            </w:r>
          </w:p>
        </w:tc>
      </w:tr>
      <w:tr>
        <w:trPr>
          <w:trHeight w:val="243"/>
        </w:trPr>
        <w:tc>
          <w:tcPr>
            <w:tcW w:w="7560" w:type="dxa"/>
            <w:vAlign w:val="bottom"/>
            <w:gridSpan w:val="2"/>
          </w:tcPr>
          <w:p>
            <w:pPr>
              <w:ind w:left="40"/>
              <w:spacing w:after="0"/>
              <w:rPr>
                <w:sz w:val="20"/>
                <w:szCs w:val="20"/>
                <w:color w:val="auto"/>
              </w:rPr>
            </w:pPr>
            <w:r>
              <w:rPr>
                <w:rFonts w:ascii="Arial" w:cs="Arial" w:eastAsia="Arial" w:hAnsi="Arial"/>
                <w:sz w:val="18"/>
                <w:szCs w:val="18"/>
                <w:color w:val="auto"/>
              </w:rPr>
              <w:t>Special items:</w:t>
            </w:r>
          </w:p>
        </w:tc>
        <w:tc>
          <w:tcPr>
            <w:tcW w:w="3020" w:type="dxa"/>
            <w:vAlign w:val="bottom"/>
          </w:tcPr>
          <w:p>
            <w:pPr>
              <w:spacing w:after="0"/>
              <w:rPr>
                <w:sz w:val="21"/>
                <w:szCs w:val="21"/>
                <w:color w:val="auto"/>
              </w:rPr>
            </w:pP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56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Share-based compensation</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92"/>
              </w:rPr>
              <w:t>0.2%</w:t>
            </w:r>
          </w:p>
        </w:tc>
      </w:tr>
      <w:tr>
        <w:trPr>
          <w:trHeight w:val="243"/>
        </w:trPr>
        <w:tc>
          <w:tcPr>
            <w:tcW w:w="7560" w:type="dxa"/>
            <w:vAlign w:val="bottom"/>
            <w:gridSpan w:val="2"/>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020" w:type="dxa"/>
            <w:vAlign w:val="bottom"/>
          </w:tcPr>
          <w:p>
            <w:pPr>
              <w:jc w:val="center"/>
              <w:ind w:right="571"/>
              <w:spacing w:after="0"/>
              <w:rPr>
                <w:sz w:val="20"/>
                <w:szCs w:val="20"/>
                <w:color w:val="auto"/>
              </w:rPr>
            </w:pPr>
            <w:r>
              <w:rPr>
                <w:rFonts w:ascii="Arial" w:cs="Arial" w:eastAsia="Arial" w:hAnsi="Arial"/>
                <w:sz w:val="18"/>
                <w:szCs w:val="18"/>
                <w:color w:val="auto"/>
                <w:w w:val="92"/>
              </w:rPr>
              <w:t>7%</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70"/>
        </w:trPr>
        <w:tc>
          <w:tcPr>
            <w:tcW w:w="688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Other costs of goods sold</w:t>
            </w:r>
          </w:p>
        </w:tc>
        <w:tc>
          <w:tcPr>
            <w:tcW w:w="680" w:type="dxa"/>
            <w:vAlign w:val="bottom"/>
            <w:tcBorders>
              <w:bottom w:val="single" w:sz="8" w:color="CCEEFF"/>
            </w:tcBorders>
            <w:shd w:val="clear" w:color="auto" w:fill="CCEEFF"/>
          </w:tcPr>
          <w:p>
            <w:pPr>
              <w:spacing w:after="0"/>
              <w:rPr>
                <w:sz w:val="23"/>
                <w:szCs w:val="23"/>
                <w:color w:val="auto"/>
              </w:rPr>
            </w:pP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94"/>
              </w:rPr>
              <w:t>12%</w:t>
            </w:r>
          </w:p>
        </w:tc>
      </w:tr>
      <w:tr>
        <w:trPr>
          <w:trHeight w:val="237"/>
        </w:trPr>
        <w:tc>
          <w:tcPr>
            <w:tcW w:w="6880" w:type="dxa"/>
            <w:vAlign w:val="bottom"/>
          </w:tcPr>
          <w:p>
            <w:pPr>
              <w:ind w:left="40"/>
              <w:spacing w:after="0"/>
              <w:rPr>
                <w:sz w:val="20"/>
                <w:szCs w:val="20"/>
                <w:color w:val="auto"/>
              </w:rPr>
            </w:pPr>
            <w:r>
              <w:rPr>
                <w:rFonts w:ascii="Arial" w:cs="Arial" w:eastAsia="Arial" w:hAnsi="Arial"/>
                <w:sz w:val="18"/>
                <w:szCs w:val="18"/>
                <w:color w:val="auto"/>
              </w:rPr>
              <w:t>Non-GAAP gross margin</w:t>
            </w:r>
          </w:p>
        </w:tc>
        <w:tc>
          <w:tcPr>
            <w:tcW w:w="680" w:type="dxa"/>
            <w:vAlign w:val="bottom"/>
            <w:tcBorders>
              <w:top w:val="single" w:sz="8" w:color="auto"/>
            </w:tcBorders>
          </w:tcPr>
          <w:p>
            <w:pPr>
              <w:spacing w:after="0"/>
              <w:rPr>
                <w:sz w:val="20"/>
                <w:szCs w:val="20"/>
                <w:color w:val="auto"/>
              </w:rPr>
            </w:pPr>
          </w:p>
        </w:tc>
        <w:tc>
          <w:tcPr>
            <w:tcW w:w="3020" w:type="dxa"/>
            <w:vAlign w:val="bottom"/>
            <w:tcBorders>
              <w:top w:val="single" w:sz="8" w:color="auto"/>
            </w:tcBorders>
          </w:tcPr>
          <w:p>
            <w:pPr>
              <w:jc w:val="center"/>
              <w:ind w:right="591"/>
              <w:spacing w:after="0"/>
              <w:rPr>
                <w:sz w:val="20"/>
                <w:szCs w:val="20"/>
                <w:color w:val="auto"/>
              </w:rPr>
            </w:pPr>
            <w:r>
              <w:rPr>
                <w:rFonts w:ascii="Arial" w:cs="Arial" w:eastAsia="Arial" w:hAnsi="Arial"/>
                <w:sz w:val="18"/>
                <w:szCs w:val="18"/>
                <w:color w:val="auto"/>
                <w:w w:val="94"/>
              </w:rPr>
              <w:t>65%</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97"/>
        </w:trPr>
        <w:tc>
          <w:tcPr>
            <w:tcW w:w="6880" w:type="dxa"/>
            <w:vAlign w:val="bottom"/>
            <w:shd w:val="clear" w:color="auto" w:fill="CCEEFF"/>
          </w:tcPr>
          <w:p>
            <w:pPr>
              <w:spacing w:after="0"/>
              <w:rPr>
                <w:sz w:val="24"/>
                <w:szCs w:val="24"/>
                <w:color w:val="auto"/>
              </w:rPr>
            </w:pPr>
          </w:p>
        </w:tc>
        <w:tc>
          <w:tcPr>
            <w:tcW w:w="680" w:type="dxa"/>
            <w:vAlign w:val="bottom"/>
            <w:shd w:val="clear" w:color="auto" w:fill="CCEEFF"/>
          </w:tcPr>
          <w:p>
            <w:pPr>
              <w:spacing w:after="0"/>
              <w:rPr>
                <w:sz w:val="24"/>
                <w:szCs w:val="24"/>
                <w:color w:val="auto"/>
              </w:rPr>
            </w:pPr>
          </w:p>
        </w:tc>
        <w:tc>
          <w:tcPr>
            <w:tcW w:w="3020" w:type="dxa"/>
            <w:vAlign w:val="bottom"/>
            <w:shd w:val="clear" w:color="auto" w:fill="CCEEFF"/>
          </w:tcPr>
          <w:p>
            <w:pPr>
              <w:spacing w:after="0"/>
              <w:rPr>
                <w:sz w:val="24"/>
                <w:szCs w:val="24"/>
                <w:color w:val="auto"/>
              </w:rPr>
            </w:pPr>
          </w:p>
        </w:tc>
      </w:tr>
      <w:tr>
        <w:trPr>
          <w:trHeight w:val="243"/>
        </w:trPr>
        <w:tc>
          <w:tcPr>
            <w:tcW w:w="7560" w:type="dxa"/>
            <w:vAlign w:val="bottom"/>
            <w:gridSpan w:val="2"/>
          </w:tcPr>
          <w:p>
            <w:pPr>
              <w:ind w:left="40"/>
              <w:spacing w:after="0"/>
              <w:rPr>
                <w:sz w:val="20"/>
                <w:szCs w:val="20"/>
                <w:color w:val="auto"/>
              </w:rPr>
            </w:pPr>
            <w:r>
              <w:rPr>
                <w:rFonts w:ascii="Arial" w:cs="Arial" w:eastAsia="Arial" w:hAnsi="Arial"/>
                <w:sz w:val="18"/>
                <w:szCs w:val="18"/>
                <w:b w:val="1"/>
                <w:bCs w:val="1"/>
                <w:color w:val="auto"/>
              </w:rPr>
              <w:t>Total GAAP operating expenses</w:t>
            </w:r>
          </w:p>
        </w:tc>
        <w:tc>
          <w:tcPr>
            <w:tcW w:w="3020" w:type="dxa"/>
            <w:vAlign w:val="bottom"/>
          </w:tcPr>
          <w:p>
            <w:pPr>
              <w:jc w:val="center"/>
              <w:ind w:right="551"/>
              <w:spacing w:after="0"/>
              <w:rPr>
                <w:sz w:val="20"/>
                <w:szCs w:val="20"/>
                <w:color w:val="auto"/>
              </w:rPr>
            </w:pPr>
            <w:r>
              <w:rPr>
                <w:rFonts w:ascii="Arial" w:cs="Arial" w:eastAsia="Arial" w:hAnsi="Arial"/>
                <w:sz w:val="18"/>
                <w:szCs w:val="18"/>
                <w:color w:val="auto"/>
                <w:w w:val="89"/>
              </w:rPr>
              <w:t>$375 - $385</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5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3020" w:type="dxa"/>
            <w:vAlign w:val="bottom"/>
            <w:tcBorders>
              <w:bottom w:val="single" w:sz="8" w:color="CCEEFF"/>
            </w:tcBorders>
            <w:shd w:val="clear" w:color="auto" w:fill="CCEEFF"/>
          </w:tcPr>
          <w:p>
            <w:pPr>
              <w:spacing w:after="0"/>
              <w:rPr>
                <w:sz w:val="21"/>
                <w:szCs w:val="21"/>
                <w:color w:val="auto"/>
              </w:rPr>
            </w:pPr>
          </w:p>
        </w:tc>
      </w:tr>
      <w:tr>
        <w:trPr>
          <w:trHeight w:val="243"/>
        </w:trPr>
        <w:tc>
          <w:tcPr>
            <w:tcW w:w="7560" w:type="dxa"/>
            <w:vAlign w:val="bottom"/>
            <w:gridSpan w:val="2"/>
          </w:tcPr>
          <w:p>
            <w:pPr>
              <w:ind w:left="360"/>
              <w:spacing w:after="0"/>
              <w:rPr>
                <w:sz w:val="20"/>
                <w:szCs w:val="20"/>
                <w:color w:val="auto"/>
              </w:rPr>
            </w:pPr>
            <w:r>
              <w:rPr>
                <w:rFonts w:ascii="Arial" w:cs="Arial" w:eastAsia="Arial" w:hAnsi="Arial"/>
                <w:sz w:val="18"/>
                <w:szCs w:val="18"/>
                <w:color w:val="auto"/>
              </w:rPr>
              <w:t>Share-based compensation</w:t>
            </w:r>
          </w:p>
        </w:tc>
        <w:tc>
          <w:tcPr>
            <w:tcW w:w="3020" w:type="dxa"/>
            <w:vAlign w:val="bottom"/>
          </w:tcPr>
          <w:p>
            <w:pPr>
              <w:jc w:val="center"/>
              <w:ind w:right="591"/>
              <w:spacing w:after="0"/>
              <w:rPr>
                <w:sz w:val="20"/>
                <w:szCs w:val="20"/>
                <w:color w:val="auto"/>
              </w:rPr>
            </w:pPr>
            <w:r>
              <w:rPr>
                <w:rFonts w:ascii="Arial" w:cs="Arial" w:eastAsia="Arial" w:hAnsi="Arial"/>
                <w:sz w:val="18"/>
                <w:szCs w:val="18"/>
                <w:color w:val="auto"/>
                <w:w w:val="89"/>
              </w:rPr>
              <w:t>55</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56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89"/>
              </w:rPr>
              <w:t>15</w:t>
            </w:r>
          </w:p>
        </w:tc>
      </w:tr>
      <w:tr>
        <w:trPr>
          <w:trHeight w:val="243"/>
        </w:trPr>
        <w:tc>
          <w:tcPr>
            <w:tcW w:w="7560" w:type="dxa"/>
            <w:vAlign w:val="bottom"/>
            <w:gridSpan w:val="2"/>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020" w:type="dxa"/>
            <w:vAlign w:val="bottom"/>
          </w:tcPr>
          <w:p>
            <w:pPr>
              <w:jc w:val="center"/>
              <w:ind w:right="591"/>
              <w:spacing w:after="0"/>
              <w:rPr>
                <w:sz w:val="20"/>
                <w:szCs w:val="20"/>
                <w:color w:val="auto"/>
              </w:rPr>
            </w:pPr>
            <w:r>
              <w:rPr>
                <w:rFonts w:ascii="Arial" w:cs="Arial" w:eastAsia="Arial" w:hAnsi="Arial"/>
                <w:sz w:val="18"/>
                <w:szCs w:val="18"/>
                <w:color w:val="auto"/>
                <w:w w:val="89"/>
              </w:rPr>
              <w:t>21</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70"/>
        </w:trPr>
        <w:tc>
          <w:tcPr>
            <w:tcW w:w="688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Other operating expenses</w:t>
            </w:r>
          </w:p>
        </w:tc>
        <w:tc>
          <w:tcPr>
            <w:tcW w:w="680" w:type="dxa"/>
            <w:vAlign w:val="bottom"/>
            <w:tcBorders>
              <w:bottom w:val="single" w:sz="8" w:color="CCEEFF"/>
            </w:tcBorders>
            <w:shd w:val="clear" w:color="auto" w:fill="CCEEFF"/>
          </w:tcPr>
          <w:p>
            <w:pPr>
              <w:spacing w:after="0"/>
              <w:rPr>
                <w:sz w:val="23"/>
                <w:szCs w:val="23"/>
                <w:color w:val="auto"/>
              </w:rPr>
            </w:pP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99"/>
              </w:rPr>
              <w:t>2</w:t>
            </w:r>
          </w:p>
        </w:tc>
      </w:tr>
      <w:tr>
        <w:trPr>
          <w:trHeight w:val="237"/>
        </w:trPr>
        <w:tc>
          <w:tcPr>
            <w:tcW w:w="6880" w:type="dxa"/>
            <w:vAlign w:val="bottom"/>
          </w:tcPr>
          <w:p>
            <w:pPr>
              <w:ind w:left="40"/>
              <w:spacing w:after="0"/>
              <w:rPr>
                <w:sz w:val="20"/>
                <w:szCs w:val="20"/>
                <w:color w:val="auto"/>
              </w:rPr>
            </w:pPr>
            <w:r>
              <w:rPr>
                <w:rFonts w:ascii="Arial" w:cs="Arial" w:eastAsia="Arial" w:hAnsi="Arial"/>
                <w:sz w:val="18"/>
                <w:szCs w:val="18"/>
                <w:color w:val="auto"/>
              </w:rPr>
              <w:t>Total non-GAAP operating expenses</w:t>
            </w:r>
          </w:p>
        </w:tc>
        <w:tc>
          <w:tcPr>
            <w:tcW w:w="680" w:type="dxa"/>
            <w:vAlign w:val="bottom"/>
            <w:tcBorders>
              <w:top w:val="single" w:sz="8" w:color="auto"/>
            </w:tcBorders>
          </w:tcPr>
          <w:p>
            <w:pPr>
              <w:spacing w:after="0"/>
              <w:rPr>
                <w:sz w:val="20"/>
                <w:szCs w:val="20"/>
                <w:color w:val="auto"/>
              </w:rPr>
            </w:pPr>
          </w:p>
        </w:tc>
        <w:tc>
          <w:tcPr>
            <w:tcW w:w="3020" w:type="dxa"/>
            <w:vAlign w:val="bottom"/>
            <w:tcBorders>
              <w:top w:val="single" w:sz="8" w:color="auto"/>
            </w:tcBorders>
          </w:tcPr>
          <w:p>
            <w:pPr>
              <w:jc w:val="center"/>
              <w:ind w:right="591"/>
              <w:spacing w:after="0"/>
              <w:rPr>
                <w:sz w:val="20"/>
                <w:szCs w:val="20"/>
                <w:color w:val="auto"/>
              </w:rPr>
            </w:pPr>
            <w:r>
              <w:rPr>
                <w:rFonts w:ascii="Arial" w:cs="Arial" w:eastAsia="Arial" w:hAnsi="Arial"/>
                <w:sz w:val="18"/>
                <w:szCs w:val="18"/>
                <w:color w:val="auto"/>
                <w:w w:val="89"/>
              </w:rPr>
              <w:t>$285 - $290</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43"/>
        </w:trPr>
        <w:tc>
          <w:tcPr>
            <w:tcW w:w="6880" w:type="dxa"/>
            <w:vAlign w:val="bottom"/>
            <w:shd w:val="clear" w:color="auto" w:fill="CCEEFF"/>
          </w:tcPr>
          <w:p>
            <w:pPr>
              <w:spacing w:after="0"/>
              <w:rPr>
                <w:sz w:val="21"/>
                <w:szCs w:val="21"/>
                <w:color w:val="auto"/>
              </w:rPr>
            </w:pPr>
          </w:p>
        </w:tc>
        <w:tc>
          <w:tcPr>
            <w:tcW w:w="680" w:type="dxa"/>
            <w:vAlign w:val="bottom"/>
            <w:shd w:val="clear" w:color="auto" w:fill="CCEEFF"/>
          </w:tcPr>
          <w:p>
            <w:pPr>
              <w:spacing w:after="0"/>
              <w:rPr>
                <w:sz w:val="21"/>
                <w:szCs w:val="21"/>
                <w:color w:val="auto"/>
              </w:rPr>
            </w:pPr>
          </w:p>
        </w:tc>
        <w:tc>
          <w:tcPr>
            <w:tcW w:w="3020" w:type="dxa"/>
            <w:vAlign w:val="bottom"/>
            <w:shd w:val="clear" w:color="auto" w:fill="CCEEFF"/>
          </w:tcPr>
          <w:p>
            <w:pPr>
              <w:spacing w:after="0"/>
              <w:rPr>
                <w:sz w:val="21"/>
                <w:szCs w:val="21"/>
                <w:color w:val="auto"/>
              </w:rPr>
            </w:pPr>
          </w:p>
        </w:tc>
      </w:tr>
      <w:tr>
        <w:trPr>
          <w:trHeight w:val="270"/>
        </w:trPr>
        <w:tc>
          <w:tcPr>
            <w:tcW w:w="688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3020" w:type="dxa"/>
            <w:vAlign w:val="bottom"/>
          </w:tcPr>
          <w:p>
            <w:pPr>
              <w:spacing w:after="0"/>
              <w:rPr>
                <w:sz w:val="23"/>
                <w:szCs w:val="23"/>
                <w:color w:val="auto"/>
              </w:rPr>
            </w:pPr>
          </w:p>
        </w:tc>
      </w:tr>
      <w:tr>
        <w:trPr>
          <w:trHeight w:val="250"/>
        </w:trPr>
        <w:tc>
          <w:tcPr>
            <w:tcW w:w="75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b w:val="1"/>
                <w:bCs w:val="1"/>
                <w:color w:val="auto"/>
              </w:rPr>
              <w:t>GAAP diluted net income per share from continuing operations</w:t>
            </w:r>
          </w:p>
        </w:tc>
        <w:tc>
          <w:tcPr>
            <w:tcW w:w="3020" w:type="dxa"/>
            <w:vAlign w:val="bottom"/>
            <w:tcBorders>
              <w:bottom w:val="single" w:sz="8" w:color="CCEEFF"/>
            </w:tcBorders>
            <w:shd w:val="clear" w:color="auto" w:fill="CCEEFF"/>
          </w:tcPr>
          <w:p>
            <w:pPr>
              <w:jc w:val="center"/>
              <w:ind w:right="531"/>
              <w:spacing w:after="0"/>
              <w:rPr>
                <w:sz w:val="20"/>
                <w:szCs w:val="20"/>
                <w:color w:val="auto"/>
              </w:rPr>
            </w:pPr>
            <w:r>
              <w:rPr>
                <w:rFonts w:ascii="Arial" w:cs="Arial" w:eastAsia="Arial" w:hAnsi="Arial"/>
                <w:sz w:val="18"/>
                <w:szCs w:val="18"/>
                <w:color w:val="auto"/>
                <w:w w:val="92"/>
              </w:rPr>
              <w:t>$(0.05) - $(0.01)</w:t>
            </w:r>
          </w:p>
        </w:tc>
      </w:tr>
      <w:tr>
        <w:trPr>
          <w:trHeight w:val="243"/>
        </w:trPr>
        <w:tc>
          <w:tcPr>
            <w:tcW w:w="7560" w:type="dxa"/>
            <w:vAlign w:val="bottom"/>
            <w:gridSpan w:val="2"/>
          </w:tcPr>
          <w:p>
            <w:pPr>
              <w:ind w:left="40"/>
              <w:spacing w:after="0"/>
              <w:rPr>
                <w:sz w:val="20"/>
                <w:szCs w:val="20"/>
                <w:color w:val="auto"/>
              </w:rPr>
            </w:pPr>
            <w:r>
              <w:rPr>
                <w:rFonts w:ascii="Arial" w:cs="Arial" w:eastAsia="Arial" w:hAnsi="Arial"/>
                <w:sz w:val="18"/>
                <w:szCs w:val="18"/>
                <w:color w:val="auto"/>
              </w:rPr>
              <w:t>Special items:</w:t>
            </w:r>
          </w:p>
        </w:tc>
        <w:tc>
          <w:tcPr>
            <w:tcW w:w="3020" w:type="dxa"/>
            <w:vAlign w:val="bottom"/>
          </w:tcPr>
          <w:p>
            <w:pPr>
              <w:spacing w:after="0"/>
              <w:rPr>
                <w:sz w:val="21"/>
                <w:szCs w:val="21"/>
                <w:color w:val="auto"/>
              </w:rPr>
            </w:pP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56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Other costs of goods sold</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85"/>
              </w:rPr>
              <w:t>0.15</w:t>
            </w:r>
          </w:p>
        </w:tc>
      </w:tr>
      <w:tr>
        <w:trPr>
          <w:trHeight w:val="243"/>
        </w:trPr>
        <w:tc>
          <w:tcPr>
            <w:tcW w:w="7560" w:type="dxa"/>
            <w:vAlign w:val="bottom"/>
            <w:gridSpan w:val="2"/>
          </w:tcPr>
          <w:p>
            <w:pPr>
              <w:ind w:left="360"/>
              <w:spacing w:after="0"/>
              <w:rPr>
                <w:sz w:val="20"/>
                <w:szCs w:val="20"/>
                <w:color w:val="auto"/>
              </w:rPr>
            </w:pPr>
            <w:r>
              <w:rPr>
                <w:rFonts w:ascii="Arial" w:cs="Arial" w:eastAsia="Arial" w:hAnsi="Arial"/>
                <w:sz w:val="18"/>
                <w:szCs w:val="18"/>
                <w:color w:val="auto"/>
              </w:rPr>
              <w:t>Share-based compensation</w:t>
            </w:r>
          </w:p>
        </w:tc>
        <w:tc>
          <w:tcPr>
            <w:tcW w:w="3020" w:type="dxa"/>
            <w:vAlign w:val="bottom"/>
          </w:tcPr>
          <w:p>
            <w:pPr>
              <w:jc w:val="center"/>
              <w:ind w:right="591"/>
              <w:spacing w:after="0"/>
              <w:rPr>
                <w:sz w:val="20"/>
                <w:szCs w:val="20"/>
                <w:color w:val="auto"/>
              </w:rPr>
            </w:pPr>
            <w:r>
              <w:rPr>
                <w:rFonts w:ascii="Arial" w:cs="Arial" w:eastAsia="Arial" w:hAnsi="Arial"/>
                <w:sz w:val="18"/>
                <w:szCs w:val="18"/>
                <w:color w:val="auto"/>
                <w:w w:val="85"/>
              </w:rPr>
              <w:t>0.09</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56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Restructuring related charges in operating expenses</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85"/>
              </w:rPr>
              <w:t>0.02</w:t>
            </w:r>
          </w:p>
        </w:tc>
      </w:tr>
      <w:tr>
        <w:trPr>
          <w:trHeight w:val="243"/>
        </w:trPr>
        <w:tc>
          <w:tcPr>
            <w:tcW w:w="7560" w:type="dxa"/>
            <w:vAlign w:val="bottom"/>
            <w:gridSpan w:val="2"/>
          </w:tcPr>
          <w:p>
            <w:pPr>
              <w:ind w:left="360"/>
              <w:spacing w:after="0"/>
              <w:rPr>
                <w:sz w:val="20"/>
                <w:szCs w:val="20"/>
                <w:color w:val="auto"/>
              </w:rPr>
            </w:pPr>
            <w:r>
              <w:rPr>
                <w:rFonts w:ascii="Arial" w:cs="Arial" w:eastAsia="Arial" w:hAnsi="Arial"/>
                <w:sz w:val="18"/>
                <w:szCs w:val="18"/>
                <w:color w:val="auto"/>
              </w:rPr>
              <w:t>Amortization of acquired intangible assets</w:t>
            </w:r>
          </w:p>
        </w:tc>
        <w:tc>
          <w:tcPr>
            <w:tcW w:w="3020" w:type="dxa"/>
            <w:vAlign w:val="bottom"/>
          </w:tcPr>
          <w:p>
            <w:pPr>
              <w:jc w:val="center"/>
              <w:ind w:right="591"/>
              <w:spacing w:after="0"/>
              <w:rPr>
                <w:sz w:val="20"/>
                <w:szCs w:val="20"/>
                <w:color w:val="auto"/>
              </w:rPr>
            </w:pPr>
            <w:r>
              <w:rPr>
                <w:rFonts w:ascii="Arial" w:cs="Arial" w:eastAsia="Arial" w:hAnsi="Arial"/>
                <w:sz w:val="18"/>
                <w:szCs w:val="18"/>
                <w:color w:val="auto"/>
                <w:w w:val="85"/>
              </w:rPr>
              <w:t>0.12</w:t>
            </w:r>
          </w:p>
        </w:tc>
      </w:tr>
      <w:tr>
        <w:trPr>
          <w:trHeight w:val="27"/>
        </w:trPr>
        <w:tc>
          <w:tcPr>
            <w:tcW w:w="6880" w:type="dxa"/>
            <w:vAlign w:val="bottom"/>
          </w:tcPr>
          <w:p>
            <w:pPr>
              <w:spacing w:after="0"/>
              <w:rPr>
                <w:sz w:val="2"/>
                <w:szCs w:val="2"/>
                <w:color w:val="auto"/>
              </w:rPr>
            </w:pPr>
          </w:p>
        </w:tc>
        <w:tc>
          <w:tcPr>
            <w:tcW w:w="68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560" w:type="dxa"/>
            <w:vAlign w:val="bottom"/>
            <w:tcBorders>
              <w:bottom w:val="single" w:sz="8" w:color="CCEEFF"/>
            </w:tcBorders>
            <w:gridSpan w:val="2"/>
            <w:shd w:val="clear" w:color="auto" w:fill="CCEEFF"/>
          </w:tcPr>
          <w:p>
            <w:pPr>
              <w:ind w:left="360"/>
              <w:spacing w:after="0"/>
              <w:rPr>
                <w:sz w:val="20"/>
                <w:szCs w:val="20"/>
                <w:color w:val="auto"/>
              </w:rPr>
            </w:pPr>
            <w:r>
              <w:rPr>
                <w:rFonts w:ascii="Arial" w:cs="Arial" w:eastAsia="Arial" w:hAnsi="Arial"/>
                <w:sz w:val="18"/>
                <w:szCs w:val="18"/>
                <w:color w:val="auto"/>
              </w:rPr>
              <w:t>Other (gains) and losses in interest and other income, net</w:t>
            </w:r>
          </w:p>
        </w:tc>
        <w:tc>
          <w:tcPr>
            <w:tcW w:w="3020" w:type="dxa"/>
            <w:vAlign w:val="bottom"/>
            <w:tcBorders>
              <w:bottom w:val="single" w:sz="8" w:color="CCEEFF"/>
            </w:tcBorders>
            <w:shd w:val="clear" w:color="auto" w:fill="CCEEFF"/>
          </w:tcPr>
          <w:p>
            <w:pPr>
              <w:jc w:val="center"/>
              <w:ind w:right="591"/>
              <w:spacing w:after="0"/>
              <w:rPr>
                <w:sz w:val="20"/>
                <w:szCs w:val="20"/>
                <w:color w:val="auto"/>
              </w:rPr>
            </w:pPr>
            <w:r>
              <w:rPr>
                <w:rFonts w:ascii="Arial" w:cs="Arial" w:eastAsia="Arial" w:hAnsi="Arial"/>
                <w:sz w:val="18"/>
                <w:szCs w:val="18"/>
                <w:color w:val="auto"/>
                <w:w w:val="89"/>
              </w:rPr>
              <w:t>(0.01)</w:t>
            </w:r>
          </w:p>
        </w:tc>
      </w:tr>
      <w:tr>
        <w:trPr>
          <w:trHeight w:val="243"/>
        </w:trPr>
        <w:tc>
          <w:tcPr>
            <w:tcW w:w="7560" w:type="dxa"/>
            <w:vAlign w:val="bottom"/>
            <w:gridSpan w:val="2"/>
          </w:tcPr>
          <w:p>
            <w:pPr>
              <w:ind w:left="360"/>
              <w:spacing w:after="0"/>
              <w:rPr>
                <w:sz w:val="20"/>
                <w:szCs w:val="20"/>
                <w:color w:val="auto"/>
              </w:rPr>
            </w:pPr>
            <w:r>
              <w:rPr>
                <w:rFonts w:ascii="Arial" w:cs="Arial" w:eastAsia="Arial" w:hAnsi="Arial"/>
                <w:sz w:val="18"/>
                <w:szCs w:val="18"/>
                <w:color w:val="auto"/>
              </w:rPr>
              <w:t>Other income tax effects and adjustments</w:t>
            </w:r>
          </w:p>
        </w:tc>
        <w:tc>
          <w:tcPr>
            <w:tcW w:w="3020" w:type="dxa"/>
            <w:vAlign w:val="bottom"/>
          </w:tcPr>
          <w:p>
            <w:pPr>
              <w:jc w:val="center"/>
              <w:ind w:right="591"/>
              <w:spacing w:after="0"/>
              <w:rPr>
                <w:sz w:val="20"/>
                <w:szCs w:val="20"/>
                <w:color w:val="auto"/>
              </w:rPr>
            </w:pPr>
            <w:r>
              <w:rPr>
                <w:rFonts w:ascii="Arial" w:cs="Arial" w:eastAsia="Arial" w:hAnsi="Arial"/>
                <w:sz w:val="18"/>
                <w:szCs w:val="18"/>
                <w:color w:val="auto"/>
                <w:w w:val="89"/>
              </w:rPr>
              <w:t>(0.02)</w:t>
            </w:r>
          </w:p>
        </w:tc>
      </w:tr>
      <w:tr>
        <w:trPr>
          <w:trHeight w:val="27"/>
        </w:trPr>
        <w:tc>
          <w:tcPr>
            <w:tcW w:w="6880" w:type="dxa"/>
            <w:vAlign w:val="bottom"/>
            <w:tcBorders>
              <w:bottom w:val="single" w:sz="8" w:color="CCEEFF"/>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37"/>
        </w:trPr>
        <w:tc>
          <w:tcPr>
            <w:tcW w:w="756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Non-GAAP diluted net income per share from continuing operations</w:t>
            </w:r>
          </w:p>
        </w:tc>
        <w:tc>
          <w:tcPr>
            <w:tcW w:w="3020" w:type="dxa"/>
            <w:vAlign w:val="bottom"/>
            <w:shd w:val="clear" w:color="auto" w:fill="CCEEFF"/>
          </w:tcPr>
          <w:p>
            <w:pPr>
              <w:jc w:val="center"/>
              <w:ind w:right="571"/>
              <w:spacing w:after="0"/>
              <w:rPr>
                <w:sz w:val="20"/>
                <w:szCs w:val="20"/>
                <w:color w:val="auto"/>
              </w:rPr>
            </w:pPr>
            <w:r>
              <w:rPr>
                <w:rFonts w:ascii="Arial" w:cs="Arial" w:eastAsia="Arial" w:hAnsi="Arial"/>
                <w:sz w:val="18"/>
                <w:szCs w:val="18"/>
                <w:color w:val="auto"/>
                <w:w w:val="90"/>
              </w:rPr>
              <w:t>$0.30 - $0.34</w:t>
            </w:r>
          </w:p>
        </w:tc>
      </w:tr>
      <w:tr>
        <w:trPr>
          <w:trHeight w:val="27"/>
        </w:trPr>
        <w:tc>
          <w:tcPr>
            <w:tcW w:w="6880" w:type="dxa"/>
            <w:vAlign w:val="bottom"/>
            <w:shd w:val="clear" w:color="auto" w:fill="CCEEFF"/>
          </w:tcPr>
          <w:p>
            <w:pPr>
              <w:spacing w:after="0"/>
              <w:rPr>
                <w:sz w:val="2"/>
                <w:szCs w:val="2"/>
                <w:color w:val="auto"/>
              </w:rPr>
            </w:pPr>
          </w:p>
        </w:tc>
        <w:tc>
          <w:tcPr>
            <w:tcW w:w="680" w:type="dxa"/>
            <w:vAlign w:val="bottom"/>
            <w:shd w:val="clear" w:color="auto" w:fill="CCEEFF"/>
          </w:tcPr>
          <w:p>
            <w:pPr>
              <w:spacing w:after="0"/>
              <w:rPr>
                <w:sz w:val="2"/>
                <w:szCs w:val="2"/>
                <w:color w:val="auto"/>
              </w:rPr>
            </w:pPr>
          </w:p>
        </w:tc>
        <w:tc>
          <w:tcPr>
            <w:tcW w:w="3020" w:type="dxa"/>
            <w:vAlign w:val="bottom"/>
            <w:shd w:val="clear" w:color="auto" w:fill="CCEEFF"/>
          </w:tcPr>
          <w:p>
            <w:pPr>
              <w:spacing w:after="0"/>
              <w:rPr>
                <w:sz w:val="2"/>
                <w:szCs w:val="2"/>
                <w:color w:val="auto"/>
              </w:rPr>
            </w:pPr>
          </w:p>
        </w:tc>
      </w:tr>
    </w:tbl>
    <w:p>
      <w:pPr>
        <w:sectPr>
          <w:pgSz w:w="11900" w:h="16838" w:orient="portrait"/>
          <w:cols w:equalWidth="0" w:num="1">
            <w:col w:w="10580"/>
          </w:cols>
          <w:pgMar w:left="660" w:top="526" w:right="65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6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93"/>
              </w:rPr>
              <w:t>Three Months Ended</w:t>
            </w:r>
          </w:p>
        </w:tc>
        <w:tc>
          <w:tcPr>
            <w:tcW w:w="28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60" w:type="dxa"/>
            <w:vAlign w:val="bottom"/>
            <w:gridSpan w:val="3"/>
          </w:tcPr>
          <w:p>
            <w:pPr>
              <w:ind w:left="10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09"/>
        </w:trPr>
        <w:tc>
          <w:tcPr>
            <w:tcW w:w="2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20" w:type="dxa"/>
            <w:vAlign w:val="bottom"/>
            <w:gridSpan w:val="2"/>
          </w:tcPr>
          <w:p>
            <w:pPr>
              <w:ind w:left="160"/>
              <w:spacing w:after="0"/>
              <w:rPr>
                <w:sz w:val="20"/>
                <w:szCs w:val="20"/>
                <w:color w:val="auto"/>
              </w:rPr>
            </w:pPr>
            <w:r>
              <w:rPr>
                <w:rFonts w:ascii="Arial" w:cs="Arial" w:eastAsia="Arial" w:hAnsi="Arial"/>
                <w:sz w:val="16"/>
                <w:szCs w:val="16"/>
                <w:b w:val="1"/>
                <w:bCs w:val="1"/>
                <w:color w:val="auto"/>
              </w:rPr>
              <w:t>November 3,</w:t>
            </w:r>
          </w:p>
        </w:tc>
        <w:tc>
          <w:tcPr>
            <w:tcW w:w="160" w:type="dxa"/>
            <w:vAlign w:val="bottom"/>
          </w:tcPr>
          <w:p>
            <w:pPr>
              <w:spacing w:after="0"/>
              <w:rPr>
                <w:sz w:val="18"/>
                <w:szCs w:val="18"/>
                <w:color w:val="auto"/>
              </w:rPr>
            </w:pPr>
          </w:p>
        </w:tc>
        <w:tc>
          <w:tcPr>
            <w:tcW w:w="176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0"/>
              </w:rPr>
              <w:t>August 4,</w:t>
            </w:r>
          </w:p>
        </w:tc>
        <w:tc>
          <w:tcPr>
            <w:tcW w:w="280" w:type="dxa"/>
            <w:vAlign w:val="bottom"/>
          </w:tcPr>
          <w:p>
            <w:pPr>
              <w:spacing w:after="0"/>
              <w:rPr>
                <w:sz w:val="18"/>
                <w:szCs w:val="18"/>
                <w:color w:val="auto"/>
              </w:rPr>
            </w:pPr>
          </w:p>
        </w:tc>
        <w:tc>
          <w:tcPr>
            <w:tcW w:w="1620" w:type="dxa"/>
            <w:vAlign w:val="bottom"/>
            <w:gridSpan w:val="2"/>
          </w:tcPr>
          <w:p>
            <w:pPr>
              <w:ind w:left="180"/>
              <w:spacing w:after="0"/>
              <w:rPr>
                <w:sz w:val="20"/>
                <w:szCs w:val="20"/>
                <w:color w:val="auto"/>
              </w:rPr>
            </w:pPr>
            <w:r>
              <w:rPr>
                <w:rFonts w:ascii="Arial" w:cs="Arial" w:eastAsia="Arial" w:hAnsi="Arial"/>
                <w:sz w:val="16"/>
                <w:szCs w:val="16"/>
                <w:b w:val="1"/>
                <w:bCs w:val="1"/>
                <w:color w:val="auto"/>
              </w:rPr>
              <w:t>October 28,</w:t>
            </w: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29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20" w:type="dxa"/>
            <w:vAlign w:val="bottom"/>
          </w:tcPr>
          <w:p>
            <w:pPr>
              <w:jc w:val="right"/>
              <w:ind w:right="659"/>
              <w:spacing w:after="0"/>
              <w:rPr>
                <w:sz w:val="20"/>
                <w:szCs w:val="20"/>
                <w:color w:val="auto"/>
              </w:rPr>
            </w:pPr>
            <w:r>
              <w:rPr>
                <w:rFonts w:ascii="Arial" w:cs="Arial" w:eastAsia="Arial" w:hAnsi="Arial"/>
                <w:sz w:val="16"/>
                <w:szCs w:val="16"/>
                <w:b w:val="1"/>
                <w:bCs w:val="1"/>
                <w:color w:val="auto"/>
              </w:rPr>
              <w:t>2018</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40" w:type="dxa"/>
            <w:vAlign w:val="bottom"/>
          </w:tcPr>
          <w:p>
            <w:pPr>
              <w:jc w:val="center"/>
              <w:ind w:right="59"/>
              <w:spacing w:after="0"/>
              <w:rPr>
                <w:sz w:val="20"/>
                <w:szCs w:val="20"/>
                <w:color w:val="auto"/>
              </w:rPr>
            </w:pPr>
            <w:r>
              <w:rPr>
                <w:rFonts w:ascii="Arial" w:cs="Arial" w:eastAsia="Arial" w:hAnsi="Arial"/>
                <w:sz w:val="16"/>
                <w:szCs w:val="16"/>
                <w:b w:val="1"/>
                <w:bCs w:val="1"/>
                <w:color w:val="auto"/>
              </w:rPr>
              <w:t>2018*</w:t>
            </w: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500" w:type="dxa"/>
            <w:vAlign w:val="bottom"/>
          </w:tcPr>
          <w:p>
            <w:pPr>
              <w:jc w:val="right"/>
              <w:ind w:right="639"/>
              <w:spacing w:after="0"/>
              <w:rPr>
                <w:sz w:val="20"/>
                <w:szCs w:val="20"/>
                <w:color w:val="auto"/>
              </w:rPr>
            </w:pPr>
            <w:r>
              <w:rPr>
                <w:rFonts w:ascii="Arial" w:cs="Arial" w:eastAsia="Arial" w:hAnsi="Arial"/>
                <w:sz w:val="16"/>
                <w:szCs w:val="16"/>
                <w:b w:val="1"/>
                <w:bCs w:val="1"/>
                <w:color w:val="auto"/>
              </w:rPr>
              <w:t>2017</w:t>
            </w:r>
          </w:p>
        </w:tc>
        <w:tc>
          <w:tcPr>
            <w:tcW w:w="120" w:type="dxa"/>
            <w:vAlign w:val="bottom"/>
          </w:tcPr>
          <w:p>
            <w:pPr>
              <w:spacing w:after="0"/>
              <w:rPr>
                <w:sz w:val="18"/>
                <w:szCs w:val="18"/>
                <w:color w:val="auto"/>
              </w:rPr>
            </w:pPr>
          </w:p>
        </w:tc>
        <w:tc>
          <w:tcPr>
            <w:tcW w:w="1860" w:type="dxa"/>
            <w:vAlign w:val="bottom"/>
            <w:gridSpan w:val="3"/>
          </w:tcPr>
          <w:p>
            <w:pPr>
              <w:ind w:left="520"/>
              <w:spacing w:after="0"/>
              <w:rPr>
                <w:sz w:val="20"/>
                <w:szCs w:val="20"/>
                <w:color w:val="auto"/>
              </w:rPr>
            </w:pPr>
            <w:r>
              <w:rPr>
                <w:rFonts w:ascii="Arial" w:cs="Arial" w:eastAsia="Arial" w:hAnsi="Arial"/>
                <w:sz w:val="16"/>
                <w:szCs w:val="16"/>
                <w:b w:val="1"/>
                <w:bCs w:val="1"/>
                <w:color w:val="auto"/>
              </w:rPr>
              <w:t>YoY</w:t>
            </w: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28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rPr>
              <w:t>$</w:t>
            </w: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406,822</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335,764</w:t>
            </w: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315,338</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29 %</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21 %</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28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Arial" w:cs="Arial" w:eastAsia="Arial" w:hAnsi="Arial"/>
                <w:sz w:val="16"/>
                <w:szCs w:val="16"/>
                <w:color w:val="auto"/>
              </w:rPr>
              <w:t>398,424</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40" w:type="dxa"/>
            <w:vAlign w:val="bottom"/>
          </w:tcPr>
          <w:p>
            <w:pPr>
              <w:jc w:val="right"/>
              <w:ind w:right="19"/>
              <w:spacing w:after="0"/>
              <w:rPr>
                <w:sz w:val="20"/>
                <w:szCs w:val="20"/>
                <w:color w:val="auto"/>
              </w:rPr>
            </w:pPr>
            <w:r>
              <w:rPr>
                <w:rFonts w:ascii="Arial" w:cs="Arial" w:eastAsia="Arial" w:hAnsi="Arial"/>
                <w:sz w:val="16"/>
                <w:szCs w:val="16"/>
                <w:color w:val="auto"/>
              </w:rPr>
              <w:t>283,330</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253,159</w:t>
            </w:r>
          </w:p>
        </w:tc>
        <w:tc>
          <w:tcPr>
            <w:tcW w:w="12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57 %</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41 %</w:t>
            </w:r>
          </w:p>
        </w:tc>
      </w:tr>
      <w:tr>
        <w:trPr>
          <w:trHeight w:val="33"/>
        </w:trPr>
        <w:tc>
          <w:tcPr>
            <w:tcW w:w="2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280" w:type="dxa"/>
            <w:vAlign w:val="bottom"/>
            <w:tcBorders>
              <w:bottom w:val="single" w:sz="8" w:color="CCEEFF"/>
            </w:tcBorders>
            <w:shd w:val="clear" w:color="auto" w:fill="CCEEFF"/>
          </w:tcPr>
          <w:p>
            <w:pPr>
              <w:spacing w:after="0"/>
              <w:rPr>
                <w:sz w:val="20"/>
                <w:szCs w:val="20"/>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805,246</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619,094</w:t>
            </w: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5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568,497</w:t>
            </w:r>
          </w:p>
        </w:tc>
        <w:tc>
          <w:tcPr>
            <w:tcW w:w="120" w:type="dxa"/>
            <w:vAlign w:val="bottom"/>
            <w:tcBorders>
              <w:bottom w:val="single" w:sz="8" w:color="CCEEFF"/>
            </w:tcBorders>
            <w:shd w:val="clear" w:color="auto" w:fill="CCEEFF"/>
          </w:tcPr>
          <w:p>
            <w:pPr>
              <w:spacing w:after="0"/>
              <w:rPr>
                <w:sz w:val="20"/>
                <w:szCs w:val="20"/>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42 %</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30 %</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28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Arial" w:cs="Arial" w:eastAsia="Arial" w:hAnsi="Arial"/>
                <w:sz w:val="16"/>
                <w:szCs w:val="16"/>
                <w:color w:val="auto"/>
              </w:rPr>
              <w:t>45,805</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40" w:type="dxa"/>
            <w:vAlign w:val="bottom"/>
          </w:tcPr>
          <w:p>
            <w:pPr>
              <w:jc w:val="right"/>
              <w:ind w:right="19"/>
              <w:spacing w:after="0"/>
              <w:rPr>
                <w:sz w:val="20"/>
                <w:szCs w:val="20"/>
                <w:color w:val="auto"/>
              </w:rPr>
            </w:pPr>
            <w:r>
              <w:rPr>
                <w:rFonts w:ascii="Arial" w:cs="Arial" w:eastAsia="Arial" w:hAnsi="Arial"/>
                <w:sz w:val="16"/>
                <w:szCs w:val="16"/>
                <w:color w:val="auto"/>
              </w:rPr>
              <w:t>46,216</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500" w:type="dxa"/>
            <w:vAlign w:val="bottom"/>
          </w:tcPr>
          <w:p>
            <w:pPr>
              <w:jc w:val="right"/>
              <w:ind w:right="19"/>
              <w:spacing w:after="0"/>
              <w:rPr>
                <w:sz w:val="20"/>
                <w:szCs w:val="20"/>
                <w:color w:val="auto"/>
              </w:rPr>
            </w:pPr>
            <w:r>
              <w:rPr>
                <w:rFonts w:ascii="Arial" w:cs="Arial" w:eastAsia="Arial" w:hAnsi="Arial"/>
                <w:sz w:val="16"/>
                <w:szCs w:val="16"/>
                <w:color w:val="auto"/>
              </w:rPr>
              <w:t>47,805</w:t>
            </w:r>
          </w:p>
        </w:tc>
        <w:tc>
          <w:tcPr>
            <w:tcW w:w="120" w:type="dxa"/>
            <w:vAlign w:val="bottom"/>
          </w:tcPr>
          <w:p>
            <w:pPr>
              <w:spacing w:after="0"/>
              <w:rPr>
                <w:sz w:val="20"/>
                <w:szCs w:val="20"/>
                <w:color w:val="auto"/>
              </w:rPr>
            </w:pPr>
          </w:p>
        </w:tc>
        <w:tc>
          <w:tcPr>
            <w:tcW w:w="1340" w:type="dxa"/>
            <w:vAlign w:val="bottom"/>
          </w:tcPr>
          <w:p>
            <w:pPr>
              <w:jc w:val="right"/>
              <w:spacing w:after="0"/>
              <w:rPr>
                <w:sz w:val="20"/>
                <w:szCs w:val="20"/>
                <w:color w:val="auto"/>
              </w:rPr>
            </w:pPr>
            <w:r>
              <w:rPr>
                <w:rFonts w:ascii="Arial" w:cs="Arial" w:eastAsia="Arial" w:hAnsi="Arial"/>
                <w:sz w:val="16"/>
                <w:szCs w:val="16"/>
                <w:color w:val="auto"/>
              </w:rPr>
              <w:t>(4)%</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w:t>
            </w:r>
          </w:p>
        </w:tc>
      </w:tr>
      <w:tr>
        <w:trPr>
          <w:trHeight w:val="33"/>
        </w:trPr>
        <w:tc>
          <w:tcPr>
            <w:tcW w:w="29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44"/>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280" w:type="dxa"/>
            <w:vAlign w:val="bottom"/>
            <w:tcBorders>
              <w:bottom w:val="single" w:sz="8" w:color="auto"/>
            </w:tcBorders>
            <w:shd w:val="clear" w:color="auto" w:fill="CCEEFF"/>
          </w:tcPr>
          <w:p>
            <w:pPr>
              <w:jc w:val="right"/>
              <w:ind w:right="79"/>
              <w:spacing w:after="0"/>
              <w:rPr>
                <w:sz w:val="20"/>
                <w:szCs w:val="20"/>
                <w:color w:val="auto"/>
              </w:rPr>
            </w:pPr>
            <w:r>
              <w:rPr>
                <w:rFonts w:ascii="Arial" w:cs="Arial" w:eastAsia="Arial" w:hAnsi="Arial"/>
                <w:sz w:val="16"/>
                <w:szCs w:val="16"/>
                <w:color w:val="auto"/>
              </w:rPr>
              <w:t>$</w:t>
            </w:r>
          </w:p>
        </w:tc>
        <w:tc>
          <w:tcPr>
            <w:tcW w:w="1520" w:type="dxa"/>
            <w:vAlign w:val="bottom"/>
            <w:tcBorders>
              <w:bottom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rPr>
              <w:t>851,051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40" w:type="dxa"/>
            <w:vAlign w:val="bottom"/>
            <w:tcBorders>
              <w:bottom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rPr>
              <w:t>665,310</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1500" w:type="dxa"/>
            <w:vAlign w:val="bottom"/>
            <w:tcBorders>
              <w:bottom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rPr>
              <w:t>616,302</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38 %</w:t>
            </w:r>
          </w:p>
        </w:tc>
        <w:tc>
          <w:tcPr>
            <w:tcW w:w="10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auto"/>
            </w:tcBorders>
            <w:shd w:val="clear" w:color="auto" w:fill="CCEEFF"/>
          </w:tcPr>
          <w:p>
            <w:pPr>
              <w:spacing w:after="0"/>
              <w:rPr>
                <w:sz w:val="21"/>
                <w:szCs w:val="21"/>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28 %</w:t>
            </w:r>
          </w:p>
        </w:tc>
      </w:tr>
      <w:tr>
        <w:trPr>
          <w:trHeight w:val="20"/>
        </w:trPr>
        <w:tc>
          <w:tcPr>
            <w:tcW w:w="29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rPr>
          <w:sz w:val="20"/>
          <w:szCs w:val="20"/>
          <w:color w:val="auto"/>
        </w:rPr>
      </w:pPr>
      <w:r>
        <w:rPr>
          <w:rFonts w:ascii="Arial" w:cs="Arial" w:eastAsia="Arial" w:hAnsi="Arial"/>
          <w:sz w:val="18"/>
          <w:szCs w:val="18"/>
          <w:color w:val="auto"/>
        </w:rPr>
        <w:t>* Results for the three months ended August 4, 2018 include total Cavium revenue from the period July 6, 2018 to August 4, 2018.</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8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280"/>
              <w:spacing w:after="0"/>
              <w:rPr>
                <w:sz w:val="20"/>
                <w:szCs w:val="20"/>
                <w:color w:val="auto"/>
              </w:rPr>
            </w:pPr>
            <w:r>
              <w:rPr>
                <w:rFonts w:ascii="Arial" w:cs="Arial" w:eastAsia="Arial" w:hAnsi="Arial"/>
                <w:sz w:val="16"/>
                <w:szCs w:val="16"/>
                <w:b w:val="1"/>
                <w:bCs w:val="1"/>
                <w:color w:val="auto"/>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9"/>
        </w:trPr>
        <w:tc>
          <w:tcPr>
            <w:tcW w:w="5280" w:type="dxa"/>
            <w:vAlign w:val="bottom"/>
          </w:tcPr>
          <w:p>
            <w:pPr>
              <w:spacing w:after="0"/>
              <w:rPr>
                <w:sz w:val="18"/>
                <w:szCs w:val="18"/>
                <w:color w:val="auto"/>
              </w:rPr>
            </w:pPr>
          </w:p>
        </w:tc>
        <w:tc>
          <w:tcPr>
            <w:tcW w:w="1500" w:type="dxa"/>
            <w:vAlign w:val="bottom"/>
          </w:tcPr>
          <w:p>
            <w:pPr>
              <w:jc w:val="center"/>
              <w:ind w:left="379"/>
              <w:spacing w:after="0"/>
              <w:rPr>
                <w:sz w:val="20"/>
                <w:szCs w:val="20"/>
                <w:color w:val="auto"/>
              </w:rPr>
            </w:pPr>
            <w:r>
              <w:rPr>
                <w:rFonts w:ascii="Arial" w:cs="Arial" w:eastAsia="Arial" w:hAnsi="Arial"/>
                <w:sz w:val="16"/>
                <w:szCs w:val="16"/>
                <w:b w:val="1"/>
                <w:bCs w:val="1"/>
                <w:color w:val="auto"/>
                <w:w w:val="91"/>
              </w:rPr>
              <w:t>November 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640"/>
              <w:spacing w:after="0"/>
              <w:rPr>
                <w:sz w:val="20"/>
                <w:szCs w:val="20"/>
                <w:color w:val="auto"/>
              </w:rPr>
            </w:pPr>
            <w:r>
              <w:rPr>
                <w:rFonts w:ascii="Arial" w:cs="Arial" w:eastAsia="Arial" w:hAnsi="Arial"/>
                <w:sz w:val="16"/>
                <w:szCs w:val="16"/>
                <w:b w:val="1"/>
                <w:bCs w:val="1"/>
                <w:color w:val="auto"/>
              </w:rPr>
              <w:t>August 4,</w:t>
            </w:r>
          </w:p>
        </w:tc>
        <w:tc>
          <w:tcPr>
            <w:tcW w:w="1980" w:type="dxa"/>
            <w:vAlign w:val="bottom"/>
          </w:tcPr>
          <w:p>
            <w:pPr>
              <w:jc w:val="right"/>
              <w:ind w:right="519"/>
              <w:spacing w:after="0"/>
              <w:rPr>
                <w:sz w:val="20"/>
                <w:szCs w:val="20"/>
                <w:color w:val="auto"/>
              </w:rPr>
            </w:pPr>
            <w:r>
              <w:rPr>
                <w:rFonts w:ascii="Arial" w:cs="Arial" w:eastAsia="Arial" w:hAnsi="Arial"/>
                <w:sz w:val="16"/>
                <w:szCs w:val="16"/>
                <w:b w:val="1"/>
                <w:bCs w:val="1"/>
                <w:color w:val="auto"/>
              </w:rPr>
              <w:t>October 28,</w:t>
            </w:r>
          </w:p>
        </w:tc>
      </w:tr>
      <w:tr>
        <w:trPr>
          <w:trHeight w:val="210"/>
        </w:trPr>
        <w:tc>
          <w:tcPr>
            <w:tcW w:w="528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1500" w:type="dxa"/>
            <w:vAlign w:val="bottom"/>
          </w:tcPr>
          <w:p>
            <w:pPr>
              <w:jc w:val="right"/>
              <w:ind w:right="259"/>
              <w:spacing w:after="0"/>
              <w:rPr>
                <w:sz w:val="20"/>
                <w:szCs w:val="20"/>
                <w:color w:val="auto"/>
              </w:rPr>
            </w:pPr>
            <w:r>
              <w:rPr>
                <w:rFonts w:ascii="Arial" w:cs="Arial" w:eastAsia="Arial" w:hAnsi="Arial"/>
                <w:sz w:val="16"/>
                <w:szCs w:val="16"/>
                <w:b w:val="1"/>
                <w:bCs w:val="1"/>
                <w:color w:val="auto"/>
              </w:rPr>
              <w:t>2018</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Arial" w:cs="Arial" w:eastAsia="Arial" w:hAnsi="Arial"/>
                <w:sz w:val="16"/>
                <w:szCs w:val="16"/>
                <w:b w:val="1"/>
                <w:bCs w:val="1"/>
                <w:color w:val="auto"/>
              </w:rPr>
              <w:t>2018</w:t>
            </w: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Arial" w:cs="Arial" w:eastAsia="Arial" w:hAnsi="Arial"/>
                <w:sz w:val="16"/>
                <w:szCs w:val="16"/>
                <w:b w:val="1"/>
                <w:bCs w:val="1"/>
                <w:color w:val="auto"/>
              </w:rPr>
              <w:t>2017</w:t>
            </w:r>
          </w:p>
        </w:tc>
      </w:tr>
      <w:tr>
        <w:trPr>
          <w:trHeight w:val="33"/>
        </w:trPr>
        <w:tc>
          <w:tcPr>
            <w:tcW w:w="528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500" w:type="dxa"/>
            <w:vAlign w:val="bottom"/>
            <w:tcBorders>
              <w:bottom w:val="single" w:sz="8" w:color="CCEEFF"/>
            </w:tcBorders>
            <w:shd w:val="clear" w:color="auto" w:fill="CCEEFF"/>
          </w:tcPr>
          <w:p>
            <w:pPr>
              <w:spacing w:after="0"/>
              <w:rPr>
                <w:sz w:val="20"/>
                <w:szCs w:val="20"/>
                <w:color w:val="auto"/>
              </w:rPr>
            </w:pPr>
          </w:p>
        </w:tc>
        <w:tc>
          <w:tcPr>
            <w:tcW w:w="4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48%</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50%</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51%</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50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6"/>
                <w:szCs w:val="16"/>
                <w:color w:val="auto"/>
              </w:rPr>
              <w:t>47%</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43%</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41%</w:t>
            </w:r>
          </w:p>
        </w:tc>
      </w:tr>
      <w:tr>
        <w:trPr>
          <w:trHeight w:val="33"/>
        </w:trPr>
        <w:tc>
          <w:tcPr>
            <w:tcW w:w="528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1500" w:type="dxa"/>
            <w:vAlign w:val="bottom"/>
            <w:tcBorders>
              <w:bottom w:val="single" w:sz="8" w:color="CCEEFF"/>
            </w:tcBorders>
            <w:shd w:val="clear" w:color="auto" w:fill="CCEEFF"/>
          </w:tcPr>
          <w:p>
            <w:pPr>
              <w:spacing w:after="0"/>
              <w:rPr>
                <w:sz w:val="20"/>
                <w:szCs w:val="20"/>
                <w:color w:val="auto"/>
              </w:rPr>
            </w:pPr>
          </w:p>
        </w:tc>
        <w:tc>
          <w:tcPr>
            <w:tcW w:w="4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95%</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500" w:type="dxa"/>
            <w:vAlign w:val="bottom"/>
          </w:tcPr>
          <w:p>
            <w:pPr>
              <w:spacing w:after="0"/>
              <w:rPr>
                <w:sz w:val="20"/>
                <w:szCs w:val="20"/>
                <w:color w:val="auto"/>
              </w:rPr>
            </w:pPr>
          </w:p>
        </w:tc>
        <w:tc>
          <w:tcPr>
            <w:tcW w:w="480" w:type="dxa"/>
            <w:vAlign w:val="bottom"/>
          </w:tcPr>
          <w:p>
            <w:pPr>
              <w:jc w:val="right"/>
              <w:spacing w:after="0"/>
              <w:rPr>
                <w:sz w:val="20"/>
                <w:szCs w:val="20"/>
                <w:color w:val="auto"/>
              </w:rPr>
            </w:pPr>
            <w:r>
              <w:rPr>
                <w:rFonts w:ascii="Arial" w:cs="Arial" w:eastAsia="Arial" w:hAnsi="Arial"/>
                <w:sz w:val="16"/>
                <w:szCs w:val="16"/>
                <w:color w:val="auto"/>
              </w:rPr>
              <w:t>5%</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7%</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8%</w:t>
            </w:r>
          </w:p>
        </w:tc>
      </w:tr>
      <w:tr>
        <w:trPr>
          <w:trHeight w:val="33"/>
        </w:trPr>
        <w:tc>
          <w:tcPr>
            <w:tcW w:w="528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55"/>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15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r>
      <w:tr>
        <w:trPr>
          <w:trHeight w:val="20"/>
        </w:trPr>
        <w:tc>
          <w:tcPr>
            <w:tcW w:w="5280" w:type="dxa"/>
            <w:vAlign w:val="bottom"/>
            <w:tcBorders>
              <w:top w:val="single" w:sz="8" w:color="CCEEFF"/>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and SSD Controllers, Fibre Channel Adapters and Data Center Storage Solutions.</w:t>
      </w:r>
    </w:p>
    <w:p>
      <w:pPr>
        <w:spacing w:after="0" w:line="63" w:lineRule="exact"/>
        <w:rPr>
          <w:rFonts w:ascii="Arial" w:cs="Arial" w:eastAsia="Arial" w:hAnsi="Arial"/>
          <w:sz w:val="18"/>
          <w:szCs w:val="18"/>
          <w:i w:val="1"/>
          <w:iCs w:val="1"/>
          <w:color w:val="auto"/>
        </w:rPr>
      </w:pPr>
    </w:p>
    <w:p>
      <w:pPr>
        <w:ind w:left="280" w:hanging="245"/>
        <w:spacing w:after="0"/>
        <w:tabs>
          <w:tab w:leader="none" w:pos="280" w:val="left"/>
        </w:tabs>
        <w:numPr>
          <w:ilvl w:val="0"/>
          <w:numId w:val="6"/>
        </w:numPr>
        <w:rPr>
          <w:rFonts w:ascii="Arial" w:cs="Arial" w:eastAsia="Arial" w:hAnsi="Arial"/>
          <w:sz w:val="17"/>
          <w:szCs w:val="17"/>
          <w:i w:val="1"/>
          <w:iCs w:val="1"/>
          <w:color w:val="auto"/>
        </w:rPr>
      </w:pPr>
      <w:r>
        <w:rPr>
          <w:rFonts w:ascii="Arial" w:cs="Arial" w:eastAsia="Arial" w:hAnsi="Arial"/>
          <w:sz w:val="17"/>
          <w:szCs w:val="17"/>
          <w:color w:val="auto"/>
        </w:rPr>
        <w:t>Networking products are comprised primarily of Ethernet Switches, Ethernet Transceivers, Ethernet NICs, Embedded Communication Processors,</w:t>
      </w:r>
    </w:p>
    <w:p>
      <w:pPr>
        <w:spacing w:after="0" w:line="34" w:lineRule="exact"/>
        <w:rPr>
          <w:rFonts w:ascii="Arial" w:cs="Arial" w:eastAsia="Arial" w:hAnsi="Arial"/>
          <w:sz w:val="17"/>
          <w:szCs w:val="17"/>
          <w:i w:val="1"/>
          <w:iCs w:val="1"/>
          <w:color w:val="auto"/>
        </w:rPr>
      </w:pPr>
    </w:p>
    <w:p>
      <w:pPr>
        <w:ind w:left="40" w:right="320"/>
        <w:spacing w:after="0" w:line="307" w:lineRule="auto"/>
        <w:rPr>
          <w:rFonts w:ascii="Arial" w:cs="Arial" w:eastAsia="Arial" w:hAnsi="Arial"/>
          <w:sz w:val="17"/>
          <w:szCs w:val="17"/>
          <w:i w:val="1"/>
          <w:iCs w:val="1"/>
          <w:color w:val="auto"/>
        </w:rPr>
      </w:pPr>
      <w:r>
        <w:rPr>
          <w:rFonts w:ascii="Arial" w:cs="Arial" w:eastAsia="Arial" w:hAnsi="Arial"/>
          <w:sz w:val="16"/>
          <w:szCs w:val="16"/>
          <w:color w:val="auto"/>
        </w:rPr>
        <w:t>Automotive Ethernet, Security Adapters and Processors as well as WiFi solutions including WiFi only, WiFi/Bluetooth combos and WiFi Microcontroller combos. In addition, this grouping includes a few legacy product lines in which we no longer invest, but will generate revenue for several years.</w:t>
      </w:r>
    </w:p>
    <w:p>
      <w:pPr>
        <w:spacing w:after="0" w:line="1" w:lineRule="exact"/>
        <w:rPr>
          <w:rFonts w:ascii="Arial" w:cs="Arial" w:eastAsia="Arial" w:hAnsi="Arial"/>
          <w:sz w:val="17"/>
          <w:szCs w:val="17"/>
          <w:i w:val="1"/>
          <w:iCs w:val="1"/>
          <w:color w:val="auto"/>
        </w:rPr>
      </w:pPr>
    </w:p>
    <w:p>
      <w:pPr>
        <w:ind w:left="280" w:hanging="245"/>
        <w:spacing w:after="0"/>
        <w:tabs>
          <w:tab w:leader="none" w:pos="28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2019-12-28T17:37:02Z</dcterms:created>
  <dcterms:modified xsi:type="dcterms:W3CDTF">2019-12-28T17:37:02Z</dcterms:modified>
</cp:coreProperties>
</file>