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UNITED STATES</w:t>
      </w:r>
    </w:p>
    <w:p>
      <w:pPr>
        <w:spacing w:after="0" w:line="5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1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12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10-Q</w:t>
      </w:r>
    </w:p>
    <w:p>
      <w:pPr>
        <w:spacing w:after="0" w:line="103"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(Mark One)</w:t>
      </w:r>
    </w:p>
    <w:p>
      <w:pPr>
        <w:spacing w:after="0" w:line="162" w:lineRule="exact"/>
        <w:rPr>
          <w:sz w:val="24"/>
          <w:szCs w:val="24"/>
          <w:color w:val="auto"/>
        </w:rPr>
      </w:pPr>
    </w:p>
    <w:p>
      <w:pPr>
        <w:ind w:left="720" w:right="160" w:hanging="685"/>
        <w:spacing w:after="0" w:line="262" w:lineRule="auto"/>
        <w:tabs>
          <w:tab w:leader="none" w:pos="720" w:val="left"/>
        </w:tabs>
        <w:numPr>
          <w:ilvl w:val="0"/>
          <w:numId w:val="1"/>
        </w:numPr>
        <w:rPr>
          <w:rFonts w:ascii="MS PGothic" w:cs="MS PGothic" w:eastAsia="MS PGothic" w:hAnsi="MS PGothic"/>
          <w:sz w:val="22"/>
          <w:szCs w:val="22"/>
          <w:color w:val="auto"/>
        </w:rPr>
      </w:pPr>
      <w:r>
        <w:rPr>
          <w:rFonts w:ascii="Times New Roman" w:cs="Times New Roman" w:eastAsia="Times New Roman" w:hAnsi="Times New Roman"/>
          <w:sz w:val="22"/>
          <w:szCs w:val="22"/>
          <w:b w:val="1"/>
          <w:bCs w:val="1"/>
          <w:color w:val="auto"/>
        </w:rPr>
        <w:t>QUARTERLY REPORT PURSUANT TO SECTION 13 OR 15(d) OF THE SECURITIES EXCHANGE ACT OF 1934</w:t>
      </w:r>
    </w:p>
    <w:p>
      <w:pPr>
        <w:spacing w:after="0" w:line="13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For the quarterly period ended November 3, 2018</w:t>
      </w:r>
    </w:p>
    <w:p>
      <w:pPr>
        <w:spacing w:after="0" w:line="17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or</w:t>
      </w:r>
    </w:p>
    <w:p>
      <w:pPr>
        <w:spacing w:after="0" w:line="162" w:lineRule="exact"/>
        <w:rPr>
          <w:sz w:val="24"/>
          <w:szCs w:val="24"/>
          <w:color w:val="auto"/>
        </w:rPr>
      </w:pPr>
    </w:p>
    <w:p>
      <w:pPr>
        <w:ind w:left="720" w:right="260" w:hanging="685"/>
        <w:spacing w:after="0" w:line="262" w:lineRule="auto"/>
        <w:tabs>
          <w:tab w:leader="none" w:pos="720" w:val="left"/>
        </w:tabs>
        <w:numPr>
          <w:ilvl w:val="0"/>
          <w:numId w:val="2"/>
        </w:numPr>
        <w:rPr>
          <w:rFonts w:ascii="MS PGothic" w:cs="MS PGothic" w:eastAsia="MS PGothic" w:hAnsi="MS PGothic"/>
          <w:sz w:val="22"/>
          <w:szCs w:val="22"/>
          <w:color w:val="auto"/>
        </w:rPr>
      </w:pPr>
      <w:r>
        <w:rPr>
          <w:rFonts w:ascii="Times New Roman" w:cs="Times New Roman" w:eastAsia="Times New Roman" w:hAnsi="Times New Roman"/>
          <w:sz w:val="22"/>
          <w:szCs w:val="22"/>
          <w:b w:val="1"/>
          <w:bCs w:val="1"/>
          <w:color w:val="auto"/>
        </w:rPr>
        <w:t>TRANSITION REPORT PURSUANT TO SECTION 13 or 15(d) OF THE SECURITIES EXCHANGE ACT OF 1934</w:t>
      </w:r>
    </w:p>
    <w:p>
      <w:pPr>
        <w:spacing w:after="0" w:line="132" w:lineRule="exact"/>
        <w:rPr>
          <w:sz w:val="24"/>
          <w:szCs w:val="24"/>
          <w:color w:val="auto"/>
        </w:rPr>
      </w:pPr>
    </w:p>
    <w:p>
      <w:pPr>
        <w:ind w:left="3860"/>
        <w:spacing w:after="0"/>
        <w:tabs>
          <w:tab w:leader="none" w:pos="6800" w:val="left"/>
        </w:tabs>
        <w:rPr>
          <w:sz w:val="20"/>
          <w:szCs w:val="20"/>
          <w:color w:val="auto"/>
        </w:rPr>
      </w:pPr>
      <w:r>
        <w:rPr>
          <w:rFonts w:ascii="Times New Roman" w:cs="Times New Roman" w:eastAsia="Times New Roman" w:hAnsi="Times New Roman"/>
          <w:sz w:val="18"/>
          <w:szCs w:val="18"/>
          <w:b w:val="1"/>
          <w:bCs w:val="1"/>
          <w:color w:val="auto"/>
        </w:rPr>
        <w:t>For the transition period from</w:t>
      </w:r>
      <w:r>
        <w:rPr>
          <w:sz w:val="20"/>
          <w:szCs w:val="20"/>
          <w:color w:val="auto"/>
        </w:rPr>
        <w:tab/>
      </w:r>
      <w:r>
        <w:rPr>
          <w:rFonts w:ascii="Times New Roman" w:cs="Times New Roman" w:eastAsia="Times New Roman" w:hAnsi="Times New Roman"/>
          <w:sz w:val="18"/>
          <w:szCs w:val="18"/>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3962400</wp:posOffset>
            </wp:positionH>
            <wp:positionV relativeFrom="paragraph">
              <wp:posOffset>-5080</wp:posOffset>
            </wp:positionV>
            <wp:extent cx="8382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8200" cy="8890"/>
                    </a:xfrm>
                    <a:prstGeom prst="rect">
                      <a:avLst/>
                    </a:prstGeom>
                    <a:noFill/>
                  </pic:spPr>
                </pic:pic>
              </a:graphicData>
            </a:graphic>
          </wp:anchor>
        </w:drawing>
      </w:r>
    </w:p>
    <w:p>
      <w:pPr>
        <w:spacing w:after="0" w:line="15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Commission file number: 000-30877</w:t>
      </w:r>
    </w:p>
    <w:p>
      <w:pPr>
        <w:spacing w:after="0" w:line="75"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5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147" w:lineRule="exact"/>
        <w:rPr>
          <w:sz w:val="24"/>
          <w:szCs w:val="24"/>
          <w:color w:val="auto"/>
        </w:rPr>
      </w:pPr>
    </w:p>
    <w:tbl>
      <w:tblPr>
        <w:tblLayout w:type="fixed"/>
        <w:tblInd w:w="1880" w:type="dxa"/>
        <w:tblCellMar>
          <w:top w:w="0" w:type="dxa"/>
          <w:left w:w="0" w:type="dxa"/>
          <w:bottom w:w="0" w:type="dxa"/>
          <w:right w:w="0" w:type="dxa"/>
        </w:tblCellMar>
      </w:tblPr>
      <w:tr>
        <w:trPr>
          <w:trHeight w:val="238"/>
        </w:trPr>
        <w:tc>
          <w:tcPr>
            <w:tcW w:w="4060" w:type="dxa"/>
            <w:vAlign w:val="bottom"/>
          </w:tcPr>
          <w:p>
            <w:pPr>
              <w:jc w:val="center"/>
              <w:ind w:right="210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3300" w:type="dxa"/>
            <w:vAlign w:val="bottom"/>
          </w:tcPr>
          <w:p>
            <w:pPr>
              <w:jc w:val="center"/>
              <w:ind w:left="2122"/>
              <w:spacing w:after="0"/>
              <w:rPr>
                <w:sz w:val="20"/>
                <w:szCs w:val="20"/>
                <w:color w:val="auto"/>
              </w:rPr>
            </w:pPr>
            <w:r>
              <w:rPr>
                <w:rFonts w:ascii="Times New Roman" w:cs="Times New Roman" w:eastAsia="Times New Roman" w:hAnsi="Times New Roman"/>
                <w:sz w:val="18"/>
                <w:szCs w:val="18"/>
                <w:b w:val="1"/>
                <w:bCs w:val="1"/>
                <w:color w:val="auto"/>
                <w:w w:val="98"/>
              </w:rPr>
              <w:t>77-0481679</w:t>
            </w:r>
          </w:p>
        </w:tc>
      </w:tr>
      <w:tr>
        <w:trPr>
          <w:trHeight w:val="178"/>
        </w:trPr>
        <w:tc>
          <w:tcPr>
            <w:tcW w:w="4060" w:type="dxa"/>
            <w:vAlign w:val="bottom"/>
          </w:tcPr>
          <w:p>
            <w:pPr>
              <w:jc w:val="center"/>
              <w:ind w:right="2122"/>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tc>
        <w:tc>
          <w:tcPr>
            <w:tcW w:w="3300" w:type="dxa"/>
            <w:vAlign w:val="bottom"/>
          </w:tcPr>
          <w:p>
            <w:pPr>
              <w:jc w:val="center"/>
              <w:ind w:left="2102"/>
              <w:spacing w:after="0"/>
              <w:rPr>
                <w:sz w:val="20"/>
                <w:szCs w:val="20"/>
                <w:color w:val="auto"/>
              </w:rPr>
            </w:pPr>
            <w:r>
              <w:rPr>
                <w:rFonts w:ascii="Times New Roman" w:cs="Times New Roman" w:eastAsia="Times New Roman" w:hAnsi="Times New Roman"/>
                <w:sz w:val="14"/>
                <w:szCs w:val="14"/>
                <w:b w:val="1"/>
                <w:bCs w:val="1"/>
                <w:color w:val="auto"/>
              </w:rPr>
              <w:t>(I.R.S. Employer</w:t>
            </w:r>
          </w:p>
        </w:tc>
      </w:tr>
      <w:tr>
        <w:trPr>
          <w:trHeight w:val="190"/>
        </w:trPr>
        <w:tc>
          <w:tcPr>
            <w:tcW w:w="4060" w:type="dxa"/>
            <w:vAlign w:val="bottom"/>
          </w:tcPr>
          <w:p>
            <w:pPr>
              <w:jc w:val="center"/>
              <w:ind w:right="2122"/>
              <w:spacing w:after="0"/>
              <w:rPr>
                <w:sz w:val="20"/>
                <w:szCs w:val="20"/>
                <w:color w:val="auto"/>
              </w:rPr>
            </w:pPr>
            <w:r>
              <w:rPr>
                <w:rFonts w:ascii="Times New Roman" w:cs="Times New Roman" w:eastAsia="Times New Roman" w:hAnsi="Times New Roman"/>
                <w:sz w:val="14"/>
                <w:szCs w:val="14"/>
                <w:b w:val="1"/>
                <w:bCs w:val="1"/>
                <w:color w:val="auto"/>
              </w:rPr>
              <w:t>incorporation or organization)</w:t>
            </w:r>
          </w:p>
        </w:tc>
        <w:tc>
          <w:tcPr>
            <w:tcW w:w="3300" w:type="dxa"/>
            <w:vAlign w:val="bottom"/>
          </w:tcPr>
          <w:p>
            <w:pPr>
              <w:jc w:val="center"/>
              <w:ind w:left="2102"/>
              <w:spacing w:after="0"/>
              <w:rPr>
                <w:sz w:val="20"/>
                <w:szCs w:val="20"/>
                <w:color w:val="auto"/>
              </w:rPr>
            </w:pPr>
            <w:r>
              <w:rPr>
                <w:rFonts w:ascii="Times New Roman" w:cs="Times New Roman" w:eastAsia="Times New Roman" w:hAnsi="Times New Roman"/>
                <w:sz w:val="14"/>
                <w:szCs w:val="14"/>
                <w:b w:val="1"/>
                <w:bCs w:val="1"/>
                <w:color w:val="auto"/>
              </w:rPr>
              <w:t>Identification No.)</w:t>
            </w:r>
          </w:p>
        </w:tc>
      </w:tr>
    </w:tbl>
    <w:p>
      <w:pPr>
        <w:spacing w:after="0" w:line="15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Canon’s Court, 22 Victoria Street, Hamilton HM 12, Bermuda</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Zip Code and registrant’s telephone number, including area code)</w:t>
      </w:r>
    </w:p>
    <w:p>
      <w:pPr>
        <w:spacing w:after="0" w:line="152" w:lineRule="exact"/>
        <w:rPr>
          <w:sz w:val="24"/>
          <w:szCs w:val="24"/>
          <w:color w:val="auto"/>
        </w:rPr>
      </w:pPr>
    </w:p>
    <w:p>
      <w:pPr>
        <w:ind w:firstLine="432"/>
        <w:spacing w:after="0" w:line="229"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Yes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No</w:t>
      </w:r>
    </w:p>
    <w:p>
      <w:pPr>
        <w:spacing w:after="0" w:line="125" w:lineRule="exact"/>
        <w:rPr>
          <w:sz w:val="24"/>
          <w:szCs w:val="24"/>
          <w:color w:val="auto"/>
        </w:rPr>
      </w:pPr>
    </w:p>
    <w:p>
      <w:pPr>
        <w:ind w:right="220" w:firstLine="432"/>
        <w:spacing w:after="0" w:line="229"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Yes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No</w:t>
      </w:r>
    </w:p>
    <w:p>
      <w:pPr>
        <w:spacing w:after="0" w:line="125" w:lineRule="exact"/>
        <w:rPr>
          <w:sz w:val="24"/>
          <w:szCs w:val="24"/>
          <w:color w:val="auto"/>
        </w:rPr>
      </w:pPr>
    </w:p>
    <w:p>
      <w:pPr>
        <w:jc w:val="both"/>
        <w:ind w:right="40" w:firstLine="432"/>
        <w:spacing w:after="0" w:line="266" w:lineRule="auto"/>
        <w:rPr>
          <w:sz w:val="20"/>
          <w:szCs w:val="20"/>
          <w:color w:val="auto"/>
        </w:rPr>
      </w:pPr>
      <w:r>
        <w:rPr>
          <w:rFonts w:ascii="Times New Roman" w:cs="Times New Roman" w:eastAsia="Times New Roman" w:hAnsi="Times New Roman"/>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255"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Large accelerated filer</w:t>
            </w:r>
          </w:p>
        </w:tc>
        <w:tc>
          <w:tcPr>
            <w:tcW w:w="512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3520" w:type="dxa"/>
            <w:vAlign w:val="bottom"/>
          </w:tcPr>
          <w:p>
            <w:pPr>
              <w:ind w:left="1220"/>
              <w:spacing w:after="0"/>
              <w:rPr>
                <w:sz w:val="20"/>
                <w:szCs w:val="20"/>
                <w:color w:val="auto"/>
              </w:rPr>
            </w:pPr>
            <w:r>
              <w:rPr>
                <w:rFonts w:ascii="Times New Roman" w:cs="Times New Roman" w:eastAsia="Times New Roman" w:hAnsi="Times New Roman"/>
                <w:sz w:val="18"/>
                <w:szCs w:val="18"/>
                <w:color w:val="auto"/>
              </w:rPr>
              <w:t>Accelerated filer</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554"/>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Non-accelerated filer</w:t>
            </w:r>
          </w:p>
        </w:tc>
        <w:tc>
          <w:tcPr>
            <w:tcW w:w="5120" w:type="dxa"/>
            <w:vAlign w:val="bottom"/>
          </w:tcPr>
          <w:p>
            <w:pPr>
              <w:ind w:left="280"/>
              <w:spacing w:after="0" w:line="207" w:lineRule="exact"/>
              <w:rPr>
                <w:sz w:val="20"/>
                <w:szCs w:val="20"/>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(Do not check if a smaller reporting company)</w:t>
            </w:r>
          </w:p>
        </w:tc>
        <w:tc>
          <w:tcPr>
            <w:tcW w:w="3520" w:type="dxa"/>
            <w:vAlign w:val="bottom"/>
          </w:tcPr>
          <w:p>
            <w:pPr>
              <w:ind w:left="1220"/>
              <w:spacing w:after="0"/>
              <w:rPr>
                <w:sz w:val="20"/>
                <w:szCs w:val="20"/>
                <w:color w:val="auto"/>
              </w:rPr>
            </w:pPr>
            <w:r>
              <w:rPr>
                <w:rFonts w:ascii="Times New Roman" w:cs="Times New Roman" w:eastAsia="Times New Roman" w:hAnsi="Times New Roman"/>
                <w:sz w:val="18"/>
                <w:szCs w:val="18"/>
                <w:color w:val="auto"/>
              </w:rPr>
              <w:t>Smaller reporting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32"/>
        </w:trPr>
        <w:tc>
          <w:tcPr>
            <w:tcW w:w="1880" w:type="dxa"/>
            <w:vAlign w:val="bottom"/>
          </w:tcPr>
          <w:p>
            <w:pPr>
              <w:spacing w:after="0"/>
              <w:rPr>
                <w:sz w:val="24"/>
                <w:szCs w:val="24"/>
                <w:color w:val="auto"/>
              </w:rPr>
            </w:pPr>
          </w:p>
        </w:tc>
        <w:tc>
          <w:tcPr>
            <w:tcW w:w="5120" w:type="dxa"/>
            <w:vAlign w:val="bottom"/>
          </w:tcPr>
          <w:p>
            <w:pPr>
              <w:spacing w:after="0"/>
              <w:rPr>
                <w:sz w:val="24"/>
                <w:szCs w:val="24"/>
                <w:color w:val="auto"/>
              </w:rPr>
            </w:pPr>
          </w:p>
        </w:tc>
        <w:tc>
          <w:tcPr>
            <w:tcW w:w="3520" w:type="dxa"/>
            <w:vAlign w:val="bottom"/>
          </w:tcPr>
          <w:p>
            <w:pPr>
              <w:ind w:left="1220"/>
              <w:spacing w:after="0"/>
              <w:rPr>
                <w:sz w:val="20"/>
                <w:szCs w:val="20"/>
                <w:color w:val="auto"/>
              </w:rPr>
            </w:pPr>
            <w:r>
              <w:rPr>
                <w:rFonts w:ascii="Times New Roman" w:cs="Times New Roman" w:eastAsia="Times New Roman" w:hAnsi="Times New Roman"/>
                <w:sz w:val="18"/>
                <w:szCs w:val="18"/>
                <w:color w:val="auto"/>
              </w:rPr>
              <w:t>Emerging growth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205" w:lineRule="exact"/>
        <w:rPr>
          <w:sz w:val="24"/>
          <w:szCs w:val="24"/>
          <w:color w:val="auto"/>
        </w:rPr>
      </w:pPr>
    </w:p>
    <w:p>
      <w:pPr>
        <w:ind w:right="220" w:firstLine="432"/>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50" w:lineRule="exact"/>
        <w:rPr>
          <w:sz w:val="24"/>
          <w:szCs w:val="24"/>
          <w:color w:val="auto"/>
        </w:rPr>
      </w:pPr>
    </w:p>
    <w:p>
      <w:pPr>
        <w:ind w:left="440"/>
        <w:spacing w:after="0" w:line="207" w:lineRule="exact"/>
        <w:tabs>
          <w:tab w:leader="none" w:pos="9380" w:val="left"/>
        </w:tabs>
        <w:rPr>
          <w:sz w:val="20"/>
          <w:szCs w:val="20"/>
          <w:color w:val="auto"/>
        </w:rPr>
      </w:pPr>
      <w:r>
        <w:rPr>
          <w:rFonts w:ascii="Times New Roman" w:cs="Times New Roman" w:eastAsia="Times New Roman" w:hAnsi="Times New Roman"/>
          <w:sz w:val="18"/>
          <w:szCs w:val="18"/>
          <w:color w:val="auto"/>
        </w:rPr>
        <w:t xml:space="preserve">Indicate by check mark whether the registrant is a shell company (as defined in Rule 12b-2 of the Exchange Act).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Yes</w:t>
      </w:r>
      <w:r>
        <w:rPr>
          <w:sz w:val="20"/>
          <w:szCs w:val="20"/>
          <w:color w:val="auto"/>
        </w:rPr>
        <w:tab/>
      </w:r>
      <w:r>
        <w:rPr>
          <w:rFonts w:ascii="MS PGothic" w:cs="MS PGothic" w:eastAsia="MS PGothic" w:hAnsi="MS PGothic"/>
          <w:sz w:val="16"/>
          <w:szCs w:val="16"/>
          <w:color w:val="auto"/>
        </w:rPr>
        <w:t xml:space="preserve">☒ </w:t>
      </w:r>
      <w:r>
        <w:rPr>
          <w:rFonts w:ascii="Times New Roman" w:cs="Times New Roman" w:eastAsia="Times New Roman" w:hAnsi="Times New Roman"/>
          <w:sz w:val="16"/>
          <w:szCs w:val="16"/>
          <w:color w:val="auto"/>
        </w:rPr>
        <w:t>No</w:t>
      </w:r>
    </w:p>
    <w:p>
      <w:pPr>
        <w:spacing w:after="0" w:line="240" w:lineRule="exact"/>
        <w:rPr>
          <w:sz w:val="24"/>
          <w:szCs w:val="24"/>
          <w:color w:val="auto"/>
        </w:rPr>
      </w:pPr>
    </w:p>
    <w:p>
      <w:pPr>
        <w:ind w:left="440"/>
        <w:spacing w:after="0"/>
        <w:rPr>
          <w:sz w:val="20"/>
          <w:szCs w:val="20"/>
          <w:color w:val="auto"/>
        </w:rPr>
      </w:pPr>
      <w:r>
        <w:rPr>
          <w:rFonts w:ascii="Times New Roman" w:cs="Times New Roman" w:eastAsia="Times New Roman" w:hAnsi="Times New Roman"/>
          <w:sz w:val="18"/>
          <w:szCs w:val="18"/>
          <w:color w:val="auto"/>
        </w:rPr>
        <w:t>The number of common shares of the registrant outstanding as of December 3, 2018 was 657.4 million shares.</w:t>
      </w:r>
    </w:p>
    <w:p>
      <w:pPr>
        <w:sectPr>
          <w:pgSz w:w="11900" w:h="16838" w:orient="portrait"/>
          <w:cols w:equalWidth="0" w:num="1">
            <w:col w:w="11380"/>
          </w:cols>
          <w:pgMar w:left="240" w:top="457" w:right="279" w:bottom="1440" w:gutter="0" w:footer="0" w:header="0"/>
        </w:sectPr>
      </w:pPr>
    </w:p>
    <w:bookmarkStart w:id="1" w:name="page2"/>
    <w:bookmarkEnd w:id="1"/>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TABLE OF CONTENTS</w:t>
      </w:r>
    </w:p>
    <w:p>
      <w:pPr>
        <w:spacing w:after="0" w:line="358" w:lineRule="exact"/>
        <w:rPr>
          <w:sz w:val="20"/>
          <w:szCs w:val="20"/>
          <w:color w:val="auto"/>
        </w:rPr>
      </w:pPr>
    </w:p>
    <w:tbl>
      <w:tblPr>
        <w:tblLayout w:type="fixed"/>
        <w:tblInd w:w="40" w:type="dxa"/>
        <w:tblCellMar>
          <w:top w:w="0" w:type="dxa"/>
          <w:left w:w="0" w:type="dxa"/>
          <w:bottom w:w="0" w:type="dxa"/>
          <w:right w:w="0" w:type="dxa"/>
        </w:tblCellMar>
      </w:tblPr>
      <w:tr>
        <w:trPr>
          <w:trHeight w:val="194"/>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Borders>
              <w:bottom w:val="single" w:sz="8" w:color="auto"/>
            </w:tcBorders>
            <w:gridSpan w:val="4"/>
          </w:tcPr>
          <w:p>
            <w:pPr>
              <w:ind w:left="120"/>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189"/>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6680" w:type="dxa"/>
            <w:vAlign w:val="bottom"/>
            <w:gridSpan w:val="11"/>
          </w:tcPr>
          <w:p>
            <w:pPr>
              <w:jc w:val="center"/>
              <w:ind w:right="3620"/>
              <w:spacing w:after="0" w:line="189" w:lineRule="exact"/>
              <w:rPr>
                <w:rFonts w:ascii="Times New Roman" w:cs="Times New Roman" w:eastAsia="Times New Roman" w:hAnsi="Times New Roman"/>
                <w:sz w:val="18"/>
                <w:szCs w:val="18"/>
                <w:b w:val="1"/>
                <w:bCs w:val="1"/>
                <w:color w:val="0000EE"/>
                <w:w w:val="98"/>
              </w:rPr>
            </w:pPr>
            <w:hyperlink w:anchor="page3">
              <w:r>
                <w:rPr>
                  <w:rFonts w:ascii="Times New Roman" w:cs="Times New Roman" w:eastAsia="Times New Roman" w:hAnsi="Times New Roman"/>
                  <w:sz w:val="18"/>
                  <w:szCs w:val="18"/>
                  <w:b w:val="1"/>
                  <w:bCs w:val="1"/>
                  <w:color w:val="0000EE"/>
                  <w:w w:val="98"/>
                </w:rPr>
                <w:t>PART I. FINANCIAL INFORMATION</w:t>
              </w:r>
            </w:hyperlink>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1.</w:t>
            </w:r>
          </w:p>
        </w:tc>
        <w:tc>
          <w:tcPr>
            <w:tcW w:w="3220" w:type="dxa"/>
            <w:vAlign w:val="bottom"/>
            <w:gridSpan w:val="9"/>
          </w:tcPr>
          <w:p>
            <w:pPr>
              <w:spacing w:after="0"/>
              <w:rPr>
                <w:rFonts w:ascii="Times New Roman" w:cs="Times New Roman" w:eastAsia="Times New Roman" w:hAnsi="Times New Roman"/>
                <w:sz w:val="18"/>
                <w:szCs w:val="18"/>
                <w:color w:val="0000EE"/>
              </w:rPr>
            </w:pPr>
            <w:hyperlink w:anchor="page3">
              <w:r>
                <w:rPr>
                  <w:rFonts w:ascii="Times New Roman" w:cs="Times New Roman" w:eastAsia="Times New Roman" w:hAnsi="Times New Roman"/>
                  <w:sz w:val="18"/>
                  <w:szCs w:val="18"/>
                  <w:color w:val="0000EE"/>
                </w:rPr>
                <w:t>Financial Statements:</w:t>
              </w:r>
            </w:hyperlink>
          </w:p>
        </w:tc>
        <w:tc>
          <w:tcPr>
            <w:tcW w:w="3060" w:type="dxa"/>
            <w:vAlign w:val="bottom"/>
            <w:tcBorders>
              <w:top w:val="single" w:sz="8" w:color="0000EE"/>
            </w:tcBorders>
            <w:gridSpan w:val="5"/>
          </w:tcPr>
          <w:p>
            <w:pPr>
              <w:spacing w:after="0"/>
              <w:rPr>
                <w:sz w:val="21"/>
                <w:szCs w:val="21"/>
                <w:color w:val="auto"/>
              </w:rPr>
            </w:pPr>
          </w:p>
        </w:tc>
        <w:tc>
          <w:tcPr>
            <w:tcW w:w="3620" w:type="dxa"/>
            <w:vAlign w:val="bottom"/>
            <w:gridSpan w:val="6"/>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2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0"/>
          </w:tcPr>
          <w:p>
            <w:pPr>
              <w:spacing w:after="0"/>
              <w:rPr>
                <w:rFonts w:ascii="Times New Roman" w:cs="Times New Roman" w:eastAsia="Times New Roman" w:hAnsi="Times New Roman"/>
                <w:sz w:val="18"/>
                <w:szCs w:val="18"/>
                <w:color w:val="0000EE"/>
              </w:rPr>
            </w:pPr>
            <w:hyperlink w:anchor="page3">
              <w:r>
                <w:rPr>
                  <w:rFonts w:ascii="Times New Roman" w:cs="Times New Roman" w:eastAsia="Times New Roman" w:hAnsi="Times New Roman"/>
                  <w:sz w:val="18"/>
                  <w:szCs w:val="18"/>
                  <w:color w:val="0000EE"/>
                </w:rPr>
                <w:t>Unaudited Condensed Consolidated Balance Sheets as of November 3, 2018 and February 3, 2018</w:t>
              </w:r>
            </w:hyperlink>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3">
              <w:r>
                <w:rPr>
                  <w:rFonts w:ascii="Times New Roman" w:cs="Times New Roman" w:eastAsia="Times New Roman" w:hAnsi="Times New Roman"/>
                  <w:sz w:val="18"/>
                  <w:szCs w:val="18"/>
                  <w:color w:val="0000EE"/>
                </w:rPr>
                <w:t>2</w:t>
              </w:r>
            </w:hyperlink>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0"/>
          </w:tcPr>
          <w:p>
            <w:pPr>
              <w:spacing w:after="0"/>
              <w:rPr>
                <w:rFonts w:ascii="Times New Roman" w:cs="Times New Roman" w:eastAsia="Times New Roman" w:hAnsi="Times New Roman"/>
                <w:sz w:val="18"/>
                <w:szCs w:val="18"/>
                <w:color w:val="0000EE"/>
              </w:rPr>
            </w:pPr>
            <w:hyperlink w:anchor="page4">
              <w:r>
                <w:rPr>
                  <w:rFonts w:ascii="Times New Roman" w:cs="Times New Roman" w:eastAsia="Times New Roman" w:hAnsi="Times New Roman"/>
                  <w:sz w:val="18"/>
                  <w:szCs w:val="18"/>
                  <w:color w:val="0000EE"/>
                </w:rPr>
                <w:t>Unaudited Condensed Consolidated Statements of Operations for the three and nine months ended November 3, 2018 and October 28,</w:t>
              </w:r>
            </w:hyperlink>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360" w:type="dxa"/>
            <w:vAlign w:val="bottom"/>
            <w:tcBorders>
              <w:top w:val="single" w:sz="8" w:color="0000EE"/>
              <w:bottom w:val="single" w:sz="8" w:color="0000EE"/>
            </w:tcBorders>
          </w:tcPr>
          <w:p>
            <w:pPr>
              <w:spacing w:after="0" w:line="196" w:lineRule="exact"/>
              <w:rPr>
                <w:rFonts w:ascii="Times New Roman" w:cs="Times New Roman" w:eastAsia="Times New Roman" w:hAnsi="Times New Roman"/>
                <w:sz w:val="18"/>
                <w:szCs w:val="18"/>
                <w:color w:val="0000EE"/>
                <w:w w:val="94"/>
              </w:rPr>
            </w:pPr>
            <w:hyperlink w:anchor="page4">
              <w:r>
                <w:rPr>
                  <w:rFonts w:ascii="Times New Roman" w:cs="Times New Roman" w:eastAsia="Times New Roman" w:hAnsi="Times New Roman"/>
                  <w:sz w:val="18"/>
                  <w:szCs w:val="18"/>
                  <w:color w:val="0000EE"/>
                  <w:w w:val="94"/>
                </w:rPr>
                <w:t>2017</w:t>
              </w:r>
            </w:hyperlink>
          </w:p>
        </w:tc>
        <w:tc>
          <w:tcPr>
            <w:tcW w:w="24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126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96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3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620" w:type="dxa"/>
            <w:vAlign w:val="bottom"/>
            <w:tcBorders>
              <w:top w:val="single" w:sz="8" w:color="0000EE"/>
            </w:tcBorders>
          </w:tcPr>
          <w:p>
            <w:pPr>
              <w:spacing w:after="0"/>
              <w:rPr>
                <w:sz w:val="17"/>
                <w:szCs w:val="17"/>
                <w:color w:val="auto"/>
              </w:rPr>
            </w:pPr>
          </w:p>
        </w:tc>
        <w:tc>
          <w:tcPr>
            <w:tcW w:w="234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220" w:type="dxa"/>
            <w:vAlign w:val="bottom"/>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Times New Roman" w:cs="Times New Roman" w:eastAsia="Times New Roman" w:hAnsi="Times New Roman"/>
                <w:sz w:val="18"/>
                <w:szCs w:val="18"/>
                <w:color w:val="0000EE"/>
                <w:w w:val="88"/>
              </w:rPr>
            </w:pPr>
            <w:hyperlink w:anchor="page4">
              <w:r>
                <w:rPr>
                  <w:rFonts w:ascii="Times New Roman" w:cs="Times New Roman" w:eastAsia="Times New Roman" w:hAnsi="Times New Roman"/>
                  <w:sz w:val="18"/>
                  <w:szCs w:val="18"/>
                  <w:color w:val="0000EE"/>
                  <w:w w:val="88"/>
                </w:rPr>
                <w:t>3</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9500" w:type="dxa"/>
            <w:vAlign w:val="bottom"/>
            <w:tcBorders>
              <w:bottom w:val="single" w:sz="8" w:color="0000EE"/>
            </w:tcBorders>
            <w:gridSpan w:val="18"/>
          </w:tcPr>
          <w:p>
            <w:pPr>
              <w:spacing w:after="0"/>
              <w:rPr>
                <w:rFonts w:ascii="Times New Roman" w:cs="Times New Roman" w:eastAsia="Times New Roman" w:hAnsi="Times New Roman"/>
                <w:sz w:val="18"/>
                <w:szCs w:val="18"/>
                <w:color w:val="0000EE"/>
                <w:w w:val="99"/>
              </w:rPr>
            </w:pPr>
            <w:hyperlink w:anchor="page5">
              <w:r>
                <w:rPr>
                  <w:rFonts w:ascii="Times New Roman" w:cs="Times New Roman" w:eastAsia="Times New Roman" w:hAnsi="Times New Roman"/>
                  <w:sz w:val="18"/>
                  <w:szCs w:val="18"/>
                  <w:color w:val="0000EE"/>
                  <w:w w:val="99"/>
                </w:rPr>
                <w:t>Unaudited Condensed Consolidated Statements of Comprehensive Income (Loss) for the three and nine months ended November 3,</w:t>
              </w:r>
            </w:hyperlink>
          </w:p>
        </w:tc>
        <w:tc>
          <w:tcPr>
            <w:tcW w:w="400" w:type="dxa"/>
            <w:vAlign w:val="bottom"/>
            <w:gridSpan w:val="2"/>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1960" w:type="dxa"/>
            <w:vAlign w:val="bottom"/>
            <w:tcBorders>
              <w:bottom w:val="single" w:sz="8" w:color="0000EE"/>
            </w:tcBorders>
            <w:gridSpan w:val="8"/>
          </w:tcPr>
          <w:p>
            <w:pPr>
              <w:spacing w:after="0" w:line="196" w:lineRule="exact"/>
              <w:rPr>
                <w:rFonts w:ascii="Times New Roman" w:cs="Times New Roman" w:eastAsia="Times New Roman" w:hAnsi="Times New Roman"/>
                <w:sz w:val="18"/>
                <w:szCs w:val="18"/>
                <w:color w:val="0000EE"/>
                <w:w w:val="98"/>
              </w:rPr>
            </w:pPr>
            <w:hyperlink w:anchor="page5">
              <w:r>
                <w:rPr>
                  <w:rFonts w:ascii="Times New Roman" w:cs="Times New Roman" w:eastAsia="Times New Roman" w:hAnsi="Times New Roman"/>
                  <w:sz w:val="18"/>
                  <w:szCs w:val="18"/>
                  <w:color w:val="0000EE"/>
                  <w:w w:val="98"/>
                </w:rPr>
                <w:t>2018 and October 28, 2017</w:t>
              </w:r>
            </w:hyperlink>
          </w:p>
        </w:tc>
        <w:tc>
          <w:tcPr>
            <w:tcW w:w="7940" w:type="dxa"/>
            <w:vAlign w:val="bottom"/>
            <w:gridSpan w:val="12"/>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Times New Roman" w:cs="Times New Roman" w:eastAsia="Times New Roman" w:hAnsi="Times New Roman"/>
                <w:sz w:val="18"/>
                <w:szCs w:val="18"/>
                <w:color w:val="0000EE"/>
                <w:w w:val="88"/>
              </w:rPr>
            </w:pPr>
            <w:hyperlink w:anchor="page5">
              <w:r>
                <w:rPr>
                  <w:rFonts w:ascii="Times New Roman" w:cs="Times New Roman" w:eastAsia="Times New Roman" w:hAnsi="Times New Roman"/>
                  <w:sz w:val="18"/>
                  <w:szCs w:val="18"/>
                  <w:color w:val="0000EE"/>
                  <w:w w:val="88"/>
                </w:rPr>
                <w:t>4</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9900" w:type="dxa"/>
            <w:vAlign w:val="bottom"/>
            <w:gridSpan w:val="20"/>
          </w:tcPr>
          <w:p>
            <w:pPr>
              <w:spacing w:after="0"/>
              <w:rPr>
                <w:rFonts w:ascii="Times New Roman" w:cs="Times New Roman" w:eastAsia="Times New Roman" w:hAnsi="Times New Roman"/>
                <w:sz w:val="18"/>
                <w:szCs w:val="18"/>
                <w:color w:val="0000EE"/>
              </w:rPr>
            </w:pPr>
            <w:hyperlink w:anchor="page6">
              <w:r>
                <w:rPr>
                  <w:rFonts w:ascii="Times New Roman" w:cs="Times New Roman" w:eastAsia="Times New Roman" w:hAnsi="Times New Roman"/>
                  <w:sz w:val="18"/>
                  <w:szCs w:val="18"/>
                  <w:color w:val="0000EE"/>
                </w:rPr>
                <w:t>Unaudited Condensed Consolidated Statements of Cash Flows for the nine months ended November 3, 2018 and October 28, 2017</w:t>
              </w:r>
            </w:hyperlink>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6">
              <w:r>
                <w:rPr>
                  <w:rFonts w:ascii="Times New Roman" w:cs="Times New Roman" w:eastAsia="Times New Roman" w:hAnsi="Times New Roman"/>
                  <w:sz w:val="18"/>
                  <w:szCs w:val="18"/>
                  <w:color w:val="0000EE"/>
                </w:rPr>
                <w:t>5</w:t>
              </w:r>
            </w:hyperlink>
          </w:p>
        </w:tc>
      </w:tr>
      <w:tr>
        <w:trPr>
          <w:trHeight w:val="250"/>
        </w:trPr>
        <w:tc>
          <w:tcPr>
            <w:tcW w:w="920" w:type="dxa"/>
            <w:vAlign w:val="bottom"/>
          </w:tcPr>
          <w:p>
            <w:pPr>
              <w:spacing w:after="0"/>
              <w:rPr>
                <w:sz w:val="21"/>
                <w:szCs w:val="21"/>
                <w:color w:val="auto"/>
              </w:rPr>
            </w:pPr>
          </w:p>
        </w:tc>
        <w:tc>
          <w:tcPr>
            <w:tcW w:w="9420" w:type="dxa"/>
            <w:vAlign w:val="bottom"/>
            <w:tcBorders>
              <w:top w:val="single" w:sz="8" w:color="0000EE"/>
            </w:tcBorders>
            <w:gridSpan w:val="17"/>
          </w:tcPr>
          <w:p>
            <w:pPr>
              <w:spacing w:after="0"/>
              <w:rPr>
                <w:rFonts w:ascii="Times New Roman" w:cs="Times New Roman" w:eastAsia="Times New Roman" w:hAnsi="Times New Roman"/>
                <w:sz w:val="18"/>
                <w:szCs w:val="18"/>
                <w:color w:val="0000EE"/>
              </w:rPr>
            </w:pPr>
            <w:hyperlink w:anchor="page8">
              <w:r>
                <w:rPr>
                  <w:rFonts w:ascii="Times New Roman" w:cs="Times New Roman" w:eastAsia="Times New Roman" w:hAnsi="Times New Roman"/>
                  <w:sz w:val="18"/>
                  <w:szCs w:val="18"/>
                  <w:color w:val="0000EE"/>
                </w:rPr>
                <w:t>Notes to Unaudited Condensed Consolidated Financial Statements</w:t>
              </w:r>
            </w:hyperlink>
          </w:p>
        </w:tc>
        <w:tc>
          <w:tcPr>
            <w:tcW w:w="480" w:type="dxa"/>
            <w:vAlign w:val="bottom"/>
            <w:gridSpan w:val="3"/>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top w:val="single" w:sz="8" w:color="0000EE"/>
            </w:tcBorders>
          </w:tcPr>
          <w:p>
            <w:pPr>
              <w:jc w:val="right"/>
              <w:spacing w:after="0"/>
              <w:rPr>
                <w:rFonts w:ascii="Times New Roman" w:cs="Times New Roman" w:eastAsia="Times New Roman" w:hAnsi="Times New Roman"/>
                <w:sz w:val="18"/>
                <w:szCs w:val="18"/>
                <w:color w:val="0000EE"/>
                <w:w w:val="88"/>
              </w:rPr>
            </w:pPr>
            <w:hyperlink w:anchor="page8">
              <w:r>
                <w:rPr>
                  <w:rFonts w:ascii="Times New Roman" w:cs="Times New Roman" w:eastAsia="Times New Roman" w:hAnsi="Times New Roman"/>
                  <w:sz w:val="18"/>
                  <w:szCs w:val="18"/>
                  <w:color w:val="0000EE"/>
                  <w:w w:val="88"/>
                </w:rPr>
                <w:t>6</w:t>
              </w:r>
            </w:hyperlink>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3"/>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2.</w:t>
            </w:r>
          </w:p>
        </w:tc>
        <w:tc>
          <w:tcPr>
            <w:tcW w:w="6460" w:type="dxa"/>
            <w:vAlign w:val="bottom"/>
            <w:gridSpan w:val="15"/>
          </w:tcPr>
          <w:p>
            <w:pPr>
              <w:spacing w:after="0"/>
              <w:rPr>
                <w:rFonts w:ascii="Times New Roman" w:cs="Times New Roman" w:eastAsia="Times New Roman" w:hAnsi="Times New Roman"/>
                <w:sz w:val="18"/>
                <w:szCs w:val="18"/>
                <w:color w:val="0000EE"/>
                <w:w w:val="99"/>
              </w:rPr>
            </w:pPr>
            <w:hyperlink w:anchor="page31">
              <w:r>
                <w:rPr>
                  <w:rFonts w:ascii="Times New Roman" w:cs="Times New Roman" w:eastAsia="Times New Roman" w:hAnsi="Times New Roman"/>
                  <w:sz w:val="18"/>
                  <w:szCs w:val="18"/>
                  <w:color w:val="0000EE"/>
                  <w:w w:val="99"/>
                </w:rPr>
                <w:t>Management’s Discussion and Analysis of Financial Condition and Results of Operations</w:t>
              </w:r>
            </w:hyperlink>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31">
              <w:r>
                <w:rPr>
                  <w:rFonts w:ascii="Times New Roman" w:cs="Times New Roman" w:eastAsia="Times New Roman" w:hAnsi="Times New Roman"/>
                  <w:sz w:val="18"/>
                  <w:szCs w:val="18"/>
                  <w:color w:val="0000EE"/>
                </w:rPr>
                <w:t>29</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3"/>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3.</w:t>
            </w:r>
          </w:p>
        </w:tc>
        <w:tc>
          <w:tcPr>
            <w:tcW w:w="4340" w:type="dxa"/>
            <w:vAlign w:val="bottom"/>
            <w:gridSpan w:val="11"/>
          </w:tcPr>
          <w:p>
            <w:pPr>
              <w:spacing w:after="0"/>
              <w:rPr>
                <w:rFonts w:ascii="Times New Roman" w:cs="Times New Roman" w:eastAsia="Times New Roman" w:hAnsi="Times New Roman"/>
                <w:sz w:val="18"/>
                <w:szCs w:val="18"/>
                <w:color w:val="0000EE"/>
                <w:w w:val="98"/>
              </w:rPr>
            </w:pPr>
            <w:hyperlink w:anchor="page41">
              <w:r>
                <w:rPr>
                  <w:rFonts w:ascii="Times New Roman" w:cs="Times New Roman" w:eastAsia="Times New Roman" w:hAnsi="Times New Roman"/>
                  <w:sz w:val="18"/>
                  <w:szCs w:val="18"/>
                  <w:color w:val="0000EE"/>
                  <w:w w:val="98"/>
                </w:rPr>
                <w:t>Quantitative and Qualitative Disclosures About Market Risk</w:t>
              </w:r>
            </w:hyperlink>
          </w:p>
        </w:tc>
        <w:tc>
          <w:tcPr>
            <w:tcW w:w="2120" w:type="dxa"/>
            <w:vAlign w:val="bottom"/>
            <w:gridSpan w:val="4"/>
          </w:tcPr>
          <w:p>
            <w:pPr>
              <w:spacing w:after="0"/>
              <w:rPr>
                <w:sz w:val="21"/>
                <w:szCs w:val="21"/>
                <w:color w:val="auto"/>
              </w:rPr>
            </w:pPr>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41">
              <w:r>
                <w:rPr>
                  <w:rFonts w:ascii="Times New Roman" w:cs="Times New Roman" w:eastAsia="Times New Roman" w:hAnsi="Times New Roman"/>
                  <w:sz w:val="18"/>
                  <w:szCs w:val="18"/>
                  <w:color w:val="0000EE"/>
                </w:rPr>
                <w:t>39</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3"/>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tcPr>
          <w:p>
            <w:pPr>
              <w:spacing w:after="0" w:line="20" w:lineRule="exact"/>
              <w:rPr>
                <w:sz w:val="1"/>
                <w:szCs w:val="1"/>
                <w:color w:val="auto"/>
              </w:rPr>
            </w:pPr>
          </w:p>
        </w:tc>
        <w:tc>
          <w:tcPr>
            <w:tcW w:w="3760" w:type="dxa"/>
            <w:vAlign w:val="bottom"/>
            <w:gridSpan w:val="7"/>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4.</w:t>
            </w:r>
          </w:p>
        </w:tc>
        <w:tc>
          <w:tcPr>
            <w:tcW w:w="4340" w:type="dxa"/>
            <w:vAlign w:val="bottom"/>
            <w:gridSpan w:val="11"/>
          </w:tcPr>
          <w:p>
            <w:pPr>
              <w:spacing w:after="0"/>
              <w:rPr>
                <w:rFonts w:ascii="Times New Roman" w:cs="Times New Roman" w:eastAsia="Times New Roman" w:hAnsi="Times New Roman"/>
                <w:sz w:val="18"/>
                <w:szCs w:val="18"/>
                <w:color w:val="0000EE"/>
              </w:rPr>
            </w:pPr>
            <w:hyperlink w:anchor="page41">
              <w:r>
                <w:rPr>
                  <w:rFonts w:ascii="Times New Roman" w:cs="Times New Roman" w:eastAsia="Times New Roman" w:hAnsi="Times New Roman"/>
                  <w:sz w:val="18"/>
                  <w:szCs w:val="18"/>
                  <w:color w:val="0000EE"/>
                </w:rPr>
                <w:t>Controls and Procedures</w:t>
              </w:r>
            </w:hyperlink>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41">
              <w:r>
                <w:rPr>
                  <w:rFonts w:ascii="Times New Roman" w:cs="Times New Roman" w:eastAsia="Times New Roman" w:hAnsi="Times New Roman"/>
                  <w:sz w:val="18"/>
                  <w:szCs w:val="18"/>
                  <w:color w:val="0000EE"/>
                </w:rPr>
                <w:t>39</w:t>
              </w:r>
            </w:hyperlink>
          </w:p>
        </w:tc>
      </w:tr>
      <w:tr>
        <w:trPr>
          <w:trHeight w:val="250"/>
        </w:trPr>
        <w:tc>
          <w:tcPr>
            <w:tcW w:w="920" w:type="dxa"/>
            <w:vAlign w:val="bottom"/>
          </w:tcPr>
          <w:p>
            <w:pPr>
              <w:spacing w:after="0"/>
              <w:rPr>
                <w:sz w:val="21"/>
                <w:szCs w:val="21"/>
                <w:color w:val="auto"/>
              </w:rPr>
            </w:pPr>
          </w:p>
        </w:tc>
        <w:tc>
          <w:tcPr>
            <w:tcW w:w="360" w:type="dxa"/>
            <w:vAlign w:val="bottom"/>
            <w:tcBorders>
              <w:top w:val="single" w:sz="8" w:color="0000EE"/>
            </w:tcBorders>
          </w:tcPr>
          <w:p>
            <w:pPr>
              <w:spacing w:after="0"/>
              <w:rPr>
                <w:sz w:val="21"/>
                <w:szCs w:val="21"/>
                <w:color w:val="auto"/>
              </w:rPr>
            </w:pPr>
          </w:p>
        </w:tc>
        <w:tc>
          <w:tcPr>
            <w:tcW w:w="240" w:type="dxa"/>
            <w:vAlign w:val="bottom"/>
            <w:tcBorders>
              <w:top w:val="single" w:sz="8" w:color="0000EE"/>
            </w:tcBorders>
          </w:tcPr>
          <w:p>
            <w:pPr>
              <w:spacing w:after="0"/>
              <w:rPr>
                <w:sz w:val="21"/>
                <w:szCs w:val="21"/>
                <w:color w:val="auto"/>
              </w:rPr>
            </w:pPr>
          </w:p>
        </w:tc>
        <w:tc>
          <w:tcPr>
            <w:tcW w:w="16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4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760" w:type="dxa"/>
            <w:vAlign w:val="bottom"/>
            <w:tcBorders>
              <w:bottom w:val="single" w:sz="8" w:color="0000EE"/>
            </w:tcBorders>
            <w:gridSpan w:val="3"/>
          </w:tcPr>
          <w:p>
            <w:pPr>
              <w:jc w:val="center"/>
              <w:spacing w:after="0"/>
              <w:rPr>
                <w:rFonts w:ascii="Times New Roman" w:cs="Times New Roman" w:eastAsia="Times New Roman" w:hAnsi="Times New Roman"/>
                <w:sz w:val="18"/>
                <w:szCs w:val="18"/>
                <w:b w:val="1"/>
                <w:bCs w:val="1"/>
                <w:color w:val="0000EE"/>
                <w:w w:val="98"/>
              </w:rPr>
            </w:pPr>
            <w:hyperlink w:anchor="page43">
              <w:r>
                <w:rPr>
                  <w:rFonts w:ascii="Times New Roman" w:cs="Times New Roman" w:eastAsia="Times New Roman" w:hAnsi="Times New Roman"/>
                  <w:sz w:val="18"/>
                  <w:szCs w:val="18"/>
                  <w:b w:val="1"/>
                  <w:bCs w:val="1"/>
                  <w:color w:val="0000EE"/>
                  <w:w w:val="98"/>
                </w:rPr>
                <w:t>PART II. OTHER INFORMATION</w:t>
              </w:r>
            </w:hyperlink>
          </w:p>
        </w:tc>
        <w:tc>
          <w:tcPr>
            <w:tcW w:w="3760" w:type="dxa"/>
            <w:vAlign w:val="bottom"/>
            <w:gridSpan w:val="7"/>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100" w:type="dxa"/>
            <w:vAlign w:val="bottom"/>
            <w:tcBorders>
              <w:top w:val="single" w:sz="8" w:color="0000EE"/>
            </w:tcBorders>
          </w:tcPr>
          <w:p>
            <w:pPr>
              <w:spacing w:after="0"/>
              <w:rPr>
                <w:sz w:val="21"/>
                <w:szCs w:val="21"/>
                <w:color w:val="auto"/>
              </w:rPr>
            </w:pPr>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1.</w:t>
            </w:r>
          </w:p>
        </w:tc>
        <w:tc>
          <w:tcPr>
            <w:tcW w:w="9900" w:type="dxa"/>
            <w:vAlign w:val="bottom"/>
            <w:gridSpan w:val="20"/>
          </w:tcPr>
          <w:p>
            <w:pPr>
              <w:spacing w:after="0"/>
              <w:rPr>
                <w:rFonts w:ascii="Times New Roman" w:cs="Times New Roman" w:eastAsia="Times New Roman" w:hAnsi="Times New Roman"/>
                <w:sz w:val="18"/>
                <w:szCs w:val="18"/>
                <w:color w:val="0000EE"/>
              </w:rPr>
            </w:pPr>
            <w:hyperlink w:anchor="page43">
              <w:r>
                <w:rPr>
                  <w:rFonts w:ascii="Times New Roman" w:cs="Times New Roman" w:eastAsia="Times New Roman" w:hAnsi="Times New Roman"/>
                  <w:sz w:val="18"/>
                  <w:szCs w:val="18"/>
                  <w:color w:val="0000EE"/>
                </w:rPr>
                <w:t>Legal Proceedings</w:t>
              </w:r>
            </w:hyperlink>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43">
              <w:r>
                <w:rPr>
                  <w:rFonts w:ascii="Times New Roman" w:cs="Times New Roman" w:eastAsia="Times New Roman" w:hAnsi="Times New Roman"/>
                  <w:sz w:val="18"/>
                  <w:szCs w:val="18"/>
                  <w:color w:val="0000EE"/>
                </w:rPr>
                <w:t>41</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3020" w:type="dxa"/>
            <w:vAlign w:val="bottom"/>
            <w:gridSpan w:val="6"/>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1A.</w:t>
            </w:r>
          </w:p>
        </w:tc>
        <w:tc>
          <w:tcPr>
            <w:tcW w:w="900" w:type="dxa"/>
            <w:vAlign w:val="bottom"/>
            <w:gridSpan w:val="4"/>
          </w:tcPr>
          <w:p>
            <w:pPr>
              <w:spacing w:after="0"/>
              <w:rPr>
                <w:rFonts w:ascii="Times New Roman" w:cs="Times New Roman" w:eastAsia="Times New Roman" w:hAnsi="Times New Roman"/>
                <w:sz w:val="18"/>
                <w:szCs w:val="18"/>
                <w:color w:val="0000EE"/>
                <w:w w:val="97"/>
              </w:rPr>
            </w:pPr>
            <w:hyperlink w:anchor="page43">
              <w:r>
                <w:rPr>
                  <w:rFonts w:ascii="Times New Roman" w:cs="Times New Roman" w:eastAsia="Times New Roman" w:hAnsi="Times New Roman"/>
                  <w:sz w:val="18"/>
                  <w:szCs w:val="18"/>
                  <w:color w:val="0000EE"/>
                  <w:w w:val="97"/>
                </w:rPr>
                <w:t>Risk Factors</w:t>
              </w:r>
            </w:hyperlink>
          </w:p>
        </w:tc>
        <w:tc>
          <w:tcPr>
            <w:tcW w:w="420" w:type="dxa"/>
            <w:vAlign w:val="bottom"/>
          </w:tcPr>
          <w:p>
            <w:pPr>
              <w:spacing w:after="0"/>
              <w:rPr>
                <w:sz w:val="21"/>
                <w:szCs w:val="21"/>
                <w:color w:val="auto"/>
              </w:rPr>
            </w:pPr>
          </w:p>
        </w:tc>
        <w:tc>
          <w:tcPr>
            <w:tcW w:w="8580" w:type="dxa"/>
            <w:vAlign w:val="bottom"/>
            <w:gridSpan w:val="15"/>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43">
              <w:r>
                <w:rPr>
                  <w:rFonts w:ascii="Times New Roman" w:cs="Times New Roman" w:eastAsia="Times New Roman" w:hAnsi="Times New Roman"/>
                  <w:sz w:val="18"/>
                  <w:szCs w:val="18"/>
                  <w:color w:val="0000EE"/>
                </w:rPr>
                <w:t>41</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40" w:type="dxa"/>
            <w:vAlign w:val="bottom"/>
            <w:gridSpan w:val="7"/>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2.</w:t>
            </w:r>
          </w:p>
        </w:tc>
        <w:tc>
          <w:tcPr>
            <w:tcW w:w="9900" w:type="dxa"/>
            <w:vAlign w:val="bottom"/>
            <w:gridSpan w:val="20"/>
          </w:tcPr>
          <w:p>
            <w:pPr>
              <w:spacing w:after="0"/>
              <w:rPr>
                <w:rFonts w:ascii="Times New Roman" w:cs="Times New Roman" w:eastAsia="Times New Roman" w:hAnsi="Times New Roman"/>
                <w:sz w:val="18"/>
                <w:szCs w:val="18"/>
                <w:color w:val="0000EE"/>
              </w:rPr>
            </w:pPr>
            <w:hyperlink w:anchor="page60">
              <w:r>
                <w:rPr>
                  <w:rFonts w:ascii="Times New Roman" w:cs="Times New Roman" w:eastAsia="Times New Roman" w:hAnsi="Times New Roman"/>
                  <w:sz w:val="18"/>
                  <w:szCs w:val="18"/>
                  <w:color w:val="0000EE"/>
                </w:rPr>
                <w:t>Unregistered Sales of Equity Securities and Use of Proceeds</w:t>
              </w:r>
            </w:hyperlink>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60">
              <w:r>
                <w:rPr>
                  <w:rFonts w:ascii="Times New Roman" w:cs="Times New Roman" w:eastAsia="Times New Roman" w:hAnsi="Times New Roman"/>
                  <w:sz w:val="18"/>
                  <w:szCs w:val="18"/>
                  <w:color w:val="0000EE"/>
                </w:rPr>
                <w:t>58</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580" w:type="dxa"/>
            <w:vAlign w:val="bottom"/>
            <w:gridSpan w:val="8"/>
            <w:shd w:val="clear" w:color="auto" w:fill="0000EE"/>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6.</w:t>
            </w:r>
          </w:p>
        </w:tc>
        <w:tc>
          <w:tcPr>
            <w:tcW w:w="600" w:type="dxa"/>
            <w:vAlign w:val="bottom"/>
            <w:gridSpan w:val="2"/>
          </w:tcPr>
          <w:p>
            <w:pPr>
              <w:spacing w:after="0"/>
              <w:rPr>
                <w:rFonts w:ascii="Times New Roman" w:cs="Times New Roman" w:eastAsia="Times New Roman" w:hAnsi="Times New Roman"/>
                <w:sz w:val="18"/>
                <w:szCs w:val="18"/>
                <w:color w:val="0000EE"/>
                <w:w w:val="96"/>
              </w:rPr>
            </w:pPr>
            <w:hyperlink w:anchor="page62">
              <w:r>
                <w:rPr>
                  <w:rFonts w:ascii="Times New Roman" w:cs="Times New Roman" w:eastAsia="Times New Roman" w:hAnsi="Times New Roman"/>
                  <w:sz w:val="18"/>
                  <w:szCs w:val="18"/>
                  <w:color w:val="0000EE"/>
                  <w:w w:val="96"/>
                </w:rPr>
                <w:t>Exhibits</w:t>
              </w:r>
            </w:hyperlink>
          </w:p>
        </w:tc>
        <w:tc>
          <w:tcPr>
            <w:tcW w:w="3740" w:type="dxa"/>
            <w:vAlign w:val="bottom"/>
            <w:gridSpan w:val="9"/>
          </w:tcPr>
          <w:p>
            <w:pPr>
              <w:spacing w:after="0"/>
              <w:rPr>
                <w:sz w:val="21"/>
                <w:szCs w:val="21"/>
                <w:color w:val="auto"/>
              </w:rPr>
            </w:pPr>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62">
              <w:r>
                <w:rPr>
                  <w:rFonts w:ascii="Times New Roman" w:cs="Times New Roman" w:eastAsia="Times New Roman" w:hAnsi="Times New Roman"/>
                  <w:sz w:val="18"/>
                  <w:szCs w:val="18"/>
                  <w:color w:val="0000EE"/>
                </w:rPr>
                <w:t>60</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140" w:type="dxa"/>
            <w:vAlign w:val="bottom"/>
            <w:gridSpan w:val="17"/>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760" w:type="dxa"/>
            <w:vAlign w:val="bottom"/>
            <w:gridSpan w:val="3"/>
          </w:tcPr>
          <w:p>
            <w:pPr>
              <w:spacing w:after="0"/>
              <w:rPr>
                <w:rFonts w:ascii="Times New Roman" w:cs="Times New Roman" w:eastAsia="Times New Roman" w:hAnsi="Times New Roman"/>
                <w:sz w:val="18"/>
                <w:szCs w:val="18"/>
                <w:color w:val="0000EE"/>
                <w:w w:val="97"/>
              </w:rPr>
            </w:pPr>
            <w:hyperlink w:anchor="page63">
              <w:r>
                <w:rPr>
                  <w:rFonts w:ascii="Times New Roman" w:cs="Times New Roman" w:eastAsia="Times New Roman" w:hAnsi="Times New Roman"/>
                  <w:sz w:val="18"/>
                  <w:szCs w:val="18"/>
                  <w:color w:val="0000EE"/>
                  <w:w w:val="97"/>
                </w:rPr>
                <w:t>Signatures</w:t>
              </w:r>
            </w:hyperlink>
          </w:p>
        </w:tc>
        <w:tc>
          <w:tcPr>
            <w:tcW w:w="9140" w:type="dxa"/>
            <w:vAlign w:val="bottom"/>
            <w:gridSpan w:val="17"/>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63">
              <w:r>
                <w:rPr>
                  <w:rFonts w:ascii="Times New Roman" w:cs="Times New Roman" w:eastAsia="Times New Roman" w:hAnsi="Times New Roman"/>
                  <w:sz w:val="18"/>
                  <w:szCs w:val="18"/>
                  <w:color w:val="0000EE"/>
                </w:rPr>
                <w:t>61</w:t>
              </w:r>
            </w:hyperlink>
          </w:p>
        </w:tc>
      </w:tr>
      <w:tr>
        <w:trPr>
          <w:trHeight w:val="507"/>
        </w:trPr>
        <w:tc>
          <w:tcPr>
            <w:tcW w:w="920" w:type="dxa"/>
            <w:vAlign w:val="bottom"/>
          </w:tcPr>
          <w:p>
            <w:pPr>
              <w:spacing w:after="0"/>
              <w:rPr>
                <w:sz w:val="24"/>
                <w:szCs w:val="24"/>
                <w:color w:val="auto"/>
              </w:rPr>
            </w:pPr>
          </w:p>
        </w:tc>
        <w:tc>
          <w:tcPr>
            <w:tcW w:w="760" w:type="dxa"/>
            <w:vAlign w:val="bottom"/>
            <w:tcBorders>
              <w:top w:val="single" w:sz="8" w:color="0000EE"/>
            </w:tcBorders>
            <w:gridSpan w:val="3"/>
          </w:tcPr>
          <w:p>
            <w:pPr>
              <w:spacing w:after="0"/>
              <w:rPr>
                <w:sz w:val="24"/>
                <w:szCs w:val="24"/>
                <w:color w:val="auto"/>
              </w:rPr>
            </w:pPr>
          </w:p>
        </w:tc>
        <w:tc>
          <w:tcPr>
            <w:tcW w:w="5380" w:type="dxa"/>
            <w:vAlign w:val="bottom"/>
            <w:gridSpan w:val="10"/>
          </w:tcPr>
          <w:p>
            <w:pPr>
              <w:jc w:val="center"/>
              <w:ind w:left="2510"/>
              <w:spacing w:after="0"/>
              <w:rPr>
                <w:sz w:val="20"/>
                <w:szCs w:val="20"/>
                <w:color w:val="auto"/>
              </w:rPr>
            </w:pPr>
            <w:r>
              <w:rPr>
                <w:rFonts w:ascii="Times New Roman" w:cs="Times New Roman" w:eastAsia="Times New Roman" w:hAnsi="Times New Roman"/>
                <w:sz w:val="18"/>
                <w:szCs w:val="18"/>
                <w:color w:val="auto"/>
              </w:rPr>
              <w:t>1</w:t>
            </w: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126" w:right="239" w:bottom="1440" w:gutter="0" w:footer="0" w:header="0"/>
        </w:sectPr>
      </w:pPr>
    </w:p>
    <w:bookmarkStart w:id="2" w:name="page3"/>
    <w:bookmarkEnd w:id="2"/>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 </w:t>
      </w:r>
      <w:r>
        <w:rPr>
          <w:rFonts w:ascii="Times New Roman" w:cs="Times New Roman" w:eastAsia="Times New Roman" w:hAnsi="Times New Roman"/>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par value per share)</w:t>
      </w:r>
    </w:p>
    <w:p>
      <w:pPr>
        <w:spacing w:after="0" w:line="32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80" w:type="dxa"/>
            <w:vAlign w:val="bottom"/>
          </w:tcPr>
          <w:p>
            <w:pPr>
              <w:spacing w:after="0"/>
              <w:rPr>
                <w:sz w:val="13"/>
                <w:szCs w:val="13"/>
                <w:color w:val="auto"/>
              </w:rPr>
            </w:pPr>
          </w:p>
        </w:tc>
        <w:tc>
          <w:tcPr>
            <w:tcW w:w="46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80" w:type="dxa"/>
            <w:vAlign w:val="bottom"/>
            <w:gridSpan w:val="2"/>
          </w:tcPr>
          <w:p>
            <w:pPr>
              <w:ind w:left="120"/>
              <w:spacing w:after="0"/>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3"/>
                <w:szCs w:val="13"/>
                <w:color w:val="auto"/>
              </w:rPr>
            </w:pPr>
          </w:p>
        </w:tc>
        <w:tc>
          <w:tcPr>
            <w:tcW w:w="1240" w:type="dxa"/>
            <w:vAlign w:val="bottom"/>
          </w:tcPr>
          <w:p>
            <w:pPr>
              <w:jc w:val="right"/>
              <w:ind w:right="311"/>
              <w:spacing w:after="0"/>
              <w:rPr>
                <w:sz w:val="20"/>
                <w:szCs w:val="20"/>
                <w:color w:val="auto"/>
              </w:rPr>
            </w:pPr>
            <w:r>
              <w:rPr>
                <w:rFonts w:ascii="Times New Roman" w:cs="Times New Roman" w:eastAsia="Times New Roman" w:hAnsi="Times New Roman"/>
                <w:sz w:val="14"/>
                <w:szCs w:val="14"/>
                <w:b w:val="1"/>
                <w:bCs w:val="1"/>
                <w:color w:val="auto"/>
              </w:rPr>
              <w:t>February 3,</w:t>
            </w:r>
          </w:p>
        </w:tc>
      </w:tr>
      <w:tr>
        <w:trPr>
          <w:trHeight w:val="195"/>
        </w:trPr>
        <w:tc>
          <w:tcPr>
            <w:tcW w:w="3680" w:type="dxa"/>
            <w:vAlign w:val="bottom"/>
            <w:tcBorders>
              <w:bottom w:val="single" w:sz="8" w:color="CCEEFF"/>
            </w:tcBorders>
          </w:tcPr>
          <w:p>
            <w:pPr>
              <w:spacing w:after="0"/>
              <w:rPr>
                <w:sz w:val="16"/>
                <w:szCs w:val="16"/>
                <w:color w:val="auto"/>
              </w:rPr>
            </w:pPr>
          </w:p>
        </w:tc>
        <w:tc>
          <w:tcPr>
            <w:tcW w:w="46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35"/>
        </w:trPr>
        <w:tc>
          <w:tcPr>
            <w:tcW w:w="3680" w:type="dxa"/>
            <w:vAlign w:val="bottom"/>
            <w:tcBorders>
              <w:bottom w:val="single" w:sz="8" w:color="CCEEFF"/>
            </w:tcBorders>
            <w:shd w:val="clear" w:color="auto" w:fill="CCEEFF"/>
          </w:tcPr>
          <w:p>
            <w:pPr>
              <w:spacing w:after="0"/>
              <w:rPr>
                <w:sz w:val="20"/>
                <w:szCs w:val="20"/>
                <w:color w:val="auto"/>
              </w:rPr>
            </w:pPr>
          </w:p>
        </w:tc>
        <w:tc>
          <w:tcPr>
            <w:tcW w:w="4660" w:type="dxa"/>
            <w:vAlign w:val="bottom"/>
            <w:tcBorders>
              <w:bottom w:val="single" w:sz="8" w:color="CCEEFF"/>
            </w:tcBorders>
            <w:shd w:val="clear" w:color="auto" w:fill="CCEEFF"/>
          </w:tcPr>
          <w:p>
            <w:pPr>
              <w:jc w:val="right"/>
              <w:ind w:right="221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220" w:type="dxa"/>
            <w:vAlign w:val="bottom"/>
            <w:tcBorders>
              <w:bottom w:val="single" w:sz="8" w:color="CCEEFF"/>
            </w:tcBorders>
            <w:shd w:val="clear" w:color="auto" w:fill="CCEEFF"/>
          </w:tcPr>
          <w:p>
            <w:pPr>
              <w:spacing w:after="0"/>
              <w:rPr>
                <w:sz w:val="20"/>
                <w:szCs w:val="20"/>
                <w:color w:val="auto"/>
              </w:rPr>
            </w:pPr>
          </w:p>
        </w:tc>
        <w:tc>
          <w:tcPr>
            <w:tcW w:w="12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r>
      <w:tr>
        <w:trPr>
          <w:trHeight w:val="243"/>
        </w:trPr>
        <w:tc>
          <w:tcPr>
            <w:tcW w:w="36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Current assets: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4880" w:type="dxa"/>
            <w:vAlign w:val="bottom"/>
            <w:tcBorders>
              <w:bottom w:val="single" w:sz="8" w:color="CCEEFF"/>
            </w:tcBorders>
            <w:gridSpan w:val="2"/>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610,261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888,482</w:t>
            </w:r>
          </w:p>
        </w:tc>
      </w:tr>
      <w:tr>
        <w:trPr>
          <w:trHeight w:val="243"/>
        </w:trPr>
        <w:tc>
          <w:tcPr>
            <w:tcW w:w="36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Short-term investments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3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952,790</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Accounts receivable, net</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453,775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280,395</w:t>
            </w:r>
          </w:p>
        </w:tc>
      </w:tr>
      <w:tr>
        <w:trPr>
          <w:trHeight w:val="243"/>
        </w:trPr>
        <w:tc>
          <w:tcPr>
            <w:tcW w:w="36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Inventories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376,210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170,039</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49,230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41,482</w:t>
            </w:r>
          </w:p>
        </w:tc>
      </w:tr>
      <w:tr>
        <w:trPr>
          <w:trHeight w:val="243"/>
        </w:trPr>
        <w:tc>
          <w:tcPr>
            <w:tcW w:w="36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Assets held for sale</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30,745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30,767</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Total current assets</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1,520,221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2,363,955</w:t>
            </w:r>
          </w:p>
        </w:tc>
      </w:tr>
      <w:tr>
        <w:trPr>
          <w:trHeight w:val="243"/>
        </w:trPr>
        <w:tc>
          <w:tcPr>
            <w:tcW w:w="36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313,113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202,222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Goodwill</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5,499,145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1,993,310</w:t>
            </w:r>
          </w:p>
        </w:tc>
      </w:tr>
      <w:tr>
        <w:trPr>
          <w:trHeight w:val="243"/>
        </w:trPr>
        <w:tc>
          <w:tcPr>
            <w:tcW w:w="36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2,639,370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Other non-current assets</w:t>
            </w:r>
          </w:p>
        </w:tc>
        <w:tc>
          <w:tcPr>
            <w:tcW w:w="46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260,176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148,800</w:t>
            </w:r>
          </w:p>
        </w:tc>
      </w:tr>
      <w:tr>
        <w:trPr>
          <w:trHeight w:val="297"/>
        </w:trPr>
        <w:tc>
          <w:tcPr>
            <w:tcW w:w="3680" w:type="dxa"/>
            <w:vAlign w:val="bottom"/>
            <w:tcBorders>
              <w:bottom w:val="single" w:sz="8" w:color="CCEEFF"/>
            </w:tcBorders>
          </w:tcPr>
          <w:p>
            <w:pPr>
              <w:ind w:left="720"/>
              <w:spacing w:after="0"/>
              <w:rPr>
                <w:sz w:val="20"/>
                <w:szCs w:val="20"/>
                <w:color w:val="auto"/>
              </w:rPr>
            </w:pPr>
            <w:r>
              <w:rPr>
                <w:rFonts w:ascii="Times New Roman" w:cs="Times New Roman" w:eastAsia="Times New Roman" w:hAnsi="Times New Roman"/>
                <w:sz w:val="18"/>
                <w:szCs w:val="18"/>
                <w:color w:val="auto"/>
              </w:rPr>
              <w:t>Total assets</w:t>
            </w:r>
          </w:p>
        </w:tc>
        <w:tc>
          <w:tcPr>
            <w:tcW w:w="4660" w:type="dxa"/>
            <w:vAlign w:val="bottom"/>
            <w:tcBorders>
              <w:bottom w:val="single" w:sz="8" w:color="CCEEFF"/>
            </w:tcBorders>
          </w:tcPr>
          <w:p>
            <w:pPr>
              <w:spacing w:after="0"/>
              <w:rPr>
                <w:sz w:val="24"/>
                <w:szCs w:val="24"/>
                <w:color w:val="auto"/>
              </w:rPr>
            </w:pPr>
          </w:p>
        </w:tc>
        <w:tc>
          <w:tcPr>
            <w:tcW w:w="220" w:type="dxa"/>
            <w:vAlign w:val="bottom"/>
            <w:tcBorders>
              <w:top w:val="single" w:sz="8" w:color="auto"/>
              <w:bottom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top w:val="single" w:sz="8" w:color="auto"/>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10,232,025</w:t>
            </w:r>
          </w:p>
        </w:tc>
        <w:tc>
          <w:tcPr>
            <w:tcW w:w="100" w:type="dxa"/>
            <w:vAlign w:val="bottom"/>
            <w:tcBorders>
              <w:bottom w:val="single" w:sz="8" w:color="CCEEFF"/>
            </w:tcBorders>
          </w:tcPr>
          <w:p>
            <w:pPr>
              <w:spacing w:after="0"/>
              <w:rPr>
                <w:sz w:val="24"/>
                <w:szCs w:val="24"/>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4,708,287</w:t>
            </w:r>
          </w:p>
        </w:tc>
      </w:tr>
      <w:tr>
        <w:trPr>
          <w:trHeight w:val="257"/>
        </w:trPr>
        <w:tc>
          <w:tcPr>
            <w:tcW w:w="3680" w:type="dxa"/>
            <w:vAlign w:val="bottom"/>
            <w:shd w:val="clear" w:color="auto" w:fill="CCEEFF"/>
          </w:tcPr>
          <w:p>
            <w:pPr>
              <w:spacing w:after="0"/>
              <w:rPr>
                <w:sz w:val="22"/>
                <w:szCs w:val="22"/>
                <w:color w:val="auto"/>
              </w:rPr>
            </w:pPr>
          </w:p>
        </w:tc>
        <w:tc>
          <w:tcPr>
            <w:tcW w:w="466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2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40" w:type="dxa"/>
            <w:vAlign w:val="bottom"/>
            <w:shd w:val="clear" w:color="auto" w:fill="CCEEFF"/>
          </w:tcPr>
          <w:p>
            <w:pPr>
              <w:spacing w:after="0"/>
              <w:rPr>
                <w:sz w:val="22"/>
                <w:szCs w:val="22"/>
                <w:color w:val="auto"/>
              </w:rPr>
            </w:pPr>
          </w:p>
        </w:tc>
      </w:tr>
      <w:tr>
        <w:trPr>
          <w:trHeight w:val="243"/>
        </w:trPr>
        <w:tc>
          <w:tcPr>
            <w:tcW w:w="3680" w:type="dxa"/>
            <w:vAlign w:val="bottom"/>
          </w:tcPr>
          <w:p>
            <w:pPr>
              <w:spacing w:after="0"/>
              <w:rPr>
                <w:sz w:val="21"/>
                <w:szCs w:val="21"/>
                <w:color w:val="auto"/>
              </w:rPr>
            </w:pPr>
          </w:p>
        </w:tc>
        <w:tc>
          <w:tcPr>
            <w:tcW w:w="4880" w:type="dxa"/>
            <w:vAlign w:val="bottom"/>
            <w:gridSpan w:val="2"/>
          </w:tcPr>
          <w:p>
            <w:pPr>
              <w:jc w:val="right"/>
              <w:ind w:right="81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Current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Accounts payable</w:t>
            </w:r>
          </w:p>
        </w:tc>
        <w:tc>
          <w:tcPr>
            <w:tcW w:w="4880" w:type="dxa"/>
            <w:vAlign w:val="bottom"/>
            <w:gridSpan w:val="2"/>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209,562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145,236</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Accrued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302,095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86,958</w:t>
            </w:r>
          </w:p>
        </w:tc>
      </w:tr>
      <w:tr>
        <w:trPr>
          <w:trHeight w:val="243"/>
        </w:trPr>
        <w:tc>
          <w:tcPr>
            <w:tcW w:w="36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141,602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127,711</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Deferred income</w:t>
            </w:r>
          </w:p>
        </w:tc>
        <w:tc>
          <w:tcPr>
            <w:tcW w:w="46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2,947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61,237</w:t>
            </w:r>
          </w:p>
        </w:tc>
      </w:tr>
      <w:tr>
        <w:trPr>
          <w:trHeight w:val="237"/>
        </w:trPr>
        <w:tc>
          <w:tcPr>
            <w:tcW w:w="368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46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656,206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421,142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Long-term debt</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1,805,734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36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Non-current income taxes payable</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53,862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56,976</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Deferred tax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108,016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52,204</w:t>
            </w:r>
          </w:p>
        </w:tc>
      </w:tr>
      <w:tr>
        <w:trPr>
          <w:trHeight w:val="243"/>
        </w:trPr>
        <w:tc>
          <w:tcPr>
            <w:tcW w:w="36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32,928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36,552</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Total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2,656,746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566,874</w:t>
            </w:r>
          </w:p>
        </w:tc>
      </w:tr>
      <w:tr>
        <w:trPr>
          <w:trHeight w:val="243"/>
        </w:trPr>
        <w:tc>
          <w:tcPr>
            <w:tcW w:w="36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Commitments and contingencies (Note 11)</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Shareholders’ equity:</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Common shares, $0.002 par value</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1,314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991</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466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6,157,283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2,733,292</w:t>
            </w:r>
          </w:p>
        </w:tc>
      </w:tr>
      <w:tr>
        <w:trPr>
          <w:trHeight w:val="243"/>
        </w:trPr>
        <w:tc>
          <w:tcPr>
            <w:tcW w:w="36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Accumulated other comprehensive loss</w:t>
            </w:r>
          </w:p>
        </w:tc>
        <w:tc>
          <w:tcPr>
            <w:tcW w:w="46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3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(2,322)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Retained earnings</w:t>
            </w:r>
          </w:p>
        </w:tc>
        <w:tc>
          <w:tcPr>
            <w:tcW w:w="46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1,416,682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1,409,452</w:t>
            </w:r>
          </w:p>
        </w:tc>
      </w:tr>
      <w:tr>
        <w:trPr>
          <w:trHeight w:val="237"/>
        </w:trPr>
        <w:tc>
          <w:tcPr>
            <w:tcW w:w="368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46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7,575,279</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4,141,413</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64"/>
        </w:trPr>
        <w:tc>
          <w:tcPr>
            <w:tcW w:w="3680" w:type="dxa"/>
            <w:vAlign w:val="bottom"/>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4880" w:type="dxa"/>
            <w:vAlign w:val="bottom"/>
            <w:gridSpan w:val="2"/>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10,232,025</w:t>
            </w: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4,708,287</w:t>
            </w:r>
          </w:p>
        </w:tc>
      </w:tr>
      <w:tr>
        <w:trPr>
          <w:trHeight w:val="20"/>
        </w:trPr>
        <w:tc>
          <w:tcPr>
            <w:tcW w:w="3680" w:type="dxa"/>
            <w:vAlign w:val="bottom"/>
            <w:tcBorders>
              <w:top w:val="single" w:sz="8" w:color="CCEEFF"/>
            </w:tcBorders>
          </w:tcPr>
          <w:p>
            <w:pPr>
              <w:spacing w:after="0" w:line="20" w:lineRule="exact"/>
              <w:rPr>
                <w:sz w:val="1"/>
                <w:szCs w:val="1"/>
                <w:color w:val="auto"/>
              </w:rPr>
            </w:pPr>
          </w:p>
        </w:tc>
        <w:tc>
          <w:tcPr>
            <w:tcW w:w="46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420"/>
          </w:cols>
          <w:pgMar w:left="240" w:top="126" w:right="239" w:bottom="1440" w:gutter="0" w:footer="0" w:header="0"/>
        </w:sectPr>
      </w:pPr>
    </w:p>
    <w:bookmarkStart w:id="3" w:name="page4"/>
    <w:bookmarkEnd w:id="3"/>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0" w:lineRule="exact"/>
        <w:rPr>
          <w:sz w:val="20"/>
          <w:szCs w:val="20"/>
          <w:color w:val="auto"/>
        </w:rPr>
      </w:pPr>
    </w:p>
    <w:p>
      <w:pPr>
        <w:jc w:val="center"/>
        <w:ind w:left="260" w:right="2440"/>
        <w:spacing w:after="0" w:line="268" w:lineRule="auto"/>
        <w:rPr>
          <w:sz w:val="20"/>
          <w:szCs w:val="20"/>
          <w:color w:val="auto"/>
        </w:rPr>
      </w:pPr>
      <w:r>
        <w:rPr>
          <w:rFonts w:ascii="Times New Roman" w:cs="Times New Roman" w:eastAsia="Times New Roman" w:hAnsi="Times New Roman"/>
          <w:sz w:val="18"/>
          <w:szCs w:val="18"/>
          <w:b w:val="1"/>
          <w:bCs w:val="1"/>
          <w:color w:val="auto"/>
        </w:rPr>
        <w:t>MARVELL TECHNOLOGY GROUP LTD. UNAUDITED CONDENSED CONSOLIDATED STATEMENTS OF OPERATIONS (In thousands, except per share amounts)</w:t>
      </w: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4"/>
          </w:tcPr>
          <w:p>
            <w:pPr>
              <w:jc w:val="right"/>
              <w:ind w:right="791"/>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811"/>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49"/>
        </w:trPr>
        <w:tc>
          <w:tcPr>
            <w:tcW w:w="51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2"/>
                <w:szCs w:val="12"/>
                <w:color w:val="auto"/>
              </w:rPr>
            </w:pPr>
          </w:p>
        </w:tc>
        <w:tc>
          <w:tcPr>
            <w:tcW w:w="134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340" w:type="dxa"/>
            <w:vAlign w:val="bottom"/>
          </w:tcPr>
          <w:p>
            <w:pPr>
              <w:spacing w:after="0"/>
              <w:rPr>
                <w:sz w:val="12"/>
                <w:szCs w:val="12"/>
                <w:color w:val="auto"/>
              </w:rPr>
            </w:pPr>
          </w:p>
        </w:tc>
        <w:tc>
          <w:tcPr>
            <w:tcW w:w="1240" w:type="dxa"/>
            <w:vAlign w:val="bottom"/>
            <w:gridSpan w:val="2"/>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2"/>
                <w:szCs w:val="12"/>
                <w:color w:val="auto"/>
              </w:rPr>
            </w:pPr>
          </w:p>
        </w:tc>
        <w:tc>
          <w:tcPr>
            <w:tcW w:w="1240" w:type="dxa"/>
            <w:vAlign w:val="bottom"/>
          </w:tcPr>
          <w:p>
            <w:pPr>
              <w:jc w:val="right"/>
              <w:ind w:right="311"/>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r>
      <w:tr>
        <w:trPr>
          <w:trHeight w:val="195"/>
        </w:trPr>
        <w:tc>
          <w:tcPr>
            <w:tcW w:w="51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12"/>
              <w:spacing w:after="0"/>
              <w:rPr>
                <w:sz w:val="20"/>
                <w:szCs w:val="20"/>
                <w:color w:val="auto"/>
              </w:rPr>
            </w:pPr>
            <w:r>
              <w:rPr>
                <w:rFonts w:ascii="Times New Roman" w:cs="Times New Roman" w:eastAsia="Times New Roman" w:hAnsi="Times New Roman"/>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12"/>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revenue</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851,051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616,302</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2,120,992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1,793,761</w:t>
            </w:r>
          </w:p>
        </w:tc>
      </w:tr>
      <w:tr>
        <w:trPr>
          <w:trHeight w:val="243"/>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Cost of goods sold</w:t>
            </w:r>
          </w:p>
        </w:tc>
        <w:tc>
          <w:tcPr>
            <w:tcW w:w="220" w:type="dxa"/>
            <w:vAlign w:val="bottom"/>
          </w:tcPr>
          <w:p>
            <w:pPr>
              <w:spacing w:after="0"/>
              <w:rPr>
                <w:sz w:val="21"/>
                <w:szCs w:val="21"/>
                <w:color w:val="auto"/>
              </w:rPr>
            </w:pPr>
          </w:p>
        </w:tc>
        <w:tc>
          <w:tcPr>
            <w:tcW w:w="128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467,464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238,533</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984,602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705,303</w:t>
            </w:r>
          </w:p>
        </w:tc>
      </w:tr>
      <w:tr>
        <w:trPr>
          <w:trHeight w:val="27"/>
        </w:trPr>
        <w:tc>
          <w:tcPr>
            <w:tcW w:w="5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profit</w:t>
            </w:r>
          </w:p>
        </w:tc>
        <w:tc>
          <w:tcPr>
            <w:tcW w:w="2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383,587</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377,769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1,136,390</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1,088,458</w:t>
            </w:r>
          </w:p>
        </w:tc>
      </w:tr>
      <w:tr>
        <w:trPr>
          <w:trHeight w:val="237"/>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Operating expenses: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spacing w:after="0"/>
              <w:rPr>
                <w:sz w:val="20"/>
                <w:szCs w:val="20"/>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264,888</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165,477</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657,907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534,444</w:t>
            </w:r>
          </w:p>
        </w:tc>
      </w:tr>
      <w:tr>
        <w:trPr>
          <w:trHeight w:val="243"/>
        </w:trPr>
        <w:tc>
          <w:tcPr>
            <w:tcW w:w="51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220" w:type="dxa"/>
            <w:vAlign w:val="bottom"/>
          </w:tcPr>
          <w:p>
            <w:pPr>
              <w:spacing w:after="0"/>
              <w:rPr>
                <w:sz w:val="21"/>
                <w:szCs w:val="21"/>
                <w:color w:val="auto"/>
              </w:rPr>
            </w:pPr>
          </w:p>
        </w:tc>
        <w:tc>
          <w:tcPr>
            <w:tcW w:w="128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112,178</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59,112</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318,192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169,875</w:t>
            </w: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27,031</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3,284</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64,013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8,455</w:t>
            </w:r>
          </w:p>
        </w:tc>
      </w:tr>
      <w:tr>
        <w:trPr>
          <w:trHeight w:val="237"/>
        </w:trPr>
        <w:tc>
          <w:tcPr>
            <w:tcW w:w="516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404,097</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227,873</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1,040,112</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712,774</w:t>
            </w:r>
          </w:p>
        </w:tc>
      </w:tr>
      <w:tr>
        <w:trPr>
          <w:trHeight w:val="27"/>
        </w:trPr>
        <w:tc>
          <w:tcPr>
            <w:tcW w:w="5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Operating income (loss) from continuing operations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(20,510)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149,896</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96,278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375,684</w:t>
            </w:r>
          </w:p>
        </w:tc>
      </w:tr>
      <w:tr>
        <w:trPr>
          <w:trHeight w:val="243"/>
        </w:trPr>
        <w:tc>
          <w:tcPr>
            <w:tcW w:w="51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Interest income</w:t>
            </w:r>
          </w:p>
        </w:tc>
        <w:tc>
          <w:tcPr>
            <w:tcW w:w="220" w:type="dxa"/>
            <w:vAlign w:val="bottom"/>
          </w:tcPr>
          <w:p>
            <w:pPr>
              <w:spacing w:after="0"/>
              <w:rPr>
                <w:sz w:val="21"/>
                <w:szCs w:val="21"/>
                <w:color w:val="auto"/>
              </w:rPr>
            </w:pPr>
          </w:p>
        </w:tc>
        <w:tc>
          <w:tcPr>
            <w:tcW w:w="128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1,046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4,301</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10,690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11,643</w:t>
            </w: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Interest expense</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(22,370)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(262)</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(38,409)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(393)</w:t>
            </w:r>
          </w:p>
        </w:tc>
      </w:tr>
      <w:tr>
        <w:trPr>
          <w:trHeight w:val="243"/>
        </w:trPr>
        <w:tc>
          <w:tcPr>
            <w:tcW w:w="51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Other income (loss), net</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(2,628)</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2,161</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(3,858)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5,471</w:t>
            </w:r>
          </w:p>
        </w:tc>
      </w:tr>
      <w:tr>
        <w:trPr>
          <w:trHeight w:val="27"/>
        </w:trPr>
        <w:tc>
          <w:tcPr>
            <w:tcW w:w="5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Interest and other income (loss), net</w:t>
            </w:r>
          </w:p>
        </w:tc>
        <w:tc>
          <w:tcPr>
            <w:tcW w:w="2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(23,952)</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6,200</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(31,577)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16,721</w:t>
            </w:r>
          </w:p>
        </w:tc>
      </w:tr>
      <w:tr>
        <w:trPr>
          <w:trHeight w:val="237"/>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Income (loss) from continuing operations before income taxes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(44,462)</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156,096</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64,701</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392,405</w:t>
            </w: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9,305</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6,759</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(16,903)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8,026</w:t>
            </w:r>
          </w:p>
        </w:tc>
      </w:tr>
      <w:tr>
        <w:trPr>
          <w:trHeight w:val="237"/>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Income (loss) from continuing operations, net of tax</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(53,767)</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149,337</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81,604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384,379</w:t>
            </w: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from discontinued operations, net of tax</w:t>
            </w:r>
          </w:p>
        </w:tc>
        <w:tc>
          <w:tcPr>
            <w:tcW w:w="22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50,851</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87,689</w:t>
            </w:r>
          </w:p>
        </w:tc>
      </w:tr>
      <w:tr>
        <w:trPr>
          <w:trHeight w:val="297"/>
        </w:trPr>
        <w:tc>
          <w:tcPr>
            <w:tcW w:w="5160" w:type="dxa"/>
            <w:vAlign w:val="bottom"/>
            <w:tcBorders>
              <w:bottom w:val="single" w:sz="8" w:color="CCEEFF"/>
            </w:tcBorders>
          </w:tcPr>
          <w:p>
            <w:pPr>
              <w:ind w:left="40"/>
              <w:spacing w:after="0"/>
              <w:rPr>
                <w:sz w:val="20"/>
                <w:szCs w:val="20"/>
                <w:color w:val="auto"/>
              </w:rPr>
            </w:pPr>
            <w:r>
              <w:rPr>
                <w:rFonts w:ascii="Times New Roman" w:cs="Times New Roman" w:eastAsia="Times New Roman" w:hAnsi="Times New Roman"/>
                <w:sz w:val="18"/>
                <w:szCs w:val="18"/>
                <w:color w:val="auto"/>
              </w:rPr>
              <w:t>Net income (loss)</w:t>
            </w:r>
          </w:p>
        </w:tc>
        <w:tc>
          <w:tcPr>
            <w:tcW w:w="220" w:type="dxa"/>
            <w:vAlign w:val="bottom"/>
            <w:tcBorders>
              <w:top w:val="single" w:sz="8" w:color="auto"/>
              <w:bottom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(53,767)</w:t>
            </w:r>
          </w:p>
        </w:tc>
        <w:tc>
          <w:tcPr>
            <w:tcW w:w="120" w:type="dxa"/>
            <w:vAlign w:val="bottom"/>
            <w:tcBorders>
              <w:bottom w:val="single" w:sz="8" w:color="CCEEFF"/>
            </w:tcBorders>
          </w:tcPr>
          <w:p>
            <w:pPr>
              <w:spacing w:after="0"/>
              <w:rPr>
                <w:sz w:val="24"/>
                <w:szCs w:val="24"/>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200,188</w:t>
            </w:r>
          </w:p>
        </w:tc>
        <w:tc>
          <w:tcPr>
            <w:tcW w:w="100" w:type="dxa"/>
            <w:vAlign w:val="bottom"/>
            <w:tcBorders>
              <w:bottom w:val="single" w:sz="8" w:color="CCEEFF"/>
            </w:tcBorders>
          </w:tcPr>
          <w:p>
            <w:pPr>
              <w:spacing w:after="0"/>
              <w:rPr>
                <w:sz w:val="24"/>
                <w:szCs w:val="24"/>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top w:val="single" w:sz="8" w:color="auto"/>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81,604</w:t>
            </w:r>
          </w:p>
        </w:tc>
        <w:tc>
          <w:tcPr>
            <w:tcW w:w="100" w:type="dxa"/>
            <w:vAlign w:val="bottom"/>
            <w:tcBorders>
              <w:bottom w:val="single" w:sz="8" w:color="CCEEFF"/>
            </w:tcBorders>
          </w:tcPr>
          <w:p>
            <w:pPr>
              <w:spacing w:after="0"/>
              <w:rPr>
                <w:sz w:val="24"/>
                <w:szCs w:val="24"/>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472,068</w:t>
            </w:r>
          </w:p>
        </w:tc>
      </w:tr>
      <w:tr>
        <w:trPr>
          <w:trHeight w:val="311"/>
        </w:trPr>
        <w:tc>
          <w:tcPr>
            <w:tcW w:w="51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243"/>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income (loss) per share - Basic:</w:t>
            </w: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Continuing operations</w:t>
            </w: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0.30</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0.14</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0.77</w:t>
            </w:r>
          </w:p>
        </w:tc>
      </w:tr>
      <w:tr>
        <w:trPr>
          <w:trHeight w:val="20"/>
        </w:trPr>
        <w:tc>
          <w:tcPr>
            <w:tcW w:w="5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291"/>
        </w:trPr>
        <w:tc>
          <w:tcPr>
            <w:tcW w:w="51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Discontinued operations</w:t>
            </w:r>
          </w:p>
        </w:tc>
        <w:tc>
          <w:tcPr>
            <w:tcW w:w="2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0.11</w:t>
            </w:r>
          </w:p>
        </w:tc>
        <w:tc>
          <w:tcPr>
            <w:tcW w:w="100" w:type="dxa"/>
            <w:vAlign w:val="bottom"/>
          </w:tcPr>
          <w:p>
            <w:pPr>
              <w:spacing w:after="0"/>
              <w:rPr>
                <w:sz w:val="24"/>
                <w:szCs w:val="24"/>
                <w:color w:val="auto"/>
              </w:rPr>
            </w:pP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0.17</w:t>
            </w:r>
          </w:p>
        </w:tc>
      </w:tr>
      <w:tr>
        <w:trPr>
          <w:trHeight w:val="251"/>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 per share - Basic</w:t>
            </w:r>
          </w:p>
        </w:tc>
        <w:tc>
          <w:tcPr>
            <w:tcW w:w="22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0.41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top w:val="single" w:sz="8" w:color="auto"/>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0.14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0.94</w:t>
            </w:r>
          </w:p>
        </w:tc>
      </w:tr>
      <w:tr>
        <w:trPr>
          <w:trHeight w:val="20"/>
        </w:trPr>
        <w:tc>
          <w:tcPr>
            <w:tcW w:w="5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311"/>
        </w:trPr>
        <w:tc>
          <w:tcPr>
            <w:tcW w:w="5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 per share - Diluted:</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304"/>
        </w:trPr>
        <w:tc>
          <w:tcPr>
            <w:tcW w:w="5160" w:type="dxa"/>
            <w:vAlign w:val="bottom"/>
            <w:tcBorders>
              <w:bottom w:val="single" w:sz="8" w:color="CCEEFF"/>
            </w:tcBorders>
          </w:tcPr>
          <w:p>
            <w:pPr>
              <w:ind w:left="360"/>
              <w:spacing w:after="0"/>
              <w:rPr>
                <w:sz w:val="20"/>
                <w:szCs w:val="20"/>
                <w:color w:val="auto"/>
              </w:rPr>
            </w:pPr>
            <w:r>
              <w:rPr>
                <w:rFonts w:ascii="Times New Roman" w:cs="Times New Roman" w:eastAsia="Times New Roman" w:hAnsi="Times New Roman"/>
                <w:sz w:val="18"/>
                <w:szCs w:val="18"/>
                <w:color w:val="auto"/>
              </w:rPr>
              <w:t>Continuing operations</w:t>
            </w:r>
          </w:p>
        </w:tc>
        <w:tc>
          <w:tcPr>
            <w:tcW w:w="220" w:type="dxa"/>
            <w:vAlign w:val="bottom"/>
            <w:tcBorders>
              <w:bottom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2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0.30</w:t>
            </w:r>
          </w:p>
        </w:tc>
        <w:tc>
          <w:tcPr>
            <w:tcW w:w="100" w:type="dxa"/>
            <w:vAlign w:val="bottom"/>
            <w:tcBorders>
              <w:bottom w:val="single" w:sz="8" w:color="CCEEFF"/>
            </w:tcBorders>
          </w:tcPr>
          <w:p>
            <w:pPr>
              <w:spacing w:after="0"/>
              <w:rPr>
                <w:sz w:val="24"/>
                <w:szCs w:val="24"/>
                <w:color w:val="auto"/>
              </w:rPr>
            </w:pPr>
          </w:p>
        </w:tc>
        <w:tc>
          <w:tcPr>
            <w:tcW w:w="340" w:type="dxa"/>
            <w:vAlign w:val="bottom"/>
            <w:tcBorders>
              <w:bottom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0.14</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0.75</w:t>
            </w:r>
          </w:p>
        </w:tc>
      </w:tr>
      <w:tr>
        <w:trPr>
          <w:trHeight w:val="251"/>
        </w:trPr>
        <w:tc>
          <w:tcPr>
            <w:tcW w:w="51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Discontinued operations</w:t>
            </w:r>
          </w:p>
        </w:tc>
        <w:tc>
          <w:tcPr>
            <w:tcW w:w="22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0.10</w:t>
            </w:r>
          </w:p>
        </w:tc>
        <w:tc>
          <w:tcPr>
            <w:tcW w:w="100" w:type="dxa"/>
            <w:vAlign w:val="bottom"/>
            <w:shd w:val="clear" w:color="auto" w:fill="CCEEFF"/>
          </w:tcPr>
          <w:p>
            <w:pPr>
              <w:spacing w:after="0"/>
              <w:rPr>
                <w:sz w:val="21"/>
                <w:szCs w:val="21"/>
                <w:color w:val="auto"/>
              </w:rPr>
            </w:pPr>
          </w:p>
        </w:tc>
        <w:tc>
          <w:tcPr>
            <w:tcW w:w="340" w:type="dxa"/>
            <w:vAlign w:val="bottom"/>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0.17</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r>
        <w:trPr>
          <w:trHeight w:val="291"/>
        </w:trPr>
        <w:tc>
          <w:tcPr>
            <w:tcW w:w="5160" w:type="dxa"/>
            <w:vAlign w:val="bottom"/>
            <w:tcBorders>
              <w:bottom w:val="single" w:sz="8" w:color="CCEEFF"/>
            </w:tcBorders>
          </w:tcPr>
          <w:p>
            <w:pPr>
              <w:ind w:left="40"/>
              <w:spacing w:after="0"/>
              <w:rPr>
                <w:sz w:val="20"/>
                <w:szCs w:val="20"/>
                <w:color w:val="auto"/>
              </w:rPr>
            </w:pPr>
            <w:r>
              <w:rPr>
                <w:rFonts w:ascii="Times New Roman" w:cs="Times New Roman" w:eastAsia="Times New Roman" w:hAnsi="Times New Roman"/>
                <w:sz w:val="18"/>
                <w:szCs w:val="18"/>
                <w:color w:val="auto"/>
              </w:rPr>
              <w:t>Net income (loss) per share - Diluted</w:t>
            </w:r>
          </w:p>
        </w:tc>
        <w:tc>
          <w:tcPr>
            <w:tcW w:w="220" w:type="dxa"/>
            <w:vAlign w:val="bottom"/>
            <w:tcBorders>
              <w:bottom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2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0.40</w:t>
            </w:r>
          </w:p>
        </w:tc>
        <w:tc>
          <w:tcPr>
            <w:tcW w:w="100" w:type="dxa"/>
            <w:vAlign w:val="bottom"/>
            <w:tcBorders>
              <w:bottom w:val="single" w:sz="8" w:color="CCEEFF"/>
            </w:tcBorders>
          </w:tcPr>
          <w:p>
            <w:pPr>
              <w:spacing w:after="0"/>
              <w:rPr>
                <w:sz w:val="24"/>
                <w:szCs w:val="24"/>
                <w:color w:val="auto"/>
              </w:rPr>
            </w:pPr>
          </w:p>
        </w:tc>
        <w:tc>
          <w:tcPr>
            <w:tcW w:w="340" w:type="dxa"/>
            <w:vAlign w:val="bottom"/>
            <w:tcBorders>
              <w:bottom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0.14</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0.92</w:t>
            </w:r>
          </w:p>
        </w:tc>
      </w:tr>
      <w:tr>
        <w:trPr>
          <w:trHeight w:val="311"/>
        </w:trPr>
        <w:tc>
          <w:tcPr>
            <w:tcW w:w="51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243"/>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Weighted average shares:</w:t>
            </w: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Basic</w:t>
            </w:r>
          </w:p>
        </w:tc>
        <w:tc>
          <w:tcPr>
            <w:tcW w:w="220" w:type="dxa"/>
            <w:vAlign w:val="bottom"/>
            <w:tcBorders>
              <w:bottom w:val="single" w:sz="8" w:color="auto"/>
            </w:tcBorders>
            <w:shd w:val="clear" w:color="auto" w:fill="CCEEFF"/>
          </w:tcPr>
          <w:p>
            <w:pPr>
              <w:spacing w:after="0"/>
              <w:rPr>
                <w:sz w:val="22"/>
                <w:szCs w:val="22"/>
                <w:color w:val="auto"/>
              </w:rPr>
            </w:pPr>
          </w:p>
        </w:tc>
        <w:tc>
          <w:tcPr>
            <w:tcW w:w="128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657,519</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spacing w:after="0"/>
              <w:rPr>
                <w:sz w:val="22"/>
                <w:szCs w:val="22"/>
                <w:color w:val="auto"/>
              </w:rPr>
            </w:pP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494,096</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spacing w:after="0"/>
              <w:rPr>
                <w:sz w:val="22"/>
                <w:szCs w:val="22"/>
                <w:color w:val="auto"/>
              </w:rPr>
            </w:pPr>
          </w:p>
        </w:tc>
        <w:tc>
          <w:tcPr>
            <w:tcW w:w="114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569,031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spacing w:after="0"/>
              <w:rPr>
                <w:sz w:val="22"/>
                <w:szCs w:val="22"/>
                <w:color w:val="auto"/>
              </w:rPr>
            </w:pP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499,568</w:t>
            </w:r>
          </w:p>
        </w:tc>
      </w:tr>
      <w:tr>
        <w:trPr>
          <w:trHeight w:val="20"/>
        </w:trPr>
        <w:tc>
          <w:tcPr>
            <w:tcW w:w="5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291"/>
        </w:trPr>
        <w:tc>
          <w:tcPr>
            <w:tcW w:w="5160" w:type="dxa"/>
            <w:vAlign w:val="bottom"/>
            <w:tcBorders>
              <w:bottom w:val="single" w:sz="8" w:color="CCEEFF"/>
            </w:tcBorders>
          </w:tcPr>
          <w:p>
            <w:pPr>
              <w:ind w:left="380"/>
              <w:spacing w:after="0"/>
              <w:rPr>
                <w:sz w:val="20"/>
                <w:szCs w:val="20"/>
                <w:color w:val="auto"/>
              </w:rPr>
            </w:pPr>
            <w:r>
              <w:rPr>
                <w:rFonts w:ascii="Times New Roman" w:cs="Times New Roman" w:eastAsia="Times New Roman" w:hAnsi="Times New Roman"/>
                <w:sz w:val="18"/>
                <w:szCs w:val="18"/>
                <w:color w:val="auto"/>
              </w:rPr>
              <w:t>Diluted</w:t>
            </w:r>
          </w:p>
        </w:tc>
        <w:tc>
          <w:tcPr>
            <w:tcW w:w="220" w:type="dxa"/>
            <w:vAlign w:val="bottom"/>
            <w:tcBorders>
              <w:bottom w:val="single" w:sz="8" w:color="auto"/>
            </w:tcBorders>
          </w:tcPr>
          <w:p>
            <w:pPr>
              <w:spacing w:after="0"/>
              <w:rPr>
                <w:sz w:val="24"/>
                <w:szCs w:val="24"/>
                <w:color w:val="auto"/>
              </w:rPr>
            </w:pPr>
          </w:p>
        </w:tc>
        <w:tc>
          <w:tcPr>
            <w:tcW w:w="1280" w:type="dxa"/>
            <w:vAlign w:val="bottom"/>
            <w:tcBorders>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657,519</w:t>
            </w:r>
          </w:p>
        </w:tc>
        <w:tc>
          <w:tcPr>
            <w:tcW w:w="12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504,903</w:t>
            </w:r>
          </w:p>
        </w:tc>
        <w:tc>
          <w:tcPr>
            <w:tcW w:w="100" w:type="dxa"/>
            <w:vAlign w:val="bottom"/>
            <w:tcBorders>
              <w:bottom w:val="single" w:sz="8" w:color="CCEEFF"/>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114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578,872</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510,935</w:t>
            </w:r>
          </w:p>
        </w:tc>
      </w:tr>
      <w:tr>
        <w:trPr>
          <w:trHeight w:val="311"/>
        </w:trPr>
        <w:tc>
          <w:tcPr>
            <w:tcW w:w="51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264"/>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Cash dividends declared per share</w:t>
            </w:r>
          </w:p>
        </w:tc>
        <w:tc>
          <w:tcPr>
            <w:tcW w:w="220" w:type="dxa"/>
            <w:vAlign w:val="bottom"/>
            <w:tcBorders>
              <w:bottom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0.06</w:t>
            </w:r>
          </w:p>
        </w:tc>
        <w:tc>
          <w:tcPr>
            <w:tcW w:w="120" w:type="dxa"/>
            <w:vAlign w:val="bottom"/>
          </w:tcPr>
          <w:p>
            <w:pPr>
              <w:spacing w:after="0"/>
              <w:rPr>
                <w:sz w:val="22"/>
                <w:szCs w:val="22"/>
                <w:color w:val="auto"/>
              </w:rPr>
            </w:pPr>
          </w:p>
        </w:tc>
        <w:tc>
          <w:tcPr>
            <w:tcW w:w="240" w:type="dxa"/>
            <w:vAlign w:val="bottom"/>
            <w:tcBorders>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0.06</w:t>
            </w:r>
          </w:p>
        </w:tc>
        <w:tc>
          <w:tcPr>
            <w:tcW w:w="100" w:type="dxa"/>
            <w:vAlign w:val="bottom"/>
          </w:tcPr>
          <w:p>
            <w:pPr>
              <w:spacing w:after="0"/>
              <w:rPr>
                <w:sz w:val="22"/>
                <w:szCs w:val="22"/>
                <w:color w:val="auto"/>
              </w:rPr>
            </w:pPr>
          </w:p>
        </w:tc>
        <w:tc>
          <w:tcPr>
            <w:tcW w:w="340" w:type="dxa"/>
            <w:vAlign w:val="bottom"/>
            <w:tcBorders>
              <w:bottom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0.18</w:t>
            </w:r>
          </w:p>
        </w:tc>
        <w:tc>
          <w:tcPr>
            <w:tcW w:w="100" w:type="dxa"/>
            <w:vAlign w:val="bottom"/>
          </w:tcPr>
          <w:p>
            <w:pPr>
              <w:spacing w:after="0"/>
              <w:rPr>
                <w:sz w:val="22"/>
                <w:szCs w:val="22"/>
                <w:color w:val="auto"/>
              </w:rPr>
            </w:pPr>
          </w:p>
        </w:tc>
        <w:tc>
          <w:tcPr>
            <w:tcW w:w="240" w:type="dxa"/>
            <w:vAlign w:val="bottom"/>
            <w:tcBorders>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0.18</w:t>
            </w:r>
          </w:p>
        </w:tc>
      </w:tr>
      <w:tr>
        <w:trPr>
          <w:trHeight w:val="20"/>
        </w:trPr>
        <w:tc>
          <w:tcPr>
            <w:tcW w:w="5160" w:type="dxa"/>
            <w:vAlign w:val="bottom"/>
          </w:tcPr>
          <w:p>
            <w:pPr>
              <w:spacing w:after="0" w:line="20" w:lineRule="exact"/>
              <w:rPr>
                <w:sz w:val="1"/>
                <w:szCs w:val="1"/>
                <w:color w:val="auto"/>
              </w:rPr>
            </w:pPr>
          </w:p>
        </w:tc>
        <w:tc>
          <w:tcPr>
            <w:tcW w:w="1500" w:type="dxa"/>
            <w:vAlign w:val="bottom"/>
            <w:tcBorders>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365"/>
        </w:trPr>
        <w:tc>
          <w:tcPr>
            <w:tcW w:w="8700" w:type="dxa"/>
            <w:vAlign w:val="bottom"/>
            <w:gridSpan w:val="8"/>
          </w:tcPr>
          <w:p>
            <w:pPr>
              <w:ind w:left="2740"/>
              <w:spacing w:after="0"/>
              <w:rPr>
                <w:sz w:val="20"/>
                <w:szCs w:val="20"/>
                <w:color w:val="auto"/>
              </w:rPr>
            </w:pPr>
            <w:r>
              <w:rPr>
                <w:rFonts w:ascii="Times New Roman" w:cs="Times New Roman" w:eastAsia="Times New Roman" w:hAnsi="Times New Roman"/>
                <w:sz w:val="18"/>
                <w:szCs w:val="18"/>
                <w:color w:val="auto"/>
                <w:w w:val="99"/>
              </w:rPr>
              <w:t>See accompanying notes to unaudited condensed consolidated financial statements</w:t>
            </w: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459"/>
        </w:trPr>
        <w:tc>
          <w:tcPr>
            <w:tcW w:w="5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80" w:type="dxa"/>
            <w:vAlign w:val="bottom"/>
          </w:tcPr>
          <w:p>
            <w:pPr>
              <w:jc w:val="right"/>
              <w:ind w:right="812"/>
              <w:spacing w:after="0"/>
              <w:rPr>
                <w:sz w:val="20"/>
                <w:szCs w:val="20"/>
                <w:color w:val="auto"/>
              </w:rPr>
            </w:pPr>
            <w:r>
              <w:rPr>
                <w:rFonts w:ascii="Times New Roman" w:cs="Times New Roman" w:eastAsia="Times New Roman" w:hAnsi="Times New Roman"/>
                <w:sz w:val="18"/>
                <w:szCs w:val="18"/>
                <w:color w:val="auto"/>
              </w:rPr>
              <w:t>3</w:t>
            </w: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r>
    </w:tbl>
    <w:p>
      <w:pPr>
        <w:sectPr>
          <w:pgSz w:w="11900" w:h="16838" w:orient="portrait"/>
          <w:cols w:equalWidth="0" w:num="1">
            <w:col w:w="11420"/>
          </w:cols>
          <w:pgMar w:left="240" w:top="126" w:right="239" w:bottom="1440" w:gutter="0" w:footer="0" w:header="0"/>
        </w:sectPr>
      </w:pPr>
    </w:p>
    <w:bookmarkStart w:id="4" w:name="page5"/>
    <w:bookmarkEnd w:id="4"/>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00" w:lineRule="exact"/>
        <w:rPr>
          <w:sz w:val="20"/>
          <w:szCs w:val="20"/>
          <w:color w:val="auto"/>
        </w:rPr>
      </w:pP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4"/>
          </w:tcPr>
          <w:p>
            <w:pPr>
              <w:jc w:val="right"/>
              <w:ind w:right="795"/>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5"/>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49"/>
        </w:trPr>
        <w:tc>
          <w:tcPr>
            <w:tcW w:w="51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2"/>
                <w:szCs w:val="12"/>
                <w:color w:val="auto"/>
              </w:rPr>
            </w:pPr>
          </w:p>
        </w:tc>
        <w:tc>
          <w:tcPr>
            <w:tcW w:w="134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240" w:type="dxa"/>
            <w:vAlign w:val="bottom"/>
          </w:tcPr>
          <w:p>
            <w:pPr>
              <w:spacing w:after="0"/>
              <w:rPr>
                <w:sz w:val="12"/>
                <w:szCs w:val="12"/>
                <w:color w:val="auto"/>
              </w:rPr>
            </w:pPr>
          </w:p>
        </w:tc>
        <w:tc>
          <w:tcPr>
            <w:tcW w:w="134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2"/>
                <w:szCs w:val="12"/>
                <w:color w:val="auto"/>
              </w:rPr>
            </w:pPr>
          </w:p>
        </w:tc>
        <w:tc>
          <w:tcPr>
            <w:tcW w:w="1240" w:type="dxa"/>
            <w:vAlign w:val="bottom"/>
          </w:tcPr>
          <w:p>
            <w:pPr>
              <w:jc w:val="right"/>
              <w:ind w:right="315"/>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r>
      <w:tr>
        <w:trPr>
          <w:trHeight w:val="195"/>
        </w:trPr>
        <w:tc>
          <w:tcPr>
            <w:tcW w:w="51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(53,767)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Times New Roman" w:cs="Times New Roman" w:eastAsia="Times New Roman" w:hAnsi="Times New Roman"/>
                <w:sz w:val="18"/>
                <w:szCs w:val="18"/>
                <w:color w:val="auto"/>
              </w:rPr>
              <w:t>200,188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81,604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Times New Roman" w:cs="Times New Roman" w:eastAsia="Times New Roman" w:hAnsi="Times New Roman"/>
                <w:sz w:val="18"/>
                <w:szCs w:val="18"/>
                <w:color w:val="auto"/>
              </w:rPr>
              <w:t>472,068</w:t>
            </w:r>
          </w:p>
        </w:tc>
      </w:tr>
      <w:tr>
        <w:trPr>
          <w:trHeight w:val="243"/>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comprehensive income (loss), net of tax:</w:t>
            </w: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Net change in unrealized gain (loss) on marketable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Times New Roman" w:cs="Times New Roman" w:eastAsia="Times New Roman" w:hAnsi="Times New Roman"/>
                <w:sz w:val="18"/>
                <w:szCs w:val="18"/>
                <w:color w:val="auto"/>
              </w:rPr>
              <w:t>726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2,322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Times New Roman" w:cs="Times New Roman" w:eastAsia="Times New Roman" w:hAnsi="Times New Roman"/>
                <w:sz w:val="18"/>
                <w:szCs w:val="18"/>
                <w:color w:val="auto"/>
              </w:rPr>
              <w:t>608</w:t>
            </w:r>
          </w:p>
        </w:tc>
      </w:tr>
      <w:tr>
        <w:trPr>
          <w:trHeight w:val="243"/>
        </w:trPr>
        <w:tc>
          <w:tcPr>
            <w:tcW w:w="51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Net change in unrealized gain (loss) on cash flow hedges</w:t>
            </w:r>
          </w:p>
        </w:tc>
        <w:tc>
          <w:tcPr>
            <w:tcW w:w="220" w:type="dxa"/>
            <w:vAlign w:val="bottom"/>
          </w:tcPr>
          <w:p>
            <w:pPr>
              <w:spacing w:after="0"/>
              <w:rPr>
                <w:sz w:val="21"/>
                <w:szCs w:val="21"/>
                <w:color w:val="auto"/>
              </w:rPr>
            </w:pPr>
          </w:p>
        </w:tc>
        <w:tc>
          <w:tcPr>
            <w:tcW w:w="140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(1,817)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(823)</w:t>
            </w:r>
          </w:p>
        </w:tc>
      </w:tr>
      <w:tr>
        <w:trPr>
          <w:trHeight w:val="27"/>
        </w:trPr>
        <w:tc>
          <w:tcPr>
            <w:tcW w:w="5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Other comprehensive income (loss), net of tax</w:t>
            </w:r>
          </w:p>
        </w:tc>
        <w:tc>
          <w:tcPr>
            <w:tcW w:w="220" w:type="dxa"/>
            <w:vAlign w:val="bottom"/>
            <w:tcBorders>
              <w:bottom w:val="single" w:sz="8" w:color="CCEEFF"/>
            </w:tcBorders>
            <w:shd w:val="clear" w:color="auto" w:fill="CCEEFF"/>
          </w:tcPr>
          <w:p>
            <w:pPr>
              <w:spacing w:after="0"/>
              <w:rPr>
                <w:sz w:val="22"/>
                <w:szCs w:val="22"/>
                <w:color w:val="auto"/>
              </w:rPr>
            </w:pPr>
          </w:p>
        </w:tc>
        <w:tc>
          <w:tcPr>
            <w:tcW w:w="14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(1,091)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2,322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(215)</w:t>
            </w:r>
          </w:p>
        </w:tc>
      </w:tr>
      <w:tr>
        <w:trPr>
          <w:trHeight w:val="237"/>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Comprehensive income (loss), net of tax</w:t>
            </w:r>
          </w:p>
        </w:tc>
        <w:tc>
          <w:tcPr>
            <w:tcW w:w="220" w:type="dxa"/>
            <w:vAlign w:val="bottom"/>
            <w:tcBorders>
              <w:top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(53,767)</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15"/>
              <w:spacing w:after="0"/>
              <w:rPr>
                <w:sz w:val="20"/>
                <w:szCs w:val="20"/>
                <w:color w:val="auto"/>
              </w:rPr>
            </w:pPr>
            <w:r>
              <w:rPr>
                <w:rFonts w:ascii="Times New Roman" w:cs="Times New Roman" w:eastAsia="Times New Roman" w:hAnsi="Times New Roman"/>
                <w:sz w:val="18"/>
                <w:szCs w:val="18"/>
                <w:color w:val="auto"/>
              </w:rPr>
              <w:t>199,097</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83,926</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15"/>
              <w:spacing w:after="0"/>
              <w:rPr>
                <w:sz w:val="20"/>
                <w:szCs w:val="20"/>
                <w:color w:val="auto"/>
              </w:rPr>
            </w:pPr>
            <w:r>
              <w:rPr>
                <w:rFonts w:ascii="Times New Roman" w:cs="Times New Roman" w:eastAsia="Times New Roman" w:hAnsi="Times New Roman"/>
                <w:sz w:val="18"/>
                <w:szCs w:val="18"/>
                <w:color w:val="auto"/>
              </w:rPr>
              <w:t>471,853</w:t>
            </w:r>
          </w:p>
        </w:tc>
      </w:tr>
      <w:tr>
        <w:trPr>
          <w:trHeight w:val="27"/>
        </w:trPr>
        <w:tc>
          <w:tcPr>
            <w:tcW w:w="516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4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420"/>
          </w:cols>
          <w:pgMar w:left="240" w:top="126" w:right="239" w:bottom="1440" w:gutter="0" w:footer="0" w:header="0"/>
        </w:sectPr>
      </w:pPr>
    </w:p>
    <w:bookmarkStart w:id="5" w:name="page6"/>
    <w:bookmarkEnd w:id="5"/>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0" w:lineRule="exact"/>
        <w:rPr>
          <w:sz w:val="20"/>
          <w:szCs w:val="20"/>
          <w:color w:val="auto"/>
        </w:rPr>
      </w:pPr>
    </w:p>
    <w:p>
      <w:pPr>
        <w:jc w:val="center"/>
        <w:spacing w:after="0" w:line="278" w:lineRule="auto"/>
        <w:rPr>
          <w:sz w:val="20"/>
          <w:szCs w:val="20"/>
          <w:color w:val="auto"/>
        </w:rPr>
      </w:pPr>
      <w:r>
        <w:rPr>
          <w:rFonts w:ascii="Times New Roman" w:cs="Times New Roman" w:eastAsia="Times New Roman" w:hAnsi="Times New Roman"/>
          <w:sz w:val="18"/>
          <w:szCs w:val="18"/>
          <w:b w:val="1"/>
          <w:bCs w:val="1"/>
          <w:color w:val="auto"/>
        </w:rPr>
        <w:t>MARVELL TECHNOLOGY GROUP LTD. UNAUDITED CONDENSED CONSOLIDATED STATEMENTS OF CASH FLOWS (In thousands)</w:t>
      </w: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4"/>
          </w:tcPr>
          <w:p>
            <w:pPr>
              <w:jc w:val="right"/>
              <w:ind w:right="831"/>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49"/>
        </w:trPr>
        <w:tc>
          <w:tcPr>
            <w:tcW w:w="8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38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2"/>
                <w:szCs w:val="12"/>
                <w:color w:val="auto"/>
              </w:rPr>
            </w:pPr>
          </w:p>
        </w:tc>
        <w:tc>
          <w:tcPr>
            <w:tcW w:w="1240" w:type="dxa"/>
            <w:vAlign w:val="bottom"/>
          </w:tcPr>
          <w:p>
            <w:pPr>
              <w:jc w:val="right"/>
              <w:ind w:right="311"/>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r>
      <w:tr>
        <w:trPr>
          <w:trHeight w:val="195"/>
        </w:trPr>
        <w:tc>
          <w:tcPr>
            <w:tcW w:w="83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operating activities: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Net income</w:t>
            </w:r>
          </w:p>
        </w:tc>
        <w:tc>
          <w:tcPr>
            <w:tcW w:w="2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81,604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472,068</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Adjustments to reconcile net income to net cash provided by operating activities: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Depreciation and amortization</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86,356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62,569</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Share-based compensation</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133,484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65,312</w:t>
            </w: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104,630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3,212</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Amortization of inventory fair value adjustment associated with acquisition of Cavium</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125,775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Amortization of deferred debt issuance costs and debt discounts</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9,290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Restructuring related impairment charges (gain)</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11,881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(402)</w:t>
            </w: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Gain from investments in privately-held companies</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(1,100)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(2,501)</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Amortization of premium/discount on available-for-sale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624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603</w:t>
            </w: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Other non-cash expense (income), net</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4,227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1,331</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Deferred income taxes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(27,675)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2,797</w:t>
            </w: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Loss (gain) on sale of property and equipment</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59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(473)</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Gain on sale of discontinued operations</w:t>
            </w:r>
          </w:p>
        </w:tc>
        <w:tc>
          <w:tcPr>
            <w:tcW w:w="2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(88,406)</w:t>
            </w: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Loss (gain) on sale of business</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1,592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(5,254)</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Changes in assets and liabilities: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1140"/>
              <w:spacing w:after="0"/>
              <w:rPr>
                <w:sz w:val="20"/>
                <w:szCs w:val="20"/>
                <w:color w:val="auto"/>
              </w:rPr>
            </w:pPr>
            <w:r>
              <w:rPr>
                <w:rFonts w:ascii="Times New Roman" w:cs="Times New Roman" w:eastAsia="Times New Roman" w:hAnsi="Times New Roman"/>
                <w:sz w:val="18"/>
                <w:szCs w:val="18"/>
                <w:color w:val="auto"/>
              </w:rPr>
              <w:t>Accounts receivable</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(59,697)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(30,730)</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Inventories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1,859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(16,039)</w:t>
            </w:r>
          </w:p>
        </w:tc>
      </w:tr>
      <w:tr>
        <w:trPr>
          <w:trHeight w:val="243"/>
        </w:trPr>
        <w:tc>
          <w:tcPr>
            <w:tcW w:w="8340" w:type="dxa"/>
            <w:vAlign w:val="bottom"/>
          </w:tcPr>
          <w:p>
            <w:pPr>
              <w:ind w:left="1140"/>
              <w:spacing w:after="0"/>
              <w:rPr>
                <w:sz w:val="20"/>
                <w:szCs w:val="20"/>
                <w:color w:val="auto"/>
              </w:rPr>
            </w:pPr>
            <w:r>
              <w:rPr>
                <w:rFonts w:ascii="Times New Roman" w:cs="Times New Roman" w:eastAsia="Times New Roman" w:hAnsi="Times New Roman"/>
                <w:sz w:val="18"/>
                <w:szCs w:val="18"/>
                <w:color w:val="auto"/>
              </w:rPr>
              <w:t>Prepaid expenses and other assets</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(11,874)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13,122</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Accounts payable</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22,260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20,087</w:t>
            </w:r>
          </w:p>
        </w:tc>
      </w:tr>
      <w:tr>
        <w:trPr>
          <w:trHeight w:val="243"/>
        </w:trPr>
        <w:tc>
          <w:tcPr>
            <w:tcW w:w="8340" w:type="dxa"/>
            <w:vAlign w:val="bottom"/>
          </w:tcPr>
          <w:p>
            <w:pPr>
              <w:ind w:left="1140"/>
              <w:spacing w:after="0"/>
              <w:rPr>
                <w:sz w:val="20"/>
                <w:szCs w:val="20"/>
                <w:color w:val="auto"/>
              </w:rPr>
            </w:pPr>
            <w:r>
              <w:rPr>
                <w:rFonts w:ascii="Times New Roman" w:cs="Times New Roman" w:eastAsia="Times New Roman" w:hAnsi="Times New Roman"/>
                <w:sz w:val="18"/>
                <w:szCs w:val="18"/>
                <w:color w:val="auto"/>
              </w:rPr>
              <w:t>Accrued liabilities and other non-current liabilities</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29,023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(40,462)</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(20,922)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(10,612)</w:t>
            </w:r>
          </w:p>
        </w:tc>
      </w:tr>
      <w:tr>
        <w:trPr>
          <w:trHeight w:val="243"/>
        </w:trPr>
        <w:tc>
          <w:tcPr>
            <w:tcW w:w="8340" w:type="dxa"/>
            <w:vAlign w:val="bottom"/>
          </w:tcPr>
          <w:p>
            <w:pPr>
              <w:ind w:left="1140"/>
              <w:spacing w:after="0"/>
              <w:rPr>
                <w:sz w:val="20"/>
                <w:szCs w:val="20"/>
                <w:color w:val="auto"/>
              </w:rPr>
            </w:pPr>
            <w:r>
              <w:rPr>
                <w:rFonts w:ascii="Times New Roman" w:cs="Times New Roman" w:eastAsia="Times New Roman" w:hAnsi="Times New Roman"/>
                <w:sz w:val="18"/>
                <w:szCs w:val="18"/>
                <w:color w:val="auto"/>
              </w:rPr>
              <w:t>Deferred income</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(1,293)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5,149</w:t>
            </w:r>
          </w:p>
        </w:tc>
      </w:tr>
      <w:tr>
        <w:trPr>
          <w:trHeight w:val="27"/>
        </w:trPr>
        <w:tc>
          <w:tcPr>
            <w:tcW w:w="83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Times New Roman" w:cs="Times New Roman" w:eastAsia="Times New Roman" w:hAnsi="Times New Roman"/>
                <w:sz w:val="18"/>
                <w:szCs w:val="18"/>
                <w:color w:val="auto"/>
              </w:rPr>
              <w:t>Net cash provided by operating activities</w:t>
            </w:r>
          </w:p>
        </w:tc>
        <w:tc>
          <w:tcPr>
            <w:tcW w:w="2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490,103</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451,371</w:t>
            </w:r>
          </w:p>
        </w:tc>
      </w:tr>
      <w:tr>
        <w:trPr>
          <w:trHeight w:val="22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investing activities:</w:t>
            </w:r>
          </w:p>
        </w:tc>
        <w:tc>
          <w:tcPr>
            <w:tcW w:w="220" w:type="dxa"/>
            <w:vAlign w:val="bottom"/>
            <w:tcBorders>
              <w:top w:val="single" w:sz="8" w:color="auto"/>
            </w:tcBorders>
          </w:tcPr>
          <w:p>
            <w:pPr>
              <w:spacing w:after="0"/>
              <w:rPr>
                <w:sz w:val="19"/>
                <w:szCs w:val="19"/>
                <w:color w:val="auto"/>
              </w:rPr>
            </w:pPr>
          </w:p>
        </w:tc>
        <w:tc>
          <w:tcPr>
            <w:tcW w:w="12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Purchases of available-for-sale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(14,956)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(672,887)</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Sales of available-for-sale securities</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623,896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284,151</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Maturities of available-for-sale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187,985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305,702</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Return of investment from privately-held companies</w:t>
            </w:r>
          </w:p>
        </w:tc>
        <w:tc>
          <w:tcPr>
            <w:tcW w:w="220" w:type="dxa"/>
            <w:vAlign w:val="bottom"/>
          </w:tcPr>
          <w:p>
            <w:pPr>
              <w:spacing w:after="0"/>
              <w:rPr>
                <w:sz w:val="21"/>
                <w:szCs w:val="21"/>
                <w:color w:val="auto"/>
              </w:rPr>
            </w:pPr>
          </w:p>
        </w:tc>
        <w:tc>
          <w:tcPr>
            <w:tcW w:w="13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6,089</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Purchases of time deposits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(25,000)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(225,000)</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Maturities of time deposits</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175,000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225,000</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Purchases of technology licenses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(11,181)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(5,256)</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Purchases of property and equipment</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(47,035)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(25,156)</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Proceeds from sales of property and equipment</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818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1,988</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Cash payment for acquisition of Cavium, net of cash and cash equivalents acquired</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(2,649,465)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Net proceeds from sale of discontinued operations</w:t>
            </w:r>
          </w:p>
        </w:tc>
        <w:tc>
          <w:tcPr>
            <w:tcW w:w="2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165,940</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Net proceeds (payments) from sale of business</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(3,352)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2,402</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Other</w:t>
            </w: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(5,000)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37"/>
        </w:trPr>
        <w:tc>
          <w:tcPr>
            <w:tcW w:w="8340" w:type="dxa"/>
            <w:vAlign w:val="bottom"/>
          </w:tcPr>
          <w:p>
            <w:pPr>
              <w:ind w:left="1460"/>
              <w:spacing w:after="0"/>
              <w:rPr>
                <w:sz w:val="20"/>
                <w:szCs w:val="20"/>
                <w:color w:val="auto"/>
              </w:rPr>
            </w:pPr>
            <w:r>
              <w:rPr>
                <w:rFonts w:ascii="Times New Roman" w:cs="Times New Roman" w:eastAsia="Times New Roman" w:hAnsi="Times New Roman"/>
                <w:sz w:val="18"/>
                <w:szCs w:val="18"/>
                <w:color w:val="auto"/>
              </w:rPr>
              <w:t>Net cash provided by (used in) investing activities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(1,768,290)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62,973</w:t>
            </w:r>
          </w:p>
        </w:tc>
      </w:tr>
      <w:tr>
        <w:trPr>
          <w:trHeight w:val="27"/>
        </w:trPr>
        <w:tc>
          <w:tcPr>
            <w:tcW w:w="83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financing activities: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Repurchases of common stock</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(53,969)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(527,574)</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Proceeds from employee stock plans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60,772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137,424</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Tax withholding paid on behalf of employees for net share settlement</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(45,691)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(25,934)</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Dividend payments to shareholders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(108,592)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(89,556)</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Payments on technology license obligations</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(52,481)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(22,697)</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Proceeds from issuance of debt</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1,892,605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Principal payments of debt</w:t>
            </w:r>
          </w:p>
        </w:tc>
        <w:tc>
          <w:tcPr>
            <w:tcW w:w="2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(681,128)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3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Payment of equity and debt financing costs</w:t>
            </w:r>
          </w:p>
        </w:tc>
        <w:tc>
          <w:tcPr>
            <w:tcW w:w="2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(11,550)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37"/>
        </w:trPr>
        <w:tc>
          <w:tcPr>
            <w:tcW w:w="8340" w:type="dxa"/>
            <w:vAlign w:val="bottom"/>
          </w:tcPr>
          <w:p>
            <w:pPr>
              <w:ind w:left="1460"/>
              <w:spacing w:after="0"/>
              <w:rPr>
                <w:sz w:val="20"/>
                <w:szCs w:val="20"/>
                <w:color w:val="auto"/>
              </w:rPr>
            </w:pPr>
            <w:r>
              <w:rPr>
                <w:rFonts w:ascii="Times New Roman" w:cs="Times New Roman" w:eastAsia="Times New Roman" w:hAnsi="Times New Roman"/>
                <w:sz w:val="18"/>
                <w:szCs w:val="18"/>
                <w:color w:val="auto"/>
              </w:rPr>
              <w:t>Net cash provided by (used in) financing activities</w:t>
            </w:r>
          </w:p>
        </w:tc>
        <w:tc>
          <w:tcPr>
            <w:tcW w:w="22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999,966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(528,337)</w:t>
            </w:r>
          </w:p>
        </w:tc>
      </w:tr>
      <w:tr>
        <w:trPr>
          <w:trHeight w:val="27"/>
        </w:trPr>
        <w:tc>
          <w:tcPr>
            <w:tcW w:w="83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decrease in cash and cash equivalents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(278,221)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(13,993)</w:t>
            </w: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Cash and cash equivalents at beginning of period</w:t>
            </w:r>
          </w:p>
        </w:tc>
        <w:tc>
          <w:tcPr>
            <w:tcW w:w="220" w:type="dxa"/>
            <w:vAlign w:val="bottom"/>
          </w:tcPr>
          <w:p>
            <w:pPr>
              <w:spacing w:after="0"/>
              <w:rPr>
                <w:sz w:val="21"/>
                <w:szCs w:val="21"/>
                <w:color w:val="auto"/>
              </w:rPr>
            </w:pPr>
          </w:p>
        </w:tc>
        <w:tc>
          <w:tcPr>
            <w:tcW w:w="128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888,482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814,092</w:t>
            </w:r>
          </w:p>
        </w:tc>
      </w:tr>
      <w:tr>
        <w:trPr>
          <w:trHeight w:val="27"/>
        </w:trPr>
        <w:tc>
          <w:tcPr>
            <w:tcW w:w="83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610,261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800,099</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126" w:right="239" w:bottom="0" w:gutter="0" w:footer="0" w:header="0"/>
        </w:sectPr>
      </w:pPr>
    </w:p>
    <w:bookmarkStart w:id="6" w:name="page7"/>
    <w:bookmarkEnd w:id="6"/>
    <w:p>
      <w:pPr>
        <w:jc w:val="center"/>
        <w:ind w:right="-20"/>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p>
      <w:pPr>
        <w:sectPr>
          <w:pgSz w:w="11900" w:h="16838" w:orient="portrait"/>
          <w:cols w:equalWidth="0" w:num="1">
            <w:col w:w="9019"/>
          </w:cols>
          <w:pgMar w:left="1440" w:top="283" w:right="1440" w:bottom="1440" w:gutter="0" w:footer="0" w:header="0"/>
        </w:sectPr>
      </w:pPr>
    </w:p>
    <w:p>
      <w:pPr>
        <w:spacing w:after="0" w:line="25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9019"/>
          </w:cols>
          <w:pgMar w:left="1440" w:top="283" w:right="1440" w:bottom="1440" w:gutter="0" w:footer="0" w:header="0"/>
          <w:type w:val="continuous"/>
        </w:sectPr>
      </w:pPr>
    </w:p>
    <w:bookmarkStart w:id="7" w:name="page8"/>
    <w:bookmarkEnd w:id="7"/>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 Basis of Presentation</w:t>
      </w:r>
    </w:p>
    <w:p>
      <w:pPr>
        <w:spacing w:after="0" w:line="229" w:lineRule="exact"/>
        <w:rPr>
          <w:sz w:val="20"/>
          <w:szCs w:val="20"/>
          <w:color w:val="auto"/>
        </w:rPr>
      </w:pPr>
    </w:p>
    <w:p>
      <w:pPr>
        <w:ind w:firstLine="405"/>
        <w:spacing w:after="0" w:line="253" w:lineRule="auto"/>
        <w:rPr>
          <w:sz w:val="20"/>
          <w:szCs w:val="20"/>
          <w:color w:val="auto"/>
        </w:rPr>
      </w:pPr>
      <w:r>
        <w:rPr>
          <w:rFonts w:ascii="Times New Roman" w:cs="Times New Roman" w:eastAsia="Times New Roman" w:hAnsi="Times New Roman"/>
          <w:sz w:val="18"/>
          <w:szCs w:val="18"/>
          <w:color w:val="auto"/>
        </w:rPr>
        <w:t>The unaudited condensed consolidated financial statements of Marvell Technology Group Ltd., a Bermuda exempted company, and its wholly owned subsidiaries (the “Company”), as of and for the three and nine months ended November 3, 2018,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2018 audited financial statements included in the Company's Annual Report on Form 10-K for the fiscal year ended February 3, 2018.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year amounts have been reclassified to conform to current year presentation. These amounts were not material to any of the periods presented. These financial statements should also be read in conjunction with the Company’s critical accounting policies included in the Company’s Annual Report on Form 10-K for the year ended February 3, 2018 and those included in this Form 10-Q below.</w:t>
      </w:r>
    </w:p>
    <w:p>
      <w:pPr>
        <w:spacing w:after="0" w:line="191" w:lineRule="exact"/>
        <w:rPr>
          <w:sz w:val="20"/>
          <w:szCs w:val="20"/>
          <w:color w:val="auto"/>
        </w:rPr>
      </w:pPr>
    </w:p>
    <w:p>
      <w:pPr>
        <w:ind w:right="40" w:firstLine="405"/>
        <w:spacing w:after="0" w:line="266" w:lineRule="auto"/>
        <w:rPr>
          <w:sz w:val="20"/>
          <w:szCs w:val="20"/>
          <w:color w:val="auto"/>
        </w:rPr>
      </w:pPr>
      <w:r>
        <w:rPr>
          <w:rFonts w:ascii="Times New Roman" w:cs="Times New Roman" w:eastAsia="Times New Roman" w:hAnsi="Times New Roman"/>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2018 had a 53-week year. Fiscal 2019 is a 52-week year.</w:t>
      </w:r>
    </w:p>
    <w:p>
      <w:pPr>
        <w:spacing w:after="0" w:line="176" w:lineRule="exact"/>
        <w:rPr>
          <w:sz w:val="20"/>
          <w:szCs w:val="20"/>
          <w:color w:val="auto"/>
        </w:rPr>
      </w:pPr>
    </w:p>
    <w:p>
      <w:pPr>
        <w:ind w:right="280" w:firstLine="405"/>
        <w:spacing w:after="0" w:line="258" w:lineRule="auto"/>
        <w:rPr>
          <w:sz w:val="20"/>
          <w:szCs w:val="20"/>
          <w:color w:val="auto"/>
        </w:rPr>
      </w:pPr>
      <w:r>
        <w:rPr>
          <w:rFonts w:ascii="Times New Roman" w:cs="Times New Roman" w:eastAsia="Times New Roman" w:hAnsi="Times New Roman"/>
          <w:sz w:val="18"/>
          <w:szCs w:val="18"/>
          <w:color w:val="auto"/>
        </w:rPr>
        <w:t>On July 6, 2018, the Company completed its acquisition of Cavium, Inc. (“Cavium”). Cavium is a provider of highly integrated semiconductor processors that enable intelligent processing for wired and wireless infrastructure and cloud for networking, communications, storage and security applications. Cavium designs, develops and markets semiconductor processors for intelligent and secure networks. The consolidated financial statements include the operating results of Cavium for the period from the date of acquisition to the Company's third quarter ended November 3, 2018. See “Note 3 - Business Combination” for more information.</w:t>
      </w:r>
    </w:p>
    <w:p>
      <w:pPr>
        <w:spacing w:after="0" w:line="200" w:lineRule="exact"/>
        <w:rPr>
          <w:sz w:val="20"/>
          <w:szCs w:val="20"/>
          <w:color w:val="auto"/>
        </w:rPr>
      </w:pPr>
    </w:p>
    <w:p>
      <w:pPr>
        <w:spacing w:after="0" w:line="227"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360"/>
          </w:cols>
          <w:pgMar w:left="240" w:top="333" w:right="299" w:bottom="1440" w:gutter="0" w:footer="0" w:header="0"/>
        </w:sectPr>
      </w:pPr>
    </w:p>
    <w:bookmarkStart w:id="8" w:name="page9"/>
    <w:bookmarkEnd w:id="8"/>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2. Recent Accounting Pronouncements</w:t>
      </w:r>
    </w:p>
    <w:p>
      <w:pPr>
        <w:spacing w:after="0" w:line="225"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Accounting Pronouncements Recently Adopted</w:t>
      </w:r>
    </w:p>
    <w:p>
      <w:pPr>
        <w:spacing w:after="0" w:line="229" w:lineRule="exact"/>
        <w:rPr>
          <w:sz w:val="20"/>
          <w:szCs w:val="20"/>
          <w:color w:val="auto"/>
        </w:rPr>
      </w:pPr>
    </w:p>
    <w:p>
      <w:pPr>
        <w:ind w:firstLine="405"/>
        <w:spacing w:after="0" w:line="254" w:lineRule="auto"/>
        <w:rPr>
          <w:sz w:val="20"/>
          <w:szCs w:val="20"/>
          <w:color w:val="auto"/>
        </w:rPr>
      </w:pPr>
      <w:r>
        <w:rPr>
          <w:rFonts w:ascii="Times New Roman" w:cs="Times New Roman" w:eastAsia="Times New Roman" w:hAnsi="Times New Roman"/>
          <w:sz w:val="18"/>
          <w:szCs w:val="18"/>
          <w:color w:val="auto"/>
        </w:rPr>
        <w:t>In May 2014, the Financial Accounting Standards Board (“FASB”) issued a new accounting standard on the recognition of revenue from contracts with customers that superseded nearly all existing revenue recognition guidance under GAAP. The new standard requires an entity to recognize revenue from the transfer of promised goods or services to customers in an amount that reflects the consideration to which the entity expects to be entitled in exchange for those goods or services. The guidance addresses, in particular, contracts with more than one performance obligation, as well as the accounting for certain costs to obtain or fulfill a contract with a customer, and provides for additional disclosures with respect to revenue and cash flows arising from contracts with customers. Public entities are required to apply the amendments on either a full or modified retrospective basis for annual periods beginning after December 15, 2017 and for interim periods within those annual periods. The Company adopted the standard on a modified retrospective basis in the first quarter of fiscal year 2019, with the cumulative effect recognized in retained earnings at the date of adoption. See "Note 12 - Revenue" for additional information on the impact of the adoption of the new standard on the Company’s consolidated financial statements.</w:t>
      </w:r>
    </w:p>
    <w:p>
      <w:pPr>
        <w:spacing w:after="0" w:line="189" w:lineRule="exact"/>
        <w:rPr>
          <w:sz w:val="20"/>
          <w:szCs w:val="20"/>
          <w:color w:val="auto"/>
        </w:rPr>
      </w:pPr>
    </w:p>
    <w:p>
      <w:pPr>
        <w:ind w:right="40" w:firstLine="405"/>
        <w:spacing w:after="0" w:line="266" w:lineRule="auto"/>
        <w:rPr>
          <w:sz w:val="20"/>
          <w:szCs w:val="20"/>
          <w:color w:val="auto"/>
        </w:rPr>
      </w:pPr>
      <w:r>
        <w:rPr>
          <w:rFonts w:ascii="Times New Roman" w:cs="Times New Roman" w:eastAsia="Times New Roman" w:hAnsi="Times New Roman"/>
          <w:sz w:val="18"/>
          <w:szCs w:val="18"/>
          <w:color w:val="auto"/>
        </w:rPr>
        <w:t>In January 2016, the FASB issued an accounting standard update that changes the accounting for equity investments, financial liabilities under the fair value option, and the presentation and disclosure requirements for financial instruments. The Company adopted the standard in the first quarter of fiscal 2019. The adoption of this guidance did not have a significant impact on the Company's consolidated financial statements.</w:t>
      </w:r>
    </w:p>
    <w:p>
      <w:pPr>
        <w:spacing w:after="0" w:line="176" w:lineRule="exact"/>
        <w:rPr>
          <w:sz w:val="20"/>
          <w:szCs w:val="20"/>
          <w:color w:val="auto"/>
        </w:rPr>
      </w:pPr>
    </w:p>
    <w:p>
      <w:pPr>
        <w:ind w:right="20" w:firstLine="405"/>
        <w:spacing w:after="0" w:line="258" w:lineRule="auto"/>
        <w:rPr>
          <w:sz w:val="20"/>
          <w:szCs w:val="20"/>
          <w:color w:val="auto"/>
        </w:rPr>
      </w:pPr>
      <w:r>
        <w:rPr>
          <w:rFonts w:ascii="Times New Roman" w:cs="Times New Roman" w:eastAsia="Times New Roman" w:hAnsi="Times New Roman"/>
          <w:sz w:val="18"/>
          <w:szCs w:val="18"/>
          <w:color w:val="auto"/>
        </w:rPr>
        <w:t>In August 2016, the FASB issued an accounting standards update to add or clarify guidance on the classification of certain cash receipts and cash payments in the statement of cash flows. The amendments in the update provide guidance on eight specific cash flow issues. The amendments to the guidance should be applied using a retrospective transition method for each period presented and, if it is impracticable to apply all of the amendments retrospectively for some of the issues, the amendments for those issues would be applied prospectively as of the earliest date practicable. The Company adopted the standard in the first quarter of fiscal 2019. The adoption of this guidance did not have an impact on the Company's consolidated financial statements.</w:t>
      </w:r>
    </w:p>
    <w:p>
      <w:pPr>
        <w:spacing w:after="0" w:line="184" w:lineRule="exact"/>
        <w:rPr>
          <w:sz w:val="20"/>
          <w:szCs w:val="20"/>
          <w:color w:val="auto"/>
        </w:rPr>
      </w:pPr>
    </w:p>
    <w:p>
      <w:pPr>
        <w:ind w:right="340" w:firstLine="405"/>
        <w:spacing w:after="0" w:line="258" w:lineRule="auto"/>
        <w:rPr>
          <w:sz w:val="20"/>
          <w:szCs w:val="20"/>
          <w:color w:val="auto"/>
        </w:rPr>
      </w:pPr>
      <w:r>
        <w:rPr>
          <w:rFonts w:ascii="Times New Roman" w:cs="Times New Roman" w:eastAsia="Times New Roman" w:hAnsi="Times New Roman"/>
          <w:sz w:val="18"/>
          <w:szCs w:val="18"/>
          <w:color w:val="auto"/>
        </w:rPr>
        <w:t>In October 2016, the FASB issued new guidance that simplifies the accounting for the income tax effects of intra-entity transfers and will require companies to recognize the income tax effects of intra-entity transfers of assets other than inventory when the transfer occurs. Previous guidance required companies to defer the income tax effects of intra-entity transfers of assets until the asset had been sold to an outside party or otherwise recognized. The Company adopted the standard in the first quarter of fiscal 2019. The adoption of this guidance did not have an impact on the Company's consolidated financial statements.</w:t>
      </w:r>
    </w:p>
    <w:p>
      <w:pPr>
        <w:spacing w:after="0" w:line="184" w:lineRule="exact"/>
        <w:rPr>
          <w:sz w:val="20"/>
          <w:szCs w:val="20"/>
          <w:color w:val="auto"/>
        </w:rPr>
      </w:pPr>
    </w:p>
    <w:p>
      <w:pPr>
        <w:ind w:firstLine="405"/>
        <w:spacing w:after="0" w:line="261" w:lineRule="auto"/>
        <w:rPr>
          <w:sz w:val="20"/>
          <w:szCs w:val="20"/>
          <w:color w:val="auto"/>
        </w:rPr>
      </w:pPr>
      <w:r>
        <w:rPr>
          <w:rFonts w:ascii="Times New Roman" w:cs="Times New Roman" w:eastAsia="Times New Roman" w:hAnsi="Times New Roman"/>
          <w:sz w:val="18"/>
          <w:szCs w:val="18"/>
          <w:color w:val="auto"/>
        </w:rPr>
        <w:t>In November 2016, the FASB issued new guidance that requires entities to include in their cash and cash-equivalent balances in the statement of cash flows those amounts that are deemed to be restricted cash and restricted cash equivalents. As a result, companies will no longer present transfers between cash and cash equivalents and restricted cash and restricted cash equivalents in the statement of cash flows. The Company adopted the standard in the first quarter of fiscal 2019. The adoption of this guidance did not have a significant impact on the Company's consolidated financial statements.</w:t>
      </w:r>
    </w:p>
    <w:p>
      <w:pPr>
        <w:spacing w:after="0" w:line="180" w:lineRule="exact"/>
        <w:rPr>
          <w:sz w:val="20"/>
          <w:szCs w:val="20"/>
          <w:color w:val="auto"/>
        </w:rPr>
      </w:pPr>
    </w:p>
    <w:p>
      <w:pPr>
        <w:ind w:right="60" w:firstLine="405"/>
        <w:spacing w:after="0" w:line="261" w:lineRule="auto"/>
        <w:rPr>
          <w:sz w:val="20"/>
          <w:szCs w:val="20"/>
          <w:color w:val="auto"/>
        </w:rPr>
      </w:pPr>
      <w:r>
        <w:rPr>
          <w:rFonts w:ascii="Times New Roman" w:cs="Times New Roman" w:eastAsia="Times New Roman" w:hAnsi="Times New Roman"/>
          <w:sz w:val="18"/>
          <w:szCs w:val="18"/>
          <w:color w:val="auto"/>
        </w:rPr>
        <w:t>In January 2017, the FASB issued an accounting standards update that revises the definition of a business. The amendments provide a more robust framework for determining when a set of assets and activities is a business. The update is intended to help companies evaluate whether transactions should be accounted for as acquisitions or disposals of assets or businesses. The Company adopted the standard in the first quarter of fiscal 2019. The adoption of this guidance did not have an impact on the Company's consolidated financial statements.</w:t>
      </w:r>
    </w:p>
    <w:p>
      <w:pPr>
        <w:spacing w:after="0" w:line="180" w:lineRule="exact"/>
        <w:rPr>
          <w:sz w:val="20"/>
          <w:szCs w:val="20"/>
          <w:color w:val="auto"/>
        </w:rPr>
      </w:pPr>
    </w:p>
    <w:p>
      <w:pPr>
        <w:ind w:right="160" w:firstLine="405"/>
        <w:spacing w:after="0" w:line="256" w:lineRule="auto"/>
        <w:rPr>
          <w:sz w:val="20"/>
          <w:szCs w:val="20"/>
          <w:color w:val="auto"/>
        </w:rPr>
      </w:pPr>
      <w:r>
        <w:rPr>
          <w:rFonts w:ascii="Times New Roman" w:cs="Times New Roman" w:eastAsia="Times New Roman" w:hAnsi="Times New Roman"/>
          <w:sz w:val="18"/>
          <w:szCs w:val="18"/>
          <w:color w:val="auto"/>
        </w:rPr>
        <w:t>In May 2017, the FASB issued an accounting standards update that provides guidance about which changes to the terms or conditions of a share-based payment award require an entity to apply modification accounting. Unless the changes in terms or conditions meet all three criteria outlined in the guidance, modification accounting should be applied. The three criteria relate to changes in the terms and conditions that affect the fair value, vesting conditions, or classification of a share-based payment award. The guidance is required to be applied prospectively to an award modified on or after the adoption date. The Company adopted the standard in the first quarter of fiscal 2019. The adoption of this guidance did not have an impact on the Company's consolidated financial statements.</w:t>
      </w:r>
    </w:p>
    <w:p>
      <w:pPr>
        <w:spacing w:after="0" w:line="200" w:lineRule="exact"/>
        <w:rPr>
          <w:sz w:val="20"/>
          <w:szCs w:val="20"/>
          <w:color w:val="auto"/>
        </w:rPr>
      </w:pPr>
    </w:p>
    <w:p>
      <w:pPr>
        <w:spacing w:after="0" w:line="23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420"/>
          </w:cols>
          <w:pgMar w:left="240" w:top="126" w:right="239" w:bottom="1440" w:gutter="0" w:footer="0" w:header="0"/>
        </w:sectPr>
      </w:pPr>
    </w:p>
    <w:bookmarkStart w:id="9" w:name="page10"/>
    <w:bookmarkEnd w:id="9"/>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55" w:lineRule="exact"/>
        <w:rPr>
          <w:sz w:val="20"/>
          <w:szCs w:val="20"/>
          <w:color w:val="auto"/>
        </w:rPr>
      </w:pPr>
    </w:p>
    <w:p>
      <w:pPr>
        <w:ind w:firstLine="405"/>
        <w:spacing w:after="0" w:line="255" w:lineRule="auto"/>
        <w:rPr>
          <w:sz w:val="20"/>
          <w:szCs w:val="20"/>
          <w:color w:val="auto"/>
        </w:rPr>
      </w:pPr>
      <w:r>
        <w:rPr>
          <w:rFonts w:ascii="Times New Roman" w:cs="Times New Roman" w:eastAsia="Times New Roman" w:hAnsi="Times New Roman"/>
          <w:sz w:val="18"/>
          <w:szCs w:val="18"/>
          <w:color w:val="auto"/>
        </w:rPr>
        <w:t>In August 2017, the FASB issued an accounting standards update that simplifies the application and administration of hedge accounting. The guidance amends the presentation and disclosure requirements and changes how companies assess effectiveness. The guidance is intended to more closely align hedge accounting with companies' risk management strategies, simplify the application of hedge accounting, and increase transparency as to the scope and results of hedging programs. The guidance is effective for the Company beginning in the first quarter of fiscal year 2020. Early adoption is permitted. The guidance will be applied to cash flow and net investment hedge relationships that exist on the date of adoption using a modified retrospective approach. The presentation and disclosure requirements will be applied prospectively. The Company early adopted the standard in the third quarter of fiscal 2019. The adoption of this guidance did not have a significant effect on the Company's consolidated financial statements.</w:t>
      </w:r>
    </w:p>
    <w:p>
      <w:pPr>
        <w:spacing w:after="0" w:line="189" w:lineRule="exact"/>
        <w:rPr>
          <w:sz w:val="20"/>
          <w:szCs w:val="20"/>
          <w:color w:val="auto"/>
        </w:rPr>
      </w:pPr>
    </w:p>
    <w:p>
      <w:pPr>
        <w:ind w:right="40" w:firstLine="405"/>
        <w:spacing w:after="0" w:line="258" w:lineRule="auto"/>
        <w:rPr>
          <w:sz w:val="20"/>
          <w:szCs w:val="20"/>
          <w:color w:val="auto"/>
        </w:rPr>
      </w:pPr>
      <w:r>
        <w:rPr>
          <w:rFonts w:ascii="Times New Roman" w:cs="Times New Roman" w:eastAsia="Times New Roman" w:hAnsi="Times New Roman"/>
          <w:sz w:val="18"/>
          <w:szCs w:val="18"/>
          <w:color w:val="auto"/>
        </w:rPr>
        <w:t>In June 2018, the FASB issued an accounting standards update that substantially aligns the accounting for shared-based payments to non-employees and employees. The standard is required to be applied through a cumulative-effect adjustment to retained earnings as of the beginning of the fiscal year of adoption. This guidance is effective for fiscal years beginning after December 15, 2018, including interim periods within that fiscal year. Early adoption is permitted. The Company early adopted the standard in the second quarter of fiscal 2019. The adoption of this guidance did not have a significant effect on the Company's consolidated financial statements.</w:t>
      </w:r>
    </w:p>
    <w:p>
      <w:pPr>
        <w:spacing w:after="0" w:line="180"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Accounting Pronouncements Not Yet Effective</w:t>
      </w:r>
    </w:p>
    <w:p>
      <w:pPr>
        <w:spacing w:after="0" w:line="229" w:lineRule="exact"/>
        <w:rPr>
          <w:sz w:val="20"/>
          <w:szCs w:val="20"/>
          <w:color w:val="auto"/>
        </w:rPr>
      </w:pPr>
    </w:p>
    <w:p>
      <w:pPr>
        <w:ind w:right="40" w:firstLine="405"/>
        <w:spacing w:after="0" w:line="254" w:lineRule="auto"/>
        <w:rPr>
          <w:sz w:val="20"/>
          <w:szCs w:val="20"/>
          <w:color w:val="auto"/>
        </w:rPr>
      </w:pPr>
      <w:r>
        <w:rPr>
          <w:rFonts w:ascii="Times New Roman" w:cs="Times New Roman" w:eastAsia="Times New Roman" w:hAnsi="Times New Roman"/>
          <w:sz w:val="18"/>
          <w:szCs w:val="18"/>
          <w:color w:val="auto"/>
        </w:rPr>
        <w:t>In February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for lease arrangements. The standard is effective for the Company beginning in the first quarter of fiscal year 2020. The Company will adopt the new lease accounting standard using a modified retrospective method and will not restate comparative periods. The Company currently estimates that the adoption of the new leasing standard will result in recognition of $135 million to $165 million in lease related right-of-use assets and liabilities on the company's condensed consolidated balance sheet, primarily related to real estate. The estimate could change as the Company finalizes estimates and proceeds towards implementation of the standard and will also fluctuate based on the lease portfolio, discount rates and foreign currency exchange rates as of the adoption date. The Company is in the process of implementing changes to its processes and systems to support the adoption of the new lease accounting standard.</w:t>
      </w:r>
    </w:p>
    <w:p>
      <w:pPr>
        <w:spacing w:after="0" w:line="189" w:lineRule="exact"/>
        <w:rPr>
          <w:sz w:val="20"/>
          <w:szCs w:val="20"/>
          <w:color w:val="auto"/>
        </w:rPr>
      </w:pPr>
    </w:p>
    <w:p>
      <w:pPr>
        <w:ind w:right="40" w:firstLine="405"/>
        <w:spacing w:after="0" w:line="256" w:lineRule="auto"/>
        <w:rPr>
          <w:sz w:val="20"/>
          <w:szCs w:val="20"/>
          <w:color w:val="auto"/>
        </w:rPr>
      </w:pPr>
      <w:r>
        <w:rPr>
          <w:rFonts w:ascii="Times New Roman" w:cs="Times New Roman" w:eastAsia="Times New Roman" w:hAnsi="Times New Roman"/>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threshold for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2021. The Company does not expect the adoption of this guidance will have a material effect on its consolidated financial statements.</w:t>
      </w:r>
    </w:p>
    <w:p>
      <w:pPr>
        <w:spacing w:after="0" w:line="188" w:lineRule="exact"/>
        <w:rPr>
          <w:sz w:val="20"/>
          <w:szCs w:val="20"/>
          <w:color w:val="auto"/>
        </w:rPr>
      </w:pPr>
    </w:p>
    <w:p>
      <w:pPr>
        <w:ind w:right="20" w:firstLine="405"/>
        <w:spacing w:after="0" w:line="261" w:lineRule="auto"/>
        <w:rPr>
          <w:sz w:val="20"/>
          <w:szCs w:val="20"/>
          <w:color w:val="auto"/>
        </w:rPr>
      </w:pPr>
      <w:r>
        <w:rPr>
          <w:rFonts w:ascii="Times New Roman" w:cs="Times New Roman" w:eastAsia="Times New Roman" w:hAnsi="Times New Roman"/>
          <w:sz w:val="18"/>
          <w:szCs w:val="18"/>
          <w:color w:val="auto"/>
        </w:rPr>
        <w:t>In August 2018, the FASB issued an accounting standards update to align the requirements for capitalizing implementation costs incurred in a software hosting arrangement that is a service contract and costs to develop or obtain internal-use software. The guidance is effective for the Company beginning in the first quarter of fiscal year 2021, with early adoption permitted. The Company is evaluating the effect this new guidance will have on its consolidated financial statements.</w:t>
      </w:r>
    </w:p>
    <w:p>
      <w:pPr>
        <w:spacing w:after="0" w:line="180" w:lineRule="exact"/>
        <w:rPr>
          <w:sz w:val="20"/>
          <w:szCs w:val="20"/>
          <w:color w:val="auto"/>
        </w:rPr>
      </w:pPr>
    </w:p>
    <w:p>
      <w:pPr>
        <w:ind w:firstLine="405"/>
        <w:spacing w:after="0" w:line="261" w:lineRule="auto"/>
        <w:rPr>
          <w:sz w:val="20"/>
          <w:szCs w:val="20"/>
          <w:color w:val="auto"/>
        </w:rPr>
      </w:pPr>
      <w:r>
        <w:rPr>
          <w:rFonts w:ascii="Times New Roman" w:cs="Times New Roman" w:eastAsia="Times New Roman" w:hAnsi="Times New Roman"/>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guidance is effective for the company beginning in the first quarter of fiscal year 2021, with early adoption permitted. The Company is evaluating the effect this new guidance will have on its consolidated financial statements.</w:t>
      </w:r>
    </w:p>
    <w:p>
      <w:pPr>
        <w:spacing w:after="0" w:line="180" w:lineRule="exact"/>
        <w:rPr>
          <w:sz w:val="20"/>
          <w:szCs w:val="20"/>
          <w:color w:val="auto"/>
        </w:rPr>
      </w:pPr>
    </w:p>
    <w:p>
      <w:pPr>
        <w:ind w:right="20" w:firstLine="405"/>
        <w:spacing w:after="0" w:line="256" w:lineRule="auto"/>
        <w:rPr>
          <w:sz w:val="20"/>
          <w:szCs w:val="20"/>
          <w:color w:val="auto"/>
        </w:rPr>
      </w:pPr>
      <w:r>
        <w:rPr>
          <w:rFonts w:ascii="Times New Roman" w:cs="Times New Roman" w:eastAsia="Times New Roman" w:hAnsi="Times New Roman"/>
          <w:sz w:val="18"/>
          <w:szCs w:val="18"/>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guidance is effective for the Company beginning in the first quarter of fiscal year 2021, with early adoption permitted. The guidance must be applied retrospectively as of the date of initial application of the revenue recognition standard. In addition, entities may elect to apply the guidance to all collaborative arrangements or only to collaborative arrangements that are not completed as of the date of initial application of the aforementioned revenue recognition standard. The Company is evaluating the effect this new guidance will have on its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420"/>
          </w:cols>
          <w:pgMar w:left="240" w:top="126" w:right="239" w:bottom="1440" w:gutter="0" w:footer="0" w:header="0"/>
        </w:sectPr>
      </w:pPr>
    </w:p>
    <w:bookmarkStart w:id="10" w:name="page11"/>
    <w:bookmarkEnd w:id="10"/>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3. Business Combination</w:t>
      </w:r>
    </w:p>
    <w:p>
      <w:pPr>
        <w:spacing w:after="0" w:line="121" w:lineRule="exact"/>
        <w:rPr>
          <w:sz w:val="20"/>
          <w:szCs w:val="20"/>
          <w:color w:val="auto"/>
        </w:rPr>
      </w:pPr>
    </w:p>
    <w:p>
      <w:pPr>
        <w:ind w:right="60" w:firstLine="459"/>
        <w:spacing w:after="0" w:line="255" w:lineRule="auto"/>
        <w:rPr>
          <w:sz w:val="20"/>
          <w:szCs w:val="20"/>
          <w:color w:val="auto"/>
        </w:rPr>
      </w:pPr>
      <w:r>
        <w:rPr>
          <w:rFonts w:ascii="Times New Roman" w:cs="Times New Roman" w:eastAsia="Times New Roman" w:hAnsi="Times New Roman"/>
          <w:sz w:val="18"/>
          <w:szCs w:val="18"/>
          <w:color w:val="auto"/>
        </w:rPr>
        <w:t>On July 6, 2018, the Company completed the acquisition of Cavium (the “Cavium acquisition”). Cavium is a provider of highly integrated semiconductor processors that enable intelligent processing for wired and wireless infrastructure and cloud for networking, communications, storage and security applications. The Cavium acquisition was primarily intended to create an opportunity for the combined company to emerge as a leader in infrastructure solutions. In accordance with the terms of the Agreement and Plan of Merger, dated as of November 19, 2017, by and among the Company and Cavium (the “Cavium merger agreement”), the Company acquired all outstanding shares of common stock of Cavium (the “Cavium shares”) for $40.00 per share in cash and 2.1757 shares of the Company’s common stock exchanged for each share of Cavium stock. The Company also made cash payments for the fractional shares that resulted from conversion as specified in the Cavium merger agreement. The merger consideration was funded with a combination of cash on hand, new debt financing and issuance of the Company’s common shares. See “Note 10 - Debt” for discussion of the debt financing.</w:t>
      </w:r>
    </w:p>
    <w:p>
      <w:pPr>
        <w:spacing w:after="0" w:line="199"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following table summarizes the total merger consideration (in thousands, except share and per share data):</w:t>
      </w:r>
    </w:p>
    <w:p>
      <w:pPr>
        <w:spacing w:after="0" w:line="271" w:lineRule="exact"/>
        <w:rPr>
          <w:sz w:val="20"/>
          <w:szCs w:val="20"/>
          <w:color w:val="auto"/>
        </w:rPr>
      </w:pPr>
    </w:p>
    <w:tbl>
      <w:tblPr>
        <w:tblLayout w:type="fixed"/>
        <w:tblInd w:w="20" w:type="dxa"/>
        <w:tblCellMar>
          <w:top w:w="0" w:type="dxa"/>
          <w:left w:w="0" w:type="dxa"/>
          <w:bottom w:w="0" w:type="dxa"/>
          <w:right w:w="0" w:type="dxa"/>
        </w:tblCellMar>
      </w:tblPr>
      <w:tr>
        <w:trPr>
          <w:trHeight w:val="270"/>
        </w:trPr>
        <w:tc>
          <w:tcPr>
            <w:tcW w:w="76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Cash consideration to Cavium common stockholders</w:t>
            </w:r>
          </w:p>
        </w:tc>
        <w:tc>
          <w:tcPr>
            <w:tcW w:w="1520" w:type="dxa"/>
            <w:vAlign w:val="bottom"/>
            <w:shd w:val="clear" w:color="auto" w:fill="CCEEFF"/>
          </w:tcPr>
          <w:p>
            <w:pPr>
              <w:jc w:val="right"/>
              <w:ind w:right="1330"/>
              <w:spacing w:after="0"/>
              <w:rPr>
                <w:sz w:val="20"/>
                <w:szCs w:val="20"/>
                <w:color w:val="auto"/>
              </w:rPr>
            </w:pPr>
            <w:r>
              <w:rPr>
                <w:rFonts w:ascii="Times New Roman" w:cs="Times New Roman" w:eastAsia="Times New Roman" w:hAnsi="Times New Roman"/>
                <w:sz w:val="18"/>
                <w:szCs w:val="18"/>
                <w:color w:val="auto"/>
                <w:w w:val="88"/>
              </w:rPr>
              <w:t>$</w:t>
            </w:r>
          </w:p>
        </w:tc>
        <w:tc>
          <w:tcPr>
            <w:tcW w:w="222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2,819,812</w:t>
            </w:r>
          </w:p>
        </w:tc>
      </w:tr>
      <w:tr>
        <w:trPr>
          <w:trHeight w:val="225"/>
        </w:trPr>
        <w:tc>
          <w:tcPr>
            <w:tcW w:w="7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Common stock (153,376,408 shares of the Company's common</w:t>
            </w:r>
          </w:p>
        </w:tc>
        <w:tc>
          <w:tcPr>
            <w:tcW w:w="1520" w:type="dxa"/>
            <w:vAlign w:val="bottom"/>
          </w:tcPr>
          <w:p>
            <w:pPr>
              <w:spacing w:after="0"/>
              <w:rPr>
                <w:sz w:val="19"/>
                <w:szCs w:val="19"/>
                <w:color w:val="auto"/>
              </w:rPr>
            </w:pPr>
          </w:p>
        </w:tc>
        <w:tc>
          <w:tcPr>
            <w:tcW w:w="2220" w:type="dxa"/>
            <w:vAlign w:val="bottom"/>
          </w:tcPr>
          <w:p>
            <w:pPr>
              <w:spacing w:after="0"/>
              <w:rPr>
                <w:sz w:val="19"/>
                <w:szCs w:val="19"/>
                <w:color w:val="auto"/>
              </w:rPr>
            </w:pPr>
          </w:p>
        </w:tc>
      </w:tr>
      <w:tr>
        <w:trPr>
          <w:trHeight w:val="234"/>
        </w:trPr>
        <w:tc>
          <w:tcPr>
            <w:tcW w:w="7640" w:type="dxa"/>
            <w:vAlign w:val="bottom"/>
          </w:tcPr>
          <w:p>
            <w:pPr>
              <w:ind w:left="160"/>
              <w:spacing w:after="0"/>
              <w:rPr>
                <w:sz w:val="20"/>
                <w:szCs w:val="20"/>
                <w:color w:val="auto"/>
              </w:rPr>
            </w:pPr>
            <w:r>
              <w:rPr>
                <w:rFonts w:ascii="Times New Roman" w:cs="Times New Roman" w:eastAsia="Times New Roman" w:hAnsi="Times New Roman"/>
                <w:sz w:val="18"/>
                <w:szCs w:val="18"/>
                <w:color w:val="auto"/>
              </w:rPr>
              <w:t>stock at $21.34 per share)</w:t>
            </w:r>
          </w:p>
        </w:tc>
        <w:tc>
          <w:tcPr>
            <w:tcW w:w="1520" w:type="dxa"/>
            <w:vAlign w:val="bottom"/>
          </w:tcPr>
          <w:p>
            <w:pPr>
              <w:spacing w:after="0"/>
              <w:rPr>
                <w:sz w:val="20"/>
                <w:szCs w:val="20"/>
                <w:color w:val="auto"/>
              </w:rPr>
            </w:pPr>
          </w:p>
        </w:tc>
        <w:tc>
          <w:tcPr>
            <w:tcW w:w="22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3,273,053</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25"/>
        </w:trPr>
        <w:tc>
          <w:tcPr>
            <w:tcW w:w="76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Cash consideration for intrinsic value of vested director stock options and employee accelerated</w:t>
            </w:r>
          </w:p>
        </w:tc>
        <w:tc>
          <w:tcPr>
            <w:tcW w:w="1520" w:type="dxa"/>
            <w:vAlign w:val="bottom"/>
            <w:shd w:val="clear" w:color="auto" w:fill="CCEEFF"/>
          </w:tcPr>
          <w:p>
            <w:pPr>
              <w:spacing w:after="0"/>
              <w:rPr>
                <w:sz w:val="19"/>
                <w:szCs w:val="19"/>
                <w:color w:val="auto"/>
              </w:rPr>
            </w:pPr>
          </w:p>
        </w:tc>
        <w:tc>
          <w:tcPr>
            <w:tcW w:w="2220" w:type="dxa"/>
            <w:vAlign w:val="bottom"/>
            <w:shd w:val="clear" w:color="auto" w:fill="CCEEFF"/>
          </w:tcPr>
          <w:p>
            <w:pPr>
              <w:spacing w:after="0"/>
              <w:rPr>
                <w:sz w:val="19"/>
                <w:szCs w:val="19"/>
                <w:color w:val="auto"/>
              </w:rPr>
            </w:pPr>
          </w:p>
        </w:tc>
      </w:tr>
      <w:tr>
        <w:trPr>
          <w:trHeight w:val="241"/>
        </w:trPr>
        <w:tc>
          <w:tcPr>
            <w:tcW w:w="76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awards attributable to pre-acquisition service</w:t>
            </w:r>
          </w:p>
        </w:tc>
        <w:tc>
          <w:tcPr>
            <w:tcW w:w="1520" w:type="dxa"/>
            <w:vAlign w:val="bottom"/>
            <w:tcBorders>
              <w:bottom w:val="single" w:sz="8" w:color="CCEEFF"/>
            </w:tcBorders>
            <w:shd w:val="clear" w:color="auto" w:fill="CCEEFF"/>
          </w:tcPr>
          <w:p>
            <w:pPr>
              <w:spacing w:after="0"/>
              <w:rPr>
                <w:sz w:val="20"/>
                <w:szCs w:val="20"/>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10,642</w:t>
            </w:r>
          </w:p>
        </w:tc>
      </w:tr>
      <w:tr>
        <w:trPr>
          <w:trHeight w:val="243"/>
        </w:trPr>
        <w:tc>
          <w:tcPr>
            <w:tcW w:w="7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Stock consideration for employee accelerated awards attributable to pre-acquisition service</w:t>
            </w:r>
          </w:p>
        </w:tc>
        <w:tc>
          <w:tcPr>
            <w:tcW w:w="1520" w:type="dxa"/>
            <w:vAlign w:val="bottom"/>
          </w:tcPr>
          <w:p>
            <w:pPr>
              <w:spacing w:after="0"/>
              <w:rPr>
                <w:sz w:val="21"/>
                <w:szCs w:val="21"/>
                <w:color w:val="auto"/>
              </w:rPr>
            </w:pPr>
          </w:p>
        </w:tc>
        <w:tc>
          <w:tcPr>
            <w:tcW w:w="22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7,804</w:t>
            </w:r>
          </w:p>
        </w:tc>
      </w:tr>
      <w:tr>
        <w:trPr>
          <w:trHeight w:val="27"/>
        </w:trPr>
        <w:tc>
          <w:tcPr>
            <w:tcW w:w="76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220" w:type="dxa"/>
            <w:vAlign w:val="bottom"/>
          </w:tcPr>
          <w:p>
            <w:pPr>
              <w:spacing w:after="0"/>
              <w:rPr>
                <w:sz w:val="2"/>
                <w:szCs w:val="2"/>
                <w:color w:val="auto"/>
              </w:rPr>
            </w:pPr>
          </w:p>
        </w:tc>
      </w:tr>
      <w:tr>
        <w:trPr>
          <w:trHeight w:val="225"/>
        </w:trPr>
        <w:tc>
          <w:tcPr>
            <w:tcW w:w="76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Fair value of the replacement equity awards attributable to</w:t>
            </w:r>
          </w:p>
        </w:tc>
        <w:tc>
          <w:tcPr>
            <w:tcW w:w="1520" w:type="dxa"/>
            <w:vAlign w:val="bottom"/>
            <w:shd w:val="clear" w:color="auto" w:fill="CCEEFF"/>
          </w:tcPr>
          <w:p>
            <w:pPr>
              <w:spacing w:after="0"/>
              <w:rPr>
                <w:sz w:val="19"/>
                <w:szCs w:val="19"/>
                <w:color w:val="auto"/>
              </w:rPr>
            </w:pPr>
          </w:p>
        </w:tc>
        <w:tc>
          <w:tcPr>
            <w:tcW w:w="2220" w:type="dxa"/>
            <w:vAlign w:val="bottom"/>
            <w:shd w:val="clear" w:color="auto" w:fill="CCEEFF"/>
          </w:tcPr>
          <w:p>
            <w:pPr>
              <w:spacing w:after="0"/>
              <w:rPr>
                <w:sz w:val="19"/>
                <w:szCs w:val="19"/>
                <w:color w:val="auto"/>
              </w:rPr>
            </w:pPr>
          </w:p>
        </w:tc>
      </w:tr>
      <w:tr>
        <w:trPr>
          <w:trHeight w:val="261"/>
        </w:trPr>
        <w:tc>
          <w:tcPr>
            <w:tcW w:w="76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pre-acquisition service</w:t>
            </w:r>
          </w:p>
        </w:tc>
        <w:tc>
          <w:tcPr>
            <w:tcW w:w="1520" w:type="dxa"/>
            <w:vAlign w:val="bottom"/>
            <w:tcBorders>
              <w:bottom w:val="single" w:sz="8" w:color="CCEEFF"/>
            </w:tcBorders>
            <w:shd w:val="clear" w:color="auto" w:fill="CCEEFF"/>
          </w:tcPr>
          <w:p>
            <w:pPr>
              <w:spacing w:after="0"/>
              <w:rPr>
                <w:sz w:val="22"/>
                <w:szCs w:val="22"/>
                <w:color w:val="auto"/>
              </w:rPr>
            </w:pPr>
          </w:p>
        </w:tc>
        <w:tc>
          <w:tcPr>
            <w:tcW w:w="2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50,485</w:t>
            </w:r>
          </w:p>
        </w:tc>
      </w:tr>
      <w:tr>
        <w:trPr>
          <w:trHeight w:val="257"/>
        </w:trPr>
        <w:tc>
          <w:tcPr>
            <w:tcW w:w="7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Total merger consideration</w:t>
            </w:r>
          </w:p>
        </w:tc>
        <w:tc>
          <w:tcPr>
            <w:tcW w:w="1520" w:type="dxa"/>
            <w:vAlign w:val="bottom"/>
            <w:tcBorders>
              <w:top w:val="single" w:sz="8" w:color="auto"/>
              <w:bottom w:val="single" w:sz="8" w:color="auto"/>
            </w:tcBorders>
          </w:tcPr>
          <w:p>
            <w:pPr>
              <w:jc w:val="right"/>
              <w:ind w:right="1330"/>
              <w:spacing w:after="0"/>
              <w:rPr>
                <w:sz w:val="20"/>
                <w:szCs w:val="20"/>
                <w:color w:val="auto"/>
              </w:rPr>
            </w:pPr>
            <w:r>
              <w:rPr>
                <w:rFonts w:ascii="Times New Roman" w:cs="Times New Roman" w:eastAsia="Times New Roman" w:hAnsi="Times New Roman"/>
                <w:sz w:val="18"/>
                <w:szCs w:val="18"/>
                <w:color w:val="auto"/>
                <w:w w:val="88"/>
              </w:rPr>
              <w:t>$</w:t>
            </w:r>
          </w:p>
        </w:tc>
        <w:tc>
          <w:tcPr>
            <w:tcW w:w="2220" w:type="dxa"/>
            <w:vAlign w:val="bottom"/>
            <w:tcBorders>
              <w:top w:val="single" w:sz="8" w:color="auto"/>
              <w:bottom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6,161,796</w:t>
            </w:r>
          </w:p>
        </w:tc>
      </w:tr>
      <w:tr>
        <w:trPr>
          <w:trHeight w:val="20"/>
        </w:trPr>
        <w:tc>
          <w:tcPr>
            <w:tcW w:w="7640" w:type="dxa"/>
            <w:vAlign w:val="bottom"/>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2220" w:type="dxa"/>
            <w:vAlign w:val="bottom"/>
            <w:tcBorders>
              <w:bottom w:val="single" w:sz="8" w:color="auto"/>
            </w:tcBorders>
          </w:tcPr>
          <w:p>
            <w:pPr>
              <w:spacing w:after="0" w:line="20" w:lineRule="exact"/>
              <w:rPr>
                <w:sz w:val="1"/>
                <w:szCs w:val="1"/>
                <w:color w:val="auto"/>
              </w:rPr>
            </w:pPr>
          </w:p>
        </w:tc>
      </w:tr>
    </w:tbl>
    <w:p>
      <w:pPr>
        <w:spacing w:after="0" w:line="225" w:lineRule="exact"/>
        <w:rPr>
          <w:sz w:val="20"/>
          <w:szCs w:val="20"/>
          <w:color w:val="auto"/>
        </w:rPr>
      </w:pPr>
    </w:p>
    <w:p>
      <w:pPr>
        <w:ind w:right="80" w:firstLine="486"/>
        <w:spacing w:after="0" w:line="261" w:lineRule="auto"/>
        <w:rPr>
          <w:sz w:val="20"/>
          <w:szCs w:val="20"/>
          <w:color w:val="auto"/>
        </w:rPr>
      </w:pPr>
      <w:r>
        <w:rPr>
          <w:rFonts w:ascii="Times New Roman" w:cs="Times New Roman" w:eastAsia="Times New Roman" w:hAnsi="Times New Roman"/>
          <w:sz w:val="18"/>
          <w:szCs w:val="18"/>
          <w:color w:val="auto"/>
        </w:rPr>
        <w:t>Pursuant to the Cavium merger agreement, the Company assumed the outstanding employee equity awards originally granted by Cavium and converted such shares into the Company’s equivalent awards. The outstanding vested options held by directors of Cavium were settled in cash as specified in the Cavium merger agreement. The portion of the fair value of partially vested awards associated with pre-acquisition service of Cavium employees represented a component of the total consideration, as presented above.</w:t>
      </w:r>
    </w:p>
    <w:p>
      <w:pPr>
        <w:spacing w:after="0" w:line="194" w:lineRule="exact"/>
        <w:rPr>
          <w:sz w:val="20"/>
          <w:szCs w:val="20"/>
          <w:color w:val="auto"/>
        </w:rPr>
      </w:pPr>
    </w:p>
    <w:p>
      <w:pPr>
        <w:ind w:right="700" w:firstLine="459"/>
        <w:spacing w:after="0" w:line="282" w:lineRule="auto"/>
        <w:rPr>
          <w:sz w:val="20"/>
          <w:szCs w:val="20"/>
          <w:color w:val="auto"/>
        </w:rPr>
      </w:pPr>
      <w:r>
        <w:rPr>
          <w:rFonts w:ascii="Times New Roman" w:cs="Times New Roman" w:eastAsia="Times New Roman" w:hAnsi="Times New Roman"/>
          <w:sz w:val="18"/>
          <w:szCs w:val="18"/>
          <w:color w:val="auto"/>
        </w:rPr>
        <w:t>The merger consideration allocation set forth herein is preliminary and may be revised as additional information becomes available during the measurement period which could be up to 12 months from the closing date of the acquisition. Any such revisions or changes may be material.</w:t>
      </w:r>
    </w:p>
    <w:p>
      <w:pPr>
        <w:spacing w:after="0" w:line="162" w:lineRule="exact"/>
        <w:rPr>
          <w:sz w:val="20"/>
          <w:szCs w:val="20"/>
          <w:color w:val="auto"/>
        </w:rPr>
      </w:pPr>
    </w:p>
    <w:p>
      <w:pPr>
        <w:ind w:firstLine="486"/>
        <w:spacing w:after="0" w:line="255" w:lineRule="auto"/>
        <w:rPr>
          <w:sz w:val="20"/>
          <w:szCs w:val="20"/>
          <w:color w:val="auto"/>
        </w:rPr>
      </w:pPr>
      <w:r>
        <w:rPr>
          <w:rFonts w:ascii="Times New Roman" w:cs="Times New Roman" w:eastAsia="Times New Roman" w:hAnsi="Times New Roman"/>
          <w:sz w:val="18"/>
          <w:szCs w:val="18"/>
          <w:color w:val="auto"/>
        </w:rPr>
        <w:t>In accordance with US GAAP requirements for business combinations, the Company allocated the fair value of the purchase consideration to the tangible assets, liabilities and intangible assets acquired, including in-process research and development, or IPR&amp;D, generally based on their estimated fair values. The excess purchase price over those fair values is recorded as goodwill. Goodwill of $3.5 billion recorded for the Cavium acquisition is not expected to be deductible for tax purposes.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the costs are incurred.</w:t>
      </w:r>
    </w:p>
    <w:p>
      <w:pPr>
        <w:spacing w:after="0" w:line="2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400"/>
          </w:cols>
          <w:pgMar w:left="240" w:top="126" w:right="259" w:bottom="1440" w:gutter="0" w:footer="0" w:header="0"/>
        </w:sectPr>
      </w:pPr>
    </w:p>
    <w:bookmarkStart w:id="11" w:name="page12"/>
    <w:bookmarkEnd w:id="11"/>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right="400" w:firstLine="405"/>
        <w:spacing w:after="0" w:line="282" w:lineRule="auto"/>
        <w:rPr>
          <w:sz w:val="20"/>
          <w:szCs w:val="20"/>
          <w:color w:val="auto"/>
        </w:rPr>
      </w:pPr>
      <w:r>
        <w:rPr>
          <w:rFonts w:ascii="Times New Roman" w:cs="Times New Roman" w:eastAsia="Times New Roman" w:hAnsi="Times New Roman"/>
          <w:sz w:val="18"/>
          <w:szCs w:val="18"/>
          <w:color w:val="auto"/>
        </w:rPr>
        <w:t>The purchase price allocation is as follows, including adjustments to the purchase price allocation from the previously reported figures at August 4, 2018 (in thousands):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80010</wp:posOffset>
            </wp:positionV>
            <wp:extent cx="434784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960" w:type="dxa"/>
            <w:vAlign w:val="bottom"/>
          </w:tcPr>
          <w:p>
            <w:pPr>
              <w:jc w:val="center"/>
              <w:ind w:right="212"/>
              <w:spacing w:after="0"/>
              <w:rPr>
                <w:sz w:val="20"/>
                <w:szCs w:val="20"/>
                <w:color w:val="auto"/>
              </w:rPr>
            </w:pPr>
            <w:r>
              <w:rPr>
                <w:rFonts w:ascii="Times New Roman" w:cs="Times New Roman" w:eastAsia="Times New Roman" w:hAnsi="Times New Roman"/>
                <w:sz w:val="14"/>
                <w:szCs w:val="14"/>
                <w:b w:val="1"/>
                <w:bCs w:val="1"/>
                <w:color w:val="auto"/>
              </w:rPr>
              <w:t>Previously Reported</w:t>
            </w:r>
          </w:p>
        </w:tc>
        <w:tc>
          <w:tcPr>
            <w:tcW w:w="92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45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960" w:type="dxa"/>
            <w:vAlign w:val="bottom"/>
          </w:tcPr>
          <w:p>
            <w:pPr>
              <w:jc w:val="center"/>
              <w:ind w:right="212"/>
              <w:spacing w:after="0" w:line="149" w:lineRule="exact"/>
              <w:rPr>
                <w:sz w:val="20"/>
                <w:szCs w:val="20"/>
                <w:color w:val="auto"/>
              </w:rPr>
            </w:pPr>
            <w:r>
              <w:rPr>
                <w:rFonts w:ascii="Times New Roman" w:cs="Times New Roman" w:eastAsia="Times New Roman" w:hAnsi="Times New Roman"/>
                <w:sz w:val="14"/>
                <w:szCs w:val="14"/>
                <w:b w:val="1"/>
                <w:bCs w:val="1"/>
                <w:color w:val="auto"/>
              </w:rPr>
              <w:t>August 4, 2018</w:t>
            </w:r>
          </w:p>
        </w:tc>
        <w:tc>
          <w:tcPr>
            <w:tcW w:w="2280" w:type="dxa"/>
            <w:vAlign w:val="bottom"/>
            <w:gridSpan w:val="2"/>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Measurement Period Adjustments</w:t>
            </w:r>
          </w:p>
        </w:tc>
        <w:tc>
          <w:tcPr>
            <w:tcW w:w="360" w:type="dxa"/>
            <w:vAlign w:val="bottom"/>
          </w:tcPr>
          <w:p>
            <w:pPr>
              <w:spacing w:after="0"/>
              <w:rPr>
                <w:sz w:val="12"/>
                <w:szCs w:val="12"/>
                <w:color w:val="auto"/>
              </w:rPr>
            </w:pPr>
          </w:p>
        </w:tc>
        <w:tc>
          <w:tcPr>
            <w:tcW w:w="1940" w:type="dxa"/>
            <w:vAlign w:val="bottom"/>
            <w:vMerge w:val="restart"/>
          </w:tcPr>
          <w:p>
            <w:pPr>
              <w:jc w:val="right"/>
              <w:ind w:right="491"/>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0" w:type="dxa"/>
            <w:vAlign w:val="bottom"/>
          </w:tcPr>
          <w:p>
            <w:pPr>
              <w:spacing w:after="0"/>
              <w:rPr>
                <w:sz w:val="1"/>
                <w:szCs w:val="1"/>
                <w:color w:val="auto"/>
              </w:rPr>
            </w:pPr>
          </w:p>
        </w:tc>
      </w:tr>
      <w:tr>
        <w:trPr>
          <w:trHeight w:val="195"/>
        </w:trPr>
        <w:tc>
          <w:tcPr>
            <w:tcW w:w="458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960" w:type="dxa"/>
            <w:vAlign w:val="bottom"/>
            <w:tcBorders>
              <w:bottom w:val="single" w:sz="8" w:color="auto"/>
            </w:tcBorders>
          </w:tcPr>
          <w:p>
            <w:pPr>
              <w:jc w:val="center"/>
              <w:ind w:right="212"/>
              <w:spacing w:after="0"/>
              <w:rPr>
                <w:sz w:val="20"/>
                <w:szCs w:val="20"/>
                <w:color w:val="auto"/>
              </w:rPr>
            </w:pPr>
            <w:r>
              <w:rPr>
                <w:rFonts w:ascii="Times New Roman" w:cs="Times New Roman" w:eastAsia="Times New Roman" w:hAnsi="Times New Roman"/>
                <w:sz w:val="14"/>
                <w:szCs w:val="14"/>
                <w:b w:val="1"/>
                <w:bCs w:val="1"/>
                <w:color w:val="auto"/>
              </w:rPr>
              <w:t>(Provisional)</w:t>
            </w:r>
          </w:p>
        </w:tc>
        <w:tc>
          <w:tcPr>
            <w:tcW w:w="2280" w:type="dxa"/>
            <w:vAlign w:val="bottom"/>
            <w:tcBorders>
              <w:bottom w:val="single" w:sz="8" w:color="auto"/>
            </w:tcBorders>
            <w:gridSpan w:val="2"/>
            <w:vMerge w:val="continue"/>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94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9"/>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30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w w:val="88"/>
              </w:rPr>
              <w:t>$</w:t>
            </w:r>
          </w:p>
        </w:tc>
        <w:tc>
          <w:tcPr>
            <w:tcW w:w="196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180,989</w:t>
            </w:r>
          </w:p>
        </w:tc>
        <w:tc>
          <w:tcPr>
            <w:tcW w:w="920" w:type="dxa"/>
            <w:vAlign w:val="bottom"/>
            <w:tcBorders>
              <w:bottom w:val="single" w:sz="8" w:color="CCEEFF"/>
            </w:tcBorders>
            <w:shd w:val="clear" w:color="auto" w:fill="CCEEFF"/>
          </w:tcPr>
          <w:p>
            <w:pPr>
              <w:jc w:val="right"/>
              <w:ind w:right="696"/>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9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180,989</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Accounts receivable</w:t>
            </w:r>
          </w:p>
        </w:tc>
        <w:tc>
          <w:tcPr>
            <w:tcW w:w="300" w:type="dxa"/>
            <w:vAlign w:val="bottom"/>
          </w:tcPr>
          <w:p>
            <w:pPr>
              <w:spacing w:after="0"/>
              <w:rPr>
                <w:sz w:val="21"/>
                <w:szCs w:val="21"/>
                <w:color w:val="auto"/>
              </w:rPr>
            </w:pPr>
          </w:p>
        </w:tc>
        <w:tc>
          <w:tcPr>
            <w:tcW w:w="196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112,270</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21"/>
                <w:szCs w:val="21"/>
                <w:color w:val="auto"/>
              </w:rPr>
            </w:pPr>
          </w:p>
        </w:tc>
        <w:tc>
          <w:tcPr>
            <w:tcW w:w="19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112,270</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Inventories</w:t>
            </w:r>
          </w:p>
        </w:tc>
        <w:tc>
          <w:tcPr>
            <w:tcW w:w="30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330,778</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9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330,778</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Prepaid expense and other current assets</w:t>
            </w:r>
          </w:p>
        </w:tc>
        <w:tc>
          <w:tcPr>
            <w:tcW w:w="300" w:type="dxa"/>
            <w:vAlign w:val="bottom"/>
          </w:tcPr>
          <w:p>
            <w:pPr>
              <w:spacing w:after="0"/>
              <w:rPr>
                <w:sz w:val="21"/>
                <w:szCs w:val="21"/>
                <w:color w:val="auto"/>
              </w:rPr>
            </w:pPr>
          </w:p>
        </w:tc>
        <w:tc>
          <w:tcPr>
            <w:tcW w:w="196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19,890</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21"/>
                <w:szCs w:val="21"/>
                <w:color w:val="auto"/>
              </w:rPr>
            </w:pPr>
          </w:p>
        </w:tc>
        <w:tc>
          <w:tcPr>
            <w:tcW w:w="19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19,890</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Assets held for sale</w:t>
            </w:r>
          </w:p>
        </w:tc>
        <w:tc>
          <w:tcPr>
            <w:tcW w:w="30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483</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9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483</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Property and equipment</w:t>
            </w:r>
          </w:p>
        </w:tc>
        <w:tc>
          <w:tcPr>
            <w:tcW w:w="300" w:type="dxa"/>
            <w:vAlign w:val="bottom"/>
          </w:tcPr>
          <w:p>
            <w:pPr>
              <w:spacing w:after="0"/>
              <w:rPr>
                <w:sz w:val="21"/>
                <w:szCs w:val="21"/>
                <w:color w:val="auto"/>
              </w:rPr>
            </w:pPr>
          </w:p>
        </w:tc>
        <w:tc>
          <w:tcPr>
            <w:tcW w:w="196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115,428</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21"/>
                <w:szCs w:val="21"/>
                <w:color w:val="auto"/>
              </w:rPr>
            </w:pPr>
          </w:p>
        </w:tc>
        <w:tc>
          <w:tcPr>
            <w:tcW w:w="19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115,428</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Acquired intangible assets</w:t>
            </w:r>
          </w:p>
        </w:tc>
        <w:tc>
          <w:tcPr>
            <w:tcW w:w="30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2,744,000</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9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2,744,000</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non-current assets</w:t>
            </w:r>
          </w:p>
        </w:tc>
        <w:tc>
          <w:tcPr>
            <w:tcW w:w="300" w:type="dxa"/>
            <w:vAlign w:val="bottom"/>
          </w:tcPr>
          <w:p>
            <w:pPr>
              <w:spacing w:after="0"/>
              <w:rPr>
                <w:sz w:val="21"/>
                <w:szCs w:val="21"/>
                <w:color w:val="auto"/>
              </w:rPr>
            </w:pPr>
          </w:p>
        </w:tc>
        <w:tc>
          <w:tcPr>
            <w:tcW w:w="196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89,139</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21"/>
                <w:szCs w:val="21"/>
                <w:color w:val="auto"/>
              </w:rPr>
            </w:pPr>
          </w:p>
        </w:tc>
        <w:tc>
          <w:tcPr>
            <w:tcW w:w="19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89,139</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Goodwill</w:t>
            </w:r>
          </w:p>
        </w:tc>
        <w:tc>
          <w:tcPr>
            <w:tcW w:w="30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3,504,302</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1,537</w:t>
            </w:r>
          </w:p>
        </w:tc>
        <w:tc>
          <w:tcPr>
            <w:tcW w:w="360" w:type="dxa"/>
            <w:vAlign w:val="bottom"/>
            <w:tcBorders>
              <w:bottom w:val="single" w:sz="8" w:color="CCEEFF"/>
            </w:tcBorders>
            <w:shd w:val="clear" w:color="auto" w:fill="CCEEFF"/>
          </w:tcPr>
          <w:p>
            <w:pPr>
              <w:spacing w:after="0"/>
              <w:rPr>
                <w:sz w:val="21"/>
                <w:szCs w:val="21"/>
                <w:color w:val="auto"/>
              </w:rPr>
            </w:pPr>
          </w:p>
        </w:tc>
        <w:tc>
          <w:tcPr>
            <w:tcW w:w="19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3,505,839</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Accounts payable</w:t>
            </w:r>
          </w:p>
        </w:tc>
        <w:tc>
          <w:tcPr>
            <w:tcW w:w="300" w:type="dxa"/>
            <w:vAlign w:val="bottom"/>
          </w:tcPr>
          <w:p>
            <w:pPr>
              <w:spacing w:after="0"/>
              <w:rPr>
                <w:sz w:val="21"/>
                <w:szCs w:val="21"/>
                <w:color w:val="auto"/>
              </w:rPr>
            </w:pPr>
          </w:p>
        </w:tc>
        <w:tc>
          <w:tcPr>
            <w:tcW w:w="1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(52,383)</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21"/>
                <w:szCs w:val="21"/>
                <w:color w:val="auto"/>
              </w:rPr>
            </w:pPr>
          </w:p>
        </w:tc>
        <w:tc>
          <w:tcPr>
            <w:tcW w:w="1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(52,383)</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Accrued liabilities</w:t>
            </w:r>
          </w:p>
        </w:tc>
        <w:tc>
          <w:tcPr>
            <w:tcW w:w="30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(127,837)</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360" w:type="dxa"/>
            <w:vAlign w:val="bottom"/>
            <w:tcBorders>
              <w:bottom w:val="single" w:sz="8" w:color="CCEEFF"/>
            </w:tcBorders>
            <w:shd w:val="clear" w:color="auto" w:fill="CCEEFF"/>
          </w:tcPr>
          <w:p>
            <w:pPr>
              <w:spacing w:after="0"/>
              <w:rPr>
                <w:sz w:val="21"/>
                <w:szCs w:val="21"/>
                <w:color w:val="auto"/>
              </w:rPr>
            </w:pPr>
          </w:p>
        </w:tc>
        <w:tc>
          <w:tcPr>
            <w:tcW w:w="19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(127,850)</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300" w:type="dxa"/>
            <w:vAlign w:val="bottom"/>
          </w:tcPr>
          <w:p>
            <w:pPr>
              <w:spacing w:after="0"/>
              <w:rPr>
                <w:sz w:val="21"/>
                <w:szCs w:val="21"/>
                <w:color w:val="auto"/>
              </w:rPr>
            </w:pPr>
          </w:p>
        </w:tc>
        <w:tc>
          <w:tcPr>
            <w:tcW w:w="1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(34,813)</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21"/>
                <w:szCs w:val="21"/>
                <w:color w:val="auto"/>
              </w:rPr>
            </w:pPr>
          </w:p>
        </w:tc>
        <w:tc>
          <w:tcPr>
            <w:tcW w:w="1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(34,813)</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Deferred income</w:t>
            </w:r>
          </w:p>
        </w:tc>
        <w:tc>
          <w:tcPr>
            <w:tcW w:w="30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(2,466)</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9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(2,466)</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Current portion of long-term debt</w:t>
            </w:r>
          </w:p>
        </w:tc>
        <w:tc>
          <w:tcPr>
            <w:tcW w:w="300" w:type="dxa"/>
            <w:vAlign w:val="bottom"/>
          </w:tcPr>
          <w:p>
            <w:pPr>
              <w:spacing w:after="0"/>
              <w:rPr>
                <w:sz w:val="21"/>
                <w:szCs w:val="21"/>
                <w:color w:val="auto"/>
              </w:rPr>
            </w:pPr>
          </w:p>
        </w:tc>
        <w:tc>
          <w:tcPr>
            <w:tcW w:w="1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(6,123)</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21"/>
                <w:szCs w:val="21"/>
                <w:color w:val="auto"/>
              </w:rPr>
            </w:pPr>
          </w:p>
        </w:tc>
        <w:tc>
          <w:tcPr>
            <w:tcW w:w="1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(6,123)</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Liabilities held for sale</w:t>
            </w:r>
          </w:p>
        </w:tc>
        <w:tc>
          <w:tcPr>
            <w:tcW w:w="30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(3,032)</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19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(3,032)</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Long-term debt</w:t>
            </w:r>
          </w:p>
        </w:tc>
        <w:tc>
          <w:tcPr>
            <w:tcW w:w="300" w:type="dxa"/>
            <w:vAlign w:val="bottom"/>
          </w:tcPr>
          <w:p>
            <w:pPr>
              <w:spacing w:after="0"/>
              <w:rPr>
                <w:sz w:val="21"/>
                <w:szCs w:val="21"/>
                <w:color w:val="auto"/>
              </w:rPr>
            </w:pPr>
          </w:p>
        </w:tc>
        <w:tc>
          <w:tcPr>
            <w:tcW w:w="1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(600,005)</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Pr>
          <w:p>
            <w:pPr>
              <w:spacing w:after="0"/>
              <w:rPr>
                <w:sz w:val="21"/>
                <w:szCs w:val="21"/>
                <w:color w:val="auto"/>
              </w:rPr>
            </w:pPr>
          </w:p>
        </w:tc>
        <w:tc>
          <w:tcPr>
            <w:tcW w:w="1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(600,005)</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Non-current income taxes payable</w:t>
            </w:r>
          </w:p>
        </w:tc>
        <w:tc>
          <w:tcPr>
            <w:tcW w:w="30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(8,365)</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(89)</w:t>
            </w:r>
          </w:p>
        </w:tc>
        <w:tc>
          <w:tcPr>
            <w:tcW w:w="360" w:type="dxa"/>
            <w:vAlign w:val="bottom"/>
            <w:tcBorders>
              <w:bottom w:val="single" w:sz="8" w:color="CCEEFF"/>
            </w:tcBorders>
            <w:shd w:val="clear" w:color="auto" w:fill="CCEEFF"/>
          </w:tcPr>
          <w:p>
            <w:pPr>
              <w:spacing w:after="0"/>
              <w:rPr>
                <w:sz w:val="21"/>
                <w:szCs w:val="21"/>
                <w:color w:val="auto"/>
              </w:rPr>
            </w:pPr>
          </w:p>
        </w:tc>
        <w:tc>
          <w:tcPr>
            <w:tcW w:w="19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(8,454)</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Deferred tax liabilities</w:t>
            </w:r>
          </w:p>
        </w:tc>
        <w:tc>
          <w:tcPr>
            <w:tcW w:w="300" w:type="dxa"/>
            <w:vAlign w:val="bottom"/>
          </w:tcPr>
          <w:p>
            <w:pPr>
              <w:spacing w:after="0"/>
              <w:rPr>
                <w:sz w:val="21"/>
                <w:szCs w:val="21"/>
                <w:color w:val="auto"/>
              </w:rPr>
            </w:pPr>
          </w:p>
        </w:tc>
        <w:tc>
          <w:tcPr>
            <w:tcW w:w="1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(84,360)</w:t>
            </w:r>
          </w:p>
        </w:tc>
        <w:tc>
          <w:tcPr>
            <w:tcW w:w="92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(1,435)</w:t>
            </w:r>
          </w:p>
        </w:tc>
        <w:tc>
          <w:tcPr>
            <w:tcW w:w="360" w:type="dxa"/>
            <w:vAlign w:val="bottom"/>
          </w:tcPr>
          <w:p>
            <w:pPr>
              <w:spacing w:after="0"/>
              <w:rPr>
                <w:sz w:val="21"/>
                <w:szCs w:val="21"/>
                <w:color w:val="auto"/>
              </w:rPr>
            </w:pPr>
          </w:p>
        </w:tc>
        <w:tc>
          <w:tcPr>
            <w:tcW w:w="1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(85,795)</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5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300" w:type="dxa"/>
            <w:vAlign w:val="bottom"/>
            <w:tcBorders>
              <w:bottom w:val="single" w:sz="8" w:color="CCEEFF"/>
            </w:tcBorders>
            <w:shd w:val="clear" w:color="auto" w:fill="CCEEFF"/>
          </w:tcPr>
          <w:p>
            <w:pPr>
              <w:spacing w:after="0"/>
              <w:rPr>
                <w:sz w:val="23"/>
                <w:szCs w:val="23"/>
                <w:color w:val="auto"/>
              </w:rPr>
            </w:pPr>
          </w:p>
        </w:tc>
        <w:tc>
          <w:tcPr>
            <w:tcW w:w="19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(16,099)</w:t>
            </w:r>
          </w:p>
        </w:tc>
        <w:tc>
          <w:tcPr>
            <w:tcW w:w="92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9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(16,099)</w:t>
            </w:r>
          </w:p>
        </w:tc>
        <w:tc>
          <w:tcPr>
            <w:tcW w:w="0" w:type="dxa"/>
            <w:vAlign w:val="bottom"/>
          </w:tcPr>
          <w:p>
            <w:pPr>
              <w:spacing w:after="0"/>
              <w:rPr>
                <w:sz w:val="1"/>
                <w:szCs w:val="1"/>
                <w:color w:val="auto"/>
              </w:rPr>
            </w:pPr>
          </w:p>
        </w:tc>
      </w:tr>
      <w:tr>
        <w:trPr>
          <w:trHeight w:val="257"/>
        </w:trPr>
        <w:tc>
          <w:tcPr>
            <w:tcW w:w="4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merger consideration</w:t>
            </w:r>
          </w:p>
        </w:tc>
        <w:tc>
          <w:tcPr>
            <w:tcW w:w="300" w:type="dxa"/>
            <w:vAlign w:val="bottom"/>
            <w:tcBorders>
              <w:top w:val="single" w:sz="8" w:color="auto"/>
              <w:bottom w:val="single" w:sz="8" w:color="auto"/>
            </w:tcBorders>
          </w:tcPr>
          <w:p>
            <w:pPr>
              <w:jc w:val="right"/>
              <w:ind w:right="110"/>
              <w:spacing w:after="0"/>
              <w:rPr>
                <w:sz w:val="20"/>
                <w:szCs w:val="20"/>
                <w:color w:val="auto"/>
              </w:rPr>
            </w:pPr>
            <w:r>
              <w:rPr>
                <w:rFonts w:ascii="Times New Roman" w:cs="Times New Roman" w:eastAsia="Times New Roman" w:hAnsi="Times New Roman"/>
                <w:sz w:val="18"/>
                <w:szCs w:val="18"/>
                <w:color w:val="auto"/>
                <w:w w:val="88"/>
              </w:rPr>
              <w:t>$</w:t>
            </w:r>
          </w:p>
        </w:tc>
        <w:tc>
          <w:tcPr>
            <w:tcW w:w="1960" w:type="dxa"/>
            <w:vAlign w:val="bottom"/>
            <w:tcBorders>
              <w:top w:val="single" w:sz="8" w:color="auto"/>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6,161,796</w:t>
            </w:r>
          </w:p>
        </w:tc>
        <w:tc>
          <w:tcPr>
            <w:tcW w:w="920" w:type="dxa"/>
            <w:vAlign w:val="bottom"/>
            <w:tcBorders>
              <w:top w:val="single" w:sz="8" w:color="auto"/>
              <w:bottom w:val="single" w:sz="8" w:color="auto"/>
            </w:tcBorders>
          </w:tcPr>
          <w:p>
            <w:pPr>
              <w:jc w:val="right"/>
              <w:ind w:right="696"/>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top w:val="single" w:sz="8" w:color="auto"/>
              <w:bottom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top w:val="single" w:sz="8" w:color="auto"/>
              <w:bottom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940" w:type="dxa"/>
            <w:vAlign w:val="bottom"/>
            <w:tcBorders>
              <w:top w:val="single" w:sz="8" w:color="auto"/>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6,161,796</w:t>
            </w:r>
          </w:p>
        </w:tc>
        <w:tc>
          <w:tcPr>
            <w:tcW w:w="0" w:type="dxa"/>
            <w:vAlign w:val="bottom"/>
          </w:tcPr>
          <w:p>
            <w:pPr>
              <w:spacing w:after="0"/>
              <w:rPr>
                <w:sz w:val="1"/>
                <w:szCs w:val="1"/>
                <w:color w:val="auto"/>
              </w:rPr>
            </w:pPr>
          </w:p>
        </w:tc>
      </w:tr>
      <w:tr>
        <w:trPr>
          <w:trHeight w:val="20"/>
        </w:trPr>
        <w:tc>
          <w:tcPr>
            <w:tcW w:w="458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96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9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ind w:right="200" w:firstLine="405"/>
        <w:spacing w:after="0" w:line="261" w:lineRule="auto"/>
        <w:rPr>
          <w:sz w:val="20"/>
          <w:szCs w:val="20"/>
          <w:color w:val="auto"/>
        </w:rPr>
      </w:pPr>
      <w:r>
        <w:rPr>
          <w:rFonts w:ascii="Times New Roman" w:cs="Times New Roman" w:eastAsia="Times New Roman" w:hAnsi="Times New Roman"/>
          <w:sz w:val="18"/>
          <w:szCs w:val="18"/>
          <w:color w:val="auto"/>
        </w:rPr>
        <w:t>The provisional amounts presented in the table above pertained to the preliminary purchase price allocation reported in the Company’s Form 10-Q for the second quarter ended August 4, 2018. The measurement period adjustments were primarily related to the completion of the final Cavium income tax returns and adjustments to uncertain tax positions. The Company does not believe that the measurement period adjustments had a material impact on its consolidated statements of operations, balance sheets or cash flows in any periods previously reported.</w:t>
      </w:r>
    </w:p>
    <w:p>
      <w:pPr>
        <w:spacing w:after="0" w:line="194" w:lineRule="exact"/>
        <w:rPr>
          <w:sz w:val="20"/>
          <w:szCs w:val="20"/>
          <w:color w:val="auto"/>
        </w:rPr>
      </w:pPr>
    </w:p>
    <w:p>
      <w:pPr>
        <w:ind w:right="220" w:firstLine="405"/>
        <w:spacing w:after="0" w:line="256" w:lineRule="auto"/>
        <w:rPr>
          <w:sz w:val="20"/>
          <w:szCs w:val="20"/>
          <w:color w:val="auto"/>
        </w:rPr>
      </w:pPr>
      <w:r>
        <w:rPr>
          <w:rFonts w:ascii="Times New Roman" w:cs="Times New Roman" w:eastAsia="Times New Roman" w:hAnsi="Times New Roman"/>
          <w:sz w:val="18"/>
          <w:szCs w:val="18"/>
          <w:color w:val="auto"/>
        </w:rPr>
        <w:t>The Company incurred total acquisition related costs of $53.7 million which were recorded in selling, general and administrative expense in the condensed consolidated statements of operations. The Company also incurred $22.8 million of debt financing costs. As of November 3, 2018, $0.4 million associated with the Revolving Credit Facility was classified in prepaid expenses and other current assets, $1.4 million associated with the Revolving Credit Facility was classified in other non-current assets, and $12.2 million associated with the term loan and senior notes was classified in long-term debt in the condensed consolidated balance sheet. See “Note 10. Debt” for additional information. Additionally, the Company incurred $2.9 million of equity issuance costs, which were recorded in additional paid-in capital in the condensed consolidated balance sheet.</w:t>
      </w:r>
    </w:p>
    <w:p>
      <w:pPr>
        <w:spacing w:after="0" w:line="201" w:lineRule="exact"/>
        <w:rPr>
          <w:sz w:val="20"/>
          <w:szCs w:val="20"/>
          <w:color w:val="auto"/>
        </w:rPr>
      </w:pPr>
    </w:p>
    <w:p>
      <w:pPr>
        <w:ind w:right="200" w:firstLine="405"/>
        <w:spacing w:after="0" w:line="266" w:lineRule="auto"/>
        <w:rPr>
          <w:sz w:val="20"/>
          <w:szCs w:val="20"/>
          <w:color w:val="auto"/>
        </w:rPr>
      </w:pPr>
      <w:r>
        <w:rPr>
          <w:rFonts w:ascii="Times New Roman" w:cs="Times New Roman" w:eastAsia="Times New Roman" w:hAnsi="Times New Roman"/>
          <w:sz w:val="18"/>
          <w:szCs w:val="18"/>
          <w:color w:val="auto"/>
        </w:rPr>
        <w:t>Since the date of the acquisition, Cavium contributed $212.9 million and $254.3 million of the consolidated net revenue for the three and nine months ended November 3, 2018. Cavium net loss incurred in the three and nine months ended November 3, 2018 was $184.8 million and $305.4 million, which included restructuring costs of $19.1 million and $41.4 million, respectively.</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420"/>
          </w:cols>
          <w:pgMar w:left="240" w:top="126" w:right="239" w:bottom="1440" w:gutter="0" w:footer="0" w:header="0"/>
        </w:sectPr>
      </w:pPr>
    </w:p>
    <w:bookmarkStart w:id="12" w:name="page13"/>
    <w:bookmarkEnd w:id="12"/>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Supplemental Pro Forma Information</w:t>
      </w:r>
    </w:p>
    <w:p>
      <w:pPr>
        <w:spacing w:after="0" w:line="119" w:lineRule="exact"/>
        <w:rPr>
          <w:sz w:val="20"/>
          <w:szCs w:val="20"/>
          <w:color w:val="auto"/>
        </w:rPr>
      </w:pPr>
    </w:p>
    <w:p>
      <w:pPr>
        <w:ind w:right="180" w:firstLine="405"/>
        <w:spacing w:after="0" w:line="261" w:lineRule="auto"/>
        <w:rPr>
          <w:sz w:val="20"/>
          <w:szCs w:val="20"/>
          <w:color w:val="auto"/>
        </w:rPr>
      </w:pPr>
      <w:r>
        <w:rPr>
          <w:rFonts w:ascii="Times New Roman" w:cs="Times New Roman" w:eastAsia="Times New Roman" w:hAnsi="Times New Roman"/>
          <w:sz w:val="18"/>
          <w:szCs w:val="18"/>
          <w:color w:val="auto"/>
        </w:rPr>
        <w:t>The supplemental pro forma financial information presented below is for illustrative purposes only and is not necessarily indicative of the financial position or results of operations that would have been realized if the acquisition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288" w:lineRule="exact"/>
        <w:rPr>
          <w:sz w:val="20"/>
          <w:szCs w:val="20"/>
          <w:color w:val="auto"/>
        </w:rPr>
      </w:pPr>
    </w:p>
    <w:p>
      <w:pPr>
        <w:ind w:firstLine="405"/>
        <w:spacing w:after="0" w:line="255" w:lineRule="auto"/>
        <w:rPr>
          <w:sz w:val="20"/>
          <w:szCs w:val="20"/>
          <w:color w:val="auto"/>
        </w:rPr>
      </w:pPr>
      <w:r>
        <w:rPr>
          <w:rFonts w:ascii="Times New Roman" w:cs="Times New Roman" w:eastAsia="Times New Roman" w:hAnsi="Times New Roman"/>
          <w:sz w:val="18"/>
          <w:szCs w:val="18"/>
          <w:color w:val="auto"/>
        </w:rPr>
        <w:t>The following supplemental pro forma information presents the combined results of operations for each of the periods presented, as if Cavium had been acquired as of the beginning of fiscal year 2018. The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For fiscal year 2018, nonrecurring pro forma adjustments directly attributable to the Cavium acquisition included (i) share-based compensation expense of $37.8 million, (ii) the purchase accounting effect of inventories acquired of $223.0 million, (iii) bridge loan related debt issuance costs of $6.1 million and (iv) transaction costs of $121.8 million. The supplemental pro forma information presented below is for informational purposes only and is not necessarily indicative of our consolidated results of operations of the combined business had the Cavium acquisition actually occurred at the beginning of fiscal year 2018 or of the results of our future operations of the combined business.</w:t>
      </w:r>
    </w:p>
    <w:p>
      <w:pPr>
        <w:spacing w:after="0" w:line="199"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supplemental pro forma financial information for the periods presented is as follows (in thousands):</w:t>
      </w:r>
    </w:p>
    <w:p>
      <w:pPr>
        <w:spacing w:after="0" w:line="200" w:lineRule="exact"/>
        <w:rPr>
          <w:sz w:val="20"/>
          <w:szCs w:val="20"/>
          <w:color w:val="auto"/>
        </w:rPr>
      </w:pPr>
    </w:p>
    <w:p>
      <w:pPr>
        <w:spacing w:after="0" w:line="262"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5480" w:type="dxa"/>
            <w:vAlign w:val="bottom"/>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3320" w:type="dxa"/>
            <w:vAlign w:val="bottom"/>
            <w:tcBorders>
              <w:bottom w:val="single" w:sz="8" w:color="auto"/>
            </w:tcBorders>
            <w:gridSpan w:val="2"/>
          </w:tcPr>
          <w:p>
            <w:pPr>
              <w:jc w:val="right"/>
              <w:ind w:right="130"/>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2120" w:type="dxa"/>
            <w:vAlign w:val="bottom"/>
            <w:tcBorders>
              <w:bottom w:val="single" w:sz="8" w:color="auto"/>
            </w:tcBorders>
          </w:tcPr>
          <w:p>
            <w:pPr>
              <w:spacing w:after="0"/>
              <w:rPr>
                <w:sz w:val="16"/>
                <w:szCs w:val="16"/>
                <w:color w:val="auto"/>
              </w:rPr>
            </w:pPr>
          </w:p>
        </w:tc>
      </w:tr>
      <w:tr>
        <w:trPr>
          <w:trHeight w:val="264"/>
        </w:trPr>
        <w:tc>
          <w:tcPr>
            <w:tcW w:w="5480" w:type="dxa"/>
            <w:vAlign w:val="bottom"/>
            <w:tcBorders>
              <w:bottom w:val="single" w:sz="8" w:color="CCEEFF"/>
            </w:tcBorders>
          </w:tcPr>
          <w:p>
            <w:pPr>
              <w:spacing w:after="0"/>
              <w:rPr>
                <w:sz w:val="22"/>
                <w:szCs w:val="22"/>
                <w:color w:val="auto"/>
              </w:rPr>
            </w:pPr>
          </w:p>
        </w:tc>
        <w:tc>
          <w:tcPr>
            <w:tcW w:w="460" w:type="dxa"/>
            <w:vAlign w:val="bottom"/>
            <w:tcBorders>
              <w:bottom w:val="single" w:sz="8" w:color="auto"/>
            </w:tcBorders>
          </w:tcPr>
          <w:p>
            <w:pPr>
              <w:spacing w:after="0"/>
              <w:rPr>
                <w:sz w:val="22"/>
                <w:szCs w:val="22"/>
                <w:color w:val="auto"/>
              </w:rPr>
            </w:pPr>
          </w:p>
        </w:tc>
        <w:tc>
          <w:tcPr>
            <w:tcW w:w="2460" w:type="dxa"/>
            <w:vAlign w:val="bottom"/>
            <w:tcBorders>
              <w:bottom w:val="single" w:sz="8" w:color="auto"/>
            </w:tcBorders>
          </w:tcPr>
          <w:p>
            <w:pPr>
              <w:jc w:val="right"/>
              <w:ind w:right="91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860" w:type="dxa"/>
            <w:vAlign w:val="bottom"/>
            <w:tcBorders>
              <w:bottom w:val="single" w:sz="8" w:color="auto"/>
            </w:tcBorders>
          </w:tcPr>
          <w:p>
            <w:pPr>
              <w:spacing w:after="0"/>
              <w:rPr>
                <w:sz w:val="22"/>
                <w:szCs w:val="22"/>
                <w:color w:val="auto"/>
              </w:rPr>
            </w:pPr>
          </w:p>
        </w:tc>
        <w:tc>
          <w:tcPr>
            <w:tcW w:w="2120" w:type="dxa"/>
            <w:vAlign w:val="bottom"/>
            <w:tcBorders>
              <w:bottom w:val="single" w:sz="8" w:color="auto"/>
            </w:tcBorders>
          </w:tcPr>
          <w:p>
            <w:pPr>
              <w:jc w:val="right"/>
              <w:ind w:right="756"/>
              <w:spacing w:after="0"/>
              <w:rPr>
                <w:sz w:val="20"/>
                <w:szCs w:val="20"/>
                <w:color w:val="auto"/>
              </w:rPr>
            </w:pPr>
            <w:r>
              <w:rPr>
                <w:rFonts w:ascii="Times New Roman" w:cs="Times New Roman" w:eastAsia="Times New Roman" w:hAnsi="Times New Roman"/>
                <w:sz w:val="14"/>
                <w:szCs w:val="14"/>
                <w:b w:val="1"/>
                <w:bCs w:val="1"/>
                <w:color w:val="auto"/>
              </w:rPr>
              <w:t>October 28, 2017</w:t>
            </w:r>
          </w:p>
        </w:tc>
      </w:tr>
      <w:tr>
        <w:trPr>
          <w:trHeight w:val="249"/>
        </w:trPr>
        <w:tc>
          <w:tcPr>
            <w:tcW w:w="54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shd w:val="clear" w:color="auto" w:fill="CCEEFF"/>
              </w:rPr>
              <w:t>Pro forma net revenue</w:t>
            </w:r>
          </w:p>
        </w:tc>
        <w:tc>
          <w:tcPr>
            <w:tcW w:w="460" w:type="dxa"/>
            <w:vAlign w:val="bottom"/>
            <w:tcBorders>
              <w:bottom w:val="single" w:sz="8" w:color="CCEEFF"/>
            </w:tcBorders>
            <w:shd w:val="clear" w:color="auto" w:fill="CCEEFF"/>
          </w:tcPr>
          <w:p>
            <w:pPr>
              <w:jc w:val="right"/>
              <w:ind w:right="270"/>
              <w:spacing w:after="0"/>
              <w:rPr>
                <w:sz w:val="20"/>
                <w:szCs w:val="20"/>
                <w:color w:val="auto"/>
              </w:rPr>
            </w:pPr>
            <w:r>
              <w:rPr>
                <w:rFonts w:ascii="Times New Roman" w:cs="Times New Roman" w:eastAsia="Times New Roman" w:hAnsi="Times New Roman"/>
                <w:sz w:val="18"/>
                <w:szCs w:val="18"/>
                <w:color w:val="auto"/>
                <w:w w:val="88"/>
              </w:rPr>
              <w:t>$</w:t>
            </w:r>
          </w:p>
        </w:tc>
        <w:tc>
          <w:tcPr>
            <w:tcW w:w="2460" w:type="dxa"/>
            <w:vAlign w:val="bottom"/>
            <w:tcBorders>
              <w:bottom w:val="single" w:sz="8" w:color="CCEEFF"/>
            </w:tcBorders>
            <w:shd w:val="clear" w:color="auto" w:fill="CCEEFF"/>
          </w:tcPr>
          <w:p>
            <w:pPr>
              <w:jc w:val="right"/>
              <w:ind w:right="219"/>
              <w:spacing w:after="0"/>
              <w:rPr>
                <w:sz w:val="20"/>
                <w:szCs w:val="20"/>
                <w:color w:val="auto"/>
              </w:rPr>
            </w:pPr>
            <w:r>
              <w:rPr>
                <w:rFonts w:ascii="Times New Roman" w:cs="Times New Roman" w:eastAsia="Times New Roman" w:hAnsi="Times New Roman"/>
                <w:sz w:val="18"/>
                <w:szCs w:val="18"/>
                <w:color w:val="auto"/>
              </w:rPr>
              <w:t>2,463,924</w:t>
            </w:r>
          </w:p>
        </w:tc>
        <w:tc>
          <w:tcPr>
            <w:tcW w:w="860" w:type="dxa"/>
            <w:vAlign w:val="bottom"/>
            <w:tcBorders>
              <w:bottom w:val="single" w:sz="8" w:color="CCEEFF"/>
            </w:tcBorders>
            <w:shd w:val="clear" w:color="auto" w:fill="CCEEFF"/>
          </w:tcPr>
          <w:p>
            <w:pPr>
              <w:jc w:val="right"/>
              <w:ind w:right="390"/>
              <w:spacing w:after="0"/>
              <w:rPr>
                <w:sz w:val="20"/>
                <w:szCs w:val="20"/>
                <w:color w:val="auto"/>
              </w:rPr>
            </w:pPr>
            <w:r>
              <w:rPr>
                <w:rFonts w:ascii="Times New Roman" w:cs="Times New Roman" w:eastAsia="Times New Roman" w:hAnsi="Times New Roman"/>
                <w:sz w:val="18"/>
                <w:szCs w:val="18"/>
                <w:color w:val="auto"/>
              </w:rPr>
              <w:t>$</w:t>
            </w:r>
          </w:p>
        </w:tc>
        <w:tc>
          <w:tcPr>
            <w:tcW w:w="212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2,517,418</w:t>
            </w:r>
          </w:p>
        </w:tc>
      </w:tr>
      <w:tr>
        <w:trPr>
          <w:trHeight w:val="243"/>
        </w:trPr>
        <w:tc>
          <w:tcPr>
            <w:tcW w:w="54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Pro forma net income (loss)</w:t>
            </w:r>
          </w:p>
        </w:tc>
        <w:tc>
          <w:tcPr>
            <w:tcW w:w="460" w:type="dxa"/>
            <w:vAlign w:val="bottom"/>
          </w:tcPr>
          <w:p>
            <w:pPr>
              <w:spacing w:after="0"/>
              <w:rPr>
                <w:sz w:val="21"/>
                <w:szCs w:val="21"/>
                <w:color w:val="auto"/>
              </w:rPr>
            </w:pPr>
          </w:p>
        </w:tc>
        <w:tc>
          <w:tcPr>
            <w:tcW w:w="2460" w:type="dxa"/>
            <w:vAlign w:val="bottom"/>
          </w:tcPr>
          <w:p>
            <w:pPr>
              <w:jc w:val="right"/>
              <w:ind w:right="219"/>
              <w:spacing w:after="0"/>
              <w:rPr>
                <w:sz w:val="20"/>
                <w:szCs w:val="20"/>
                <w:color w:val="auto"/>
              </w:rPr>
            </w:pPr>
            <w:r>
              <w:rPr>
                <w:rFonts w:ascii="Times New Roman" w:cs="Times New Roman" w:eastAsia="Times New Roman" w:hAnsi="Times New Roman"/>
                <w:sz w:val="18"/>
                <w:szCs w:val="18"/>
                <w:color w:val="auto"/>
              </w:rPr>
              <w:t>71,994</w:t>
            </w:r>
          </w:p>
        </w:tc>
        <w:tc>
          <w:tcPr>
            <w:tcW w:w="860" w:type="dxa"/>
            <w:vAlign w:val="bottom"/>
          </w:tcPr>
          <w:p>
            <w:pPr>
              <w:spacing w:after="0"/>
              <w:rPr>
                <w:sz w:val="21"/>
                <w:szCs w:val="21"/>
                <w:color w:val="auto"/>
              </w:rPr>
            </w:pPr>
          </w:p>
        </w:tc>
        <w:tc>
          <w:tcPr>
            <w:tcW w:w="2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(151,793)</w:t>
            </w:r>
          </w:p>
        </w:tc>
      </w:tr>
    </w:tbl>
    <w:p>
      <w:pPr>
        <w:spacing w:after="0" w:line="30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Consolidated Statements of Cash Flows</w:t>
      </w:r>
    </w:p>
    <w:p>
      <w:pPr>
        <w:spacing w:after="0" w:line="227"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noncash consideration paid for the acquisition of Cavium was $3.3 billion for the nine months ended November 3, 2018.</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4. Goodwill and Acquired Intangible Assets, Net</w:t>
      </w:r>
    </w:p>
    <w:p>
      <w:pPr>
        <w:spacing w:after="0" w:line="11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i w:val="1"/>
          <w:iCs w:val="1"/>
          <w:color w:val="auto"/>
        </w:rPr>
        <w:t>Goodwill</w:t>
      </w:r>
    </w:p>
    <w:p>
      <w:pPr>
        <w:spacing w:after="0" w:line="229" w:lineRule="exact"/>
        <w:rPr>
          <w:sz w:val="20"/>
          <w:szCs w:val="20"/>
          <w:color w:val="auto"/>
        </w:rPr>
      </w:pPr>
    </w:p>
    <w:p>
      <w:pPr>
        <w:ind w:right="100" w:firstLine="405"/>
        <w:spacing w:after="0" w:line="261" w:lineRule="auto"/>
        <w:rPr>
          <w:sz w:val="20"/>
          <w:szCs w:val="20"/>
          <w:color w:val="auto"/>
        </w:rPr>
      </w:pPr>
      <w:r>
        <w:rPr>
          <w:rFonts w:ascii="Times New Roman" w:cs="Times New Roman" w:eastAsia="Times New Roman" w:hAnsi="Times New Roman"/>
          <w:sz w:val="18"/>
          <w:szCs w:val="18"/>
          <w:color w:val="auto"/>
        </w:rPr>
        <w:t>Goodwill represents the excess of the purchase price over the fair value of the net tangible and identifiable intangible assets acquired in a business combination. The carrying value of goodwill as of November 3, 2018 and February 3, 2018 is $5.5 billion and $2.0 billion, respectively. The change in the carrying value of goodwill from February 3, 2018 to November 3, 2018 was due to the Cavium acquisition. See “Note 3 - Business Combination” for further discussion of the acquisition.</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400"/>
          </w:cols>
          <w:pgMar w:left="240" w:top="126" w:right="259" w:bottom="1440" w:gutter="0" w:footer="0" w:header="0"/>
        </w:sectPr>
      </w:pPr>
    </w:p>
    <w:bookmarkStart w:id="13" w:name="page14"/>
    <w:bookmarkEnd w:id="13"/>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35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i w:val="1"/>
          <w:iCs w:val="1"/>
          <w:color w:val="auto"/>
        </w:rPr>
        <w:t>Acquired Intangible Assets, Net</w:t>
      </w:r>
    </w:p>
    <w:p>
      <w:pPr>
        <w:spacing w:after="0" w:line="121" w:lineRule="exact"/>
        <w:rPr>
          <w:sz w:val="20"/>
          <w:szCs w:val="20"/>
          <w:color w:val="auto"/>
        </w:rPr>
      </w:pPr>
    </w:p>
    <w:p>
      <w:pPr>
        <w:ind w:right="40" w:firstLine="432"/>
        <w:spacing w:after="0" w:line="266" w:lineRule="auto"/>
        <w:rPr>
          <w:sz w:val="20"/>
          <w:szCs w:val="20"/>
          <w:color w:val="auto"/>
        </w:rPr>
      </w:pPr>
      <w:r>
        <w:rPr>
          <w:rFonts w:ascii="Times New Roman" w:cs="Times New Roman" w:eastAsia="Times New Roman" w:hAnsi="Times New Roman"/>
          <w:sz w:val="18"/>
          <w:szCs w:val="18"/>
          <w:color w:val="auto"/>
        </w:rPr>
        <w:t>There had been no new acquired intangible assets in fiscal year 2018, and as of February 3, 2018, the gross value of acquired intangible assets was fully amortized. In connection with the Cavium acquisition on July 6, 2018, the Company acquired $2.7 billion of intangible assets. As of the third quarter ended November 3, 2018, net carrying amounts are as follows (in thousands, except for weighted average remaining amortization period):</w:t>
      </w: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2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634"/>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0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5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vMerge w:val="restart"/>
          </w:tcPr>
          <w:p>
            <w:pPr>
              <w:ind w:left="40"/>
              <w:spacing w:after="0"/>
              <w:rPr>
                <w:sz w:val="20"/>
                <w:szCs w:val="20"/>
                <w:color w:val="auto"/>
              </w:rPr>
            </w:pPr>
            <w:r>
              <w:rPr>
                <w:rFonts w:ascii="Times New Roman" w:cs="Times New Roman" w:eastAsia="Times New Roman" w:hAnsi="Times New Roman"/>
                <w:sz w:val="14"/>
                <w:szCs w:val="14"/>
                <w:b w:val="1"/>
                <w:bCs w:val="1"/>
                <w:color w:val="auto"/>
              </w:rPr>
              <w:t>Gross Carrying</w:t>
            </w:r>
          </w:p>
        </w:tc>
        <w:tc>
          <w:tcPr>
            <w:tcW w:w="180" w:type="dxa"/>
            <w:vAlign w:val="bottom"/>
          </w:tcPr>
          <w:p>
            <w:pPr>
              <w:spacing w:after="0"/>
              <w:rPr>
                <w:sz w:val="12"/>
                <w:szCs w:val="12"/>
                <w:color w:val="auto"/>
              </w:rPr>
            </w:pPr>
          </w:p>
        </w:tc>
        <w:tc>
          <w:tcPr>
            <w:tcW w:w="1280" w:type="dxa"/>
            <w:vAlign w:val="bottom"/>
            <w:gridSpan w:val="2"/>
            <w:vMerge w:val="restart"/>
          </w:tcPr>
          <w:p>
            <w:pPr>
              <w:ind w:left="80"/>
              <w:spacing w:after="0"/>
              <w:rPr>
                <w:sz w:val="20"/>
                <w:szCs w:val="20"/>
                <w:color w:val="auto"/>
              </w:rPr>
            </w:pPr>
            <w:r>
              <w:rPr>
                <w:rFonts w:ascii="Times New Roman" w:cs="Times New Roman" w:eastAsia="Times New Roman" w:hAnsi="Times New Roman"/>
                <w:sz w:val="14"/>
                <w:szCs w:val="14"/>
                <w:b w:val="1"/>
                <w:bCs w:val="1"/>
                <w:color w:val="auto"/>
              </w:rPr>
              <w:t>Accumulated</w:t>
            </w:r>
          </w:p>
        </w:tc>
        <w:tc>
          <w:tcPr>
            <w:tcW w:w="200" w:type="dxa"/>
            <w:vAlign w:val="bottom"/>
          </w:tcPr>
          <w:p>
            <w:pPr>
              <w:spacing w:after="0"/>
              <w:rPr>
                <w:sz w:val="12"/>
                <w:szCs w:val="12"/>
                <w:color w:val="auto"/>
              </w:rPr>
            </w:pPr>
          </w:p>
        </w:tc>
        <w:tc>
          <w:tcPr>
            <w:tcW w:w="1180" w:type="dxa"/>
            <w:vAlign w:val="bottom"/>
            <w:vMerge w:val="restart"/>
          </w:tcPr>
          <w:p>
            <w:pPr>
              <w:jc w:val="right"/>
              <w:ind w:right="194"/>
              <w:spacing w:after="0"/>
              <w:rPr>
                <w:sz w:val="20"/>
                <w:szCs w:val="20"/>
                <w:color w:val="auto"/>
              </w:rPr>
            </w:pPr>
            <w:r>
              <w:rPr>
                <w:rFonts w:ascii="Times New Roman" w:cs="Times New Roman" w:eastAsia="Times New Roman" w:hAnsi="Times New Roman"/>
                <w:sz w:val="14"/>
                <w:szCs w:val="14"/>
                <w:b w:val="1"/>
                <w:bCs w:val="1"/>
                <w:color w:val="auto"/>
              </w:rPr>
              <w:t>Net Carrying</w:t>
            </w: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Weighted average</w:t>
            </w:r>
          </w:p>
        </w:tc>
        <w:tc>
          <w:tcPr>
            <w:tcW w:w="0" w:type="dxa"/>
            <w:vAlign w:val="bottom"/>
          </w:tcPr>
          <w:p>
            <w:pPr>
              <w:spacing w:after="0"/>
              <w:rPr>
                <w:sz w:val="1"/>
                <w:szCs w:val="1"/>
                <w:color w:val="auto"/>
              </w:rPr>
            </w:pPr>
          </w:p>
        </w:tc>
      </w:tr>
      <w:tr>
        <w:trPr>
          <w:trHeight w:val="149"/>
        </w:trPr>
        <w:tc>
          <w:tcPr>
            <w:tcW w:w="5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remaining amortization</w:t>
            </w:r>
          </w:p>
        </w:tc>
        <w:tc>
          <w:tcPr>
            <w:tcW w:w="0" w:type="dxa"/>
            <w:vAlign w:val="bottom"/>
          </w:tcPr>
          <w:p>
            <w:pPr>
              <w:spacing w:after="0"/>
              <w:rPr>
                <w:sz w:val="1"/>
                <w:szCs w:val="1"/>
                <w:color w:val="auto"/>
              </w:rPr>
            </w:pPr>
          </w:p>
        </w:tc>
      </w:tr>
      <w:tr>
        <w:trPr>
          <w:trHeight w:val="195"/>
        </w:trPr>
        <w:tc>
          <w:tcPr>
            <w:tcW w:w="526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334"/>
              <w:spacing w:after="0"/>
              <w:rPr>
                <w:sz w:val="20"/>
                <w:szCs w:val="20"/>
                <w:color w:val="auto"/>
              </w:rPr>
            </w:pPr>
            <w:r>
              <w:rPr>
                <w:rFonts w:ascii="Times New Roman" w:cs="Times New Roman" w:eastAsia="Times New Roman" w:hAnsi="Times New Roman"/>
                <w:sz w:val="14"/>
                <w:szCs w:val="14"/>
                <w:b w:val="1"/>
                <w:bCs w:val="1"/>
                <w:color w:val="auto"/>
              </w:rPr>
              <w:t>Amounts</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ind w:left="80"/>
              <w:spacing w:after="0"/>
              <w:rPr>
                <w:sz w:val="20"/>
                <w:szCs w:val="20"/>
                <w:color w:val="auto"/>
              </w:rPr>
            </w:pPr>
            <w:r>
              <w:rPr>
                <w:rFonts w:ascii="Times New Roman" w:cs="Times New Roman" w:eastAsia="Times New Roman" w:hAnsi="Times New Roman"/>
                <w:sz w:val="14"/>
                <w:szCs w:val="14"/>
                <w:b w:val="1"/>
                <w:bCs w:val="1"/>
                <w:color w:val="auto"/>
              </w:rPr>
              <w:t>Amortization</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334"/>
              <w:spacing w:after="0"/>
              <w:rPr>
                <w:sz w:val="20"/>
                <w:szCs w:val="20"/>
                <w:color w:val="auto"/>
              </w:rPr>
            </w:pPr>
            <w:r>
              <w:rPr>
                <w:rFonts w:ascii="Times New Roman" w:cs="Times New Roman" w:eastAsia="Times New Roman" w:hAnsi="Times New Roman"/>
                <w:sz w:val="14"/>
                <w:szCs w:val="14"/>
                <w:b w:val="1"/>
                <w:bCs w:val="1"/>
                <w:color w:val="auto"/>
              </w:rPr>
              <w:t>Amounts</w:t>
            </w:r>
          </w:p>
        </w:tc>
        <w:tc>
          <w:tcPr>
            <w:tcW w:w="100" w:type="dxa"/>
            <w:vAlign w:val="bottom"/>
            <w:tcBorders>
              <w:bottom w:val="single" w:sz="8" w:color="CCEEFF"/>
            </w:tcBorders>
          </w:tcPr>
          <w:p>
            <w:pPr>
              <w:spacing w:after="0"/>
              <w:rPr>
                <w:sz w:val="16"/>
                <w:szCs w:val="16"/>
                <w:color w:val="auto"/>
              </w:rPr>
            </w:pPr>
          </w:p>
        </w:tc>
        <w:tc>
          <w:tcPr>
            <w:tcW w:w="17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period (years)</w:t>
            </w:r>
          </w:p>
        </w:tc>
        <w:tc>
          <w:tcPr>
            <w:tcW w:w="0" w:type="dxa"/>
            <w:vAlign w:val="bottom"/>
          </w:tcPr>
          <w:p>
            <w:pPr>
              <w:spacing w:after="0"/>
              <w:rPr>
                <w:sz w:val="1"/>
                <w:szCs w:val="1"/>
                <w:color w:val="auto"/>
              </w:rPr>
            </w:pPr>
          </w:p>
        </w:tc>
      </w:tr>
      <w:tr>
        <w:trPr>
          <w:trHeight w:val="249"/>
        </w:trPr>
        <w:tc>
          <w:tcPr>
            <w:tcW w:w="52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Developed technologies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1,743,000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(76,577)</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1,666,423</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Times New Roman" w:cs="Times New Roman" w:eastAsia="Times New Roman" w:hAnsi="Times New Roman"/>
                <w:sz w:val="18"/>
                <w:szCs w:val="18"/>
                <w:color w:val="auto"/>
                <w:w w:val="95"/>
              </w:rPr>
              <w:t>7.34</w:t>
            </w:r>
          </w:p>
        </w:tc>
        <w:tc>
          <w:tcPr>
            <w:tcW w:w="0" w:type="dxa"/>
            <w:vAlign w:val="bottom"/>
          </w:tcPr>
          <w:p>
            <w:pPr>
              <w:spacing w:after="0"/>
              <w:rPr>
                <w:sz w:val="1"/>
                <w:szCs w:val="1"/>
                <w:color w:val="auto"/>
              </w:rPr>
            </w:pPr>
          </w:p>
        </w:tc>
      </w:tr>
      <w:tr>
        <w:trPr>
          <w:trHeight w:val="243"/>
        </w:trPr>
        <w:tc>
          <w:tcPr>
            <w:tcW w:w="5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Customer contracts and related relationships</w:t>
            </w:r>
          </w:p>
        </w:tc>
        <w:tc>
          <w:tcPr>
            <w:tcW w:w="1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465,000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(26,220)</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438,780</w:t>
            </w:r>
          </w:p>
        </w:tc>
        <w:tc>
          <w:tcPr>
            <w:tcW w:w="1800" w:type="dxa"/>
            <w:vAlign w:val="bottom"/>
            <w:gridSpan w:val="2"/>
          </w:tcPr>
          <w:p>
            <w:pPr>
              <w:jc w:val="center"/>
              <w:ind w:left="10"/>
              <w:spacing w:after="0"/>
              <w:rPr>
                <w:sz w:val="20"/>
                <w:szCs w:val="20"/>
                <w:color w:val="auto"/>
              </w:rPr>
            </w:pPr>
            <w:r>
              <w:rPr>
                <w:rFonts w:ascii="Times New Roman" w:cs="Times New Roman" w:eastAsia="Times New Roman" w:hAnsi="Times New Roman"/>
                <w:sz w:val="18"/>
                <w:szCs w:val="18"/>
                <w:color w:val="auto"/>
                <w:w w:val="95"/>
              </w:rPr>
              <w:t>8.67</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Trade names</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23,000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(1,833)</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21,167</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Times New Roman" w:cs="Times New Roman" w:eastAsia="Times New Roman" w:hAnsi="Times New Roman"/>
                <w:sz w:val="18"/>
                <w:szCs w:val="18"/>
                <w:color w:val="auto"/>
                <w:w w:val="95"/>
              </w:rPr>
              <w:t>4.08</w:t>
            </w:r>
          </w:p>
        </w:tc>
        <w:tc>
          <w:tcPr>
            <w:tcW w:w="0" w:type="dxa"/>
            <w:vAlign w:val="bottom"/>
          </w:tcPr>
          <w:p>
            <w:pPr>
              <w:spacing w:after="0"/>
              <w:rPr>
                <w:sz w:val="1"/>
                <w:szCs w:val="1"/>
                <w:color w:val="auto"/>
              </w:rPr>
            </w:pPr>
          </w:p>
        </w:tc>
      </w:tr>
      <w:tr>
        <w:trPr>
          <w:trHeight w:val="237"/>
        </w:trPr>
        <w:tc>
          <w:tcPr>
            <w:tcW w:w="526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Total acquired amortizable intangible assets</w:t>
            </w:r>
          </w:p>
        </w:tc>
        <w:tc>
          <w:tcPr>
            <w:tcW w:w="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2,231,000</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(104,630)</w:t>
            </w: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2,126,370</w:t>
            </w:r>
          </w:p>
        </w:tc>
        <w:tc>
          <w:tcPr>
            <w:tcW w:w="1800" w:type="dxa"/>
            <w:vAlign w:val="bottom"/>
            <w:gridSpan w:val="2"/>
          </w:tcPr>
          <w:p>
            <w:pPr>
              <w:jc w:val="center"/>
              <w:ind w:left="10"/>
              <w:spacing w:after="0"/>
              <w:rPr>
                <w:sz w:val="20"/>
                <w:szCs w:val="20"/>
                <w:color w:val="auto"/>
              </w:rPr>
            </w:pPr>
            <w:r>
              <w:rPr>
                <w:rFonts w:ascii="Times New Roman" w:cs="Times New Roman" w:eastAsia="Times New Roman" w:hAnsi="Times New Roman"/>
                <w:sz w:val="18"/>
                <w:szCs w:val="18"/>
                <w:color w:val="auto"/>
                <w:w w:val="95"/>
              </w:rPr>
              <w:t>7.58</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IPR&amp;D</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513,000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513,000</w:t>
            </w:r>
          </w:p>
        </w:tc>
        <w:tc>
          <w:tcPr>
            <w:tcW w:w="100" w:type="dxa"/>
            <w:vAlign w:val="bottom"/>
            <w:tcBorders>
              <w:bottom w:val="single" w:sz="8" w:color="CCEEFF"/>
            </w:tcBorders>
            <w:shd w:val="clear" w:color="auto" w:fill="CCEEFF"/>
          </w:tcPr>
          <w:p>
            <w:pPr>
              <w:spacing w:after="0"/>
              <w:rPr>
                <w:sz w:val="23"/>
                <w:szCs w:val="23"/>
                <w:color w:val="auto"/>
              </w:rPr>
            </w:pPr>
          </w:p>
        </w:tc>
        <w:tc>
          <w:tcPr>
            <w:tcW w:w="1700" w:type="dxa"/>
            <w:vAlign w:val="bottom"/>
            <w:tcBorders>
              <w:bottom w:val="single" w:sz="8" w:color="CCEEFF"/>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9"/>
              </w:rPr>
              <w:t>n/a</w:t>
            </w:r>
          </w:p>
        </w:tc>
        <w:tc>
          <w:tcPr>
            <w:tcW w:w="0" w:type="dxa"/>
            <w:vAlign w:val="bottom"/>
          </w:tcPr>
          <w:p>
            <w:pPr>
              <w:spacing w:after="0"/>
              <w:rPr>
                <w:sz w:val="1"/>
                <w:szCs w:val="1"/>
                <w:color w:val="auto"/>
              </w:rPr>
            </w:pPr>
          </w:p>
        </w:tc>
      </w:tr>
      <w:tr>
        <w:trPr>
          <w:trHeight w:val="257"/>
        </w:trPr>
        <w:tc>
          <w:tcPr>
            <w:tcW w:w="526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Total acquired intangible assets</w:t>
            </w:r>
          </w:p>
        </w:tc>
        <w:tc>
          <w:tcPr>
            <w:tcW w:w="1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bottom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2,744,000</w:t>
            </w:r>
          </w:p>
        </w:tc>
        <w:tc>
          <w:tcPr>
            <w:tcW w:w="12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(104,630)</w:t>
            </w:r>
          </w:p>
        </w:tc>
        <w:tc>
          <w:tcPr>
            <w:tcW w:w="100" w:type="dxa"/>
            <w:vAlign w:val="bottom"/>
          </w:tcPr>
          <w:p>
            <w:pPr>
              <w:spacing w:after="0"/>
              <w:rPr>
                <w:sz w:val="22"/>
                <w:szCs w:val="22"/>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top w:val="single" w:sz="8" w:color="auto"/>
              <w:bottom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2,639,370</w:t>
            </w:r>
          </w:p>
        </w:tc>
        <w:tc>
          <w:tcPr>
            <w:tcW w:w="100" w:type="dxa"/>
            <w:vAlign w:val="bottom"/>
          </w:tcPr>
          <w:p>
            <w:pPr>
              <w:spacing w:after="0"/>
              <w:rPr>
                <w:sz w:val="22"/>
                <w:szCs w:val="22"/>
                <w:color w:val="auto"/>
              </w:rPr>
            </w:pPr>
          </w:p>
        </w:tc>
        <w:tc>
          <w:tcPr>
            <w:tcW w:w="17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3" w:lineRule="exact"/>
        <w:rPr>
          <w:sz w:val="20"/>
          <w:szCs w:val="20"/>
          <w:color w:val="auto"/>
        </w:rPr>
      </w:pPr>
    </w:p>
    <w:p>
      <w:pPr>
        <w:ind w:right="20" w:firstLine="405"/>
        <w:spacing w:after="0" w:line="258" w:lineRule="auto"/>
        <w:rPr>
          <w:sz w:val="20"/>
          <w:szCs w:val="20"/>
          <w:color w:val="auto"/>
        </w:rPr>
      </w:pPr>
      <w:r>
        <w:rPr>
          <w:rFonts w:ascii="Times New Roman" w:cs="Times New Roman" w:eastAsia="Times New Roman" w:hAnsi="Times New Roman"/>
          <w:sz w:val="18"/>
          <w:szCs w:val="18"/>
          <w:color w:val="auto"/>
        </w:rPr>
        <w:t>The intangible assets are amortized on a straight-line basis over the estimated useful lives, except for customer contracts and related relationships, which are amortized using an accelerated method of amortization over the expected customer lives, which more accurately reflects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4 to 9 years. In the event the IPR&amp;D is abandoned the related assets will be written off.</w:t>
      </w:r>
    </w:p>
    <w:p>
      <w:pPr>
        <w:spacing w:after="0" w:line="76" w:lineRule="exact"/>
        <w:rPr>
          <w:sz w:val="20"/>
          <w:szCs w:val="20"/>
          <w:color w:val="auto"/>
        </w:rPr>
      </w:pPr>
    </w:p>
    <w:p>
      <w:pPr>
        <w:jc w:val="both"/>
        <w:ind w:right="340" w:firstLine="432"/>
        <w:spacing w:after="0" w:line="266" w:lineRule="auto"/>
        <w:rPr>
          <w:sz w:val="20"/>
          <w:szCs w:val="20"/>
          <w:color w:val="auto"/>
        </w:rPr>
      </w:pPr>
      <w:r>
        <w:rPr>
          <w:rFonts w:ascii="Times New Roman" w:cs="Times New Roman" w:eastAsia="Times New Roman" w:hAnsi="Times New Roman"/>
          <w:sz w:val="18"/>
          <w:szCs w:val="18"/>
          <w:color w:val="auto"/>
        </w:rPr>
        <w:t>Amortization expense from acquired intangible assets for the three and nine months ended November 3, 2018 was $78.7 million and $104.6 million respectively. The following table presents the estimated future amortization expense of acquired amortizable intangible assets as of November 3, 2018 (in thousands):</w:t>
      </w: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6980" w:type="dxa"/>
            <w:vAlign w:val="bottom"/>
            <w:tcBorders>
              <w:bottom w:val="single" w:sz="8" w:color="auto"/>
            </w:tcBorders>
          </w:tcPr>
          <w:p>
            <w:pPr>
              <w:ind w:left="40"/>
              <w:spacing w:after="0"/>
              <w:rPr>
                <w:sz w:val="20"/>
                <w:szCs w:val="20"/>
                <w:color w:val="auto"/>
              </w:rPr>
            </w:pPr>
            <w:r>
              <w:rPr>
                <w:rFonts w:ascii="Times New Roman" w:cs="Times New Roman" w:eastAsia="Times New Roman" w:hAnsi="Times New Roman"/>
                <w:sz w:val="14"/>
                <w:szCs w:val="14"/>
                <w:b w:val="1"/>
                <w:bCs w:val="1"/>
                <w:color w:val="auto"/>
              </w:rPr>
              <w:t>Fiscal Year</w:t>
            </w:r>
          </w:p>
        </w:tc>
        <w:tc>
          <w:tcPr>
            <w:tcW w:w="100" w:type="dxa"/>
            <w:vAlign w:val="bottom"/>
            <w:tcBorders>
              <w:bottom w:val="single" w:sz="8" w:color="CCEEFF"/>
            </w:tcBorders>
          </w:tcPr>
          <w:p>
            <w:pPr>
              <w:spacing w:after="0"/>
              <w:rPr>
                <w:sz w:val="16"/>
                <w:szCs w:val="16"/>
                <w:color w:val="auto"/>
              </w:rPr>
            </w:pPr>
          </w:p>
        </w:tc>
        <w:tc>
          <w:tcPr>
            <w:tcW w:w="182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4"/>
                <w:szCs w:val="14"/>
                <w:b w:val="1"/>
                <w:bCs w:val="1"/>
                <w:color w:val="auto"/>
              </w:rPr>
              <w:t>Amount</w:t>
            </w:r>
          </w:p>
        </w:tc>
      </w:tr>
      <w:tr>
        <w:trPr>
          <w:trHeight w:val="249"/>
        </w:trPr>
        <w:tc>
          <w:tcPr>
            <w:tcW w:w="708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Remainder of 2019</w:t>
            </w:r>
          </w:p>
        </w:tc>
        <w:tc>
          <w:tcPr>
            <w:tcW w:w="1820" w:type="dxa"/>
            <w:vAlign w:val="bottom"/>
            <w:tcBorders>
              <w:bottom w:val="single" w:sz="8" w:color="CCEEFF"/>
            </w:tcBorders>
            <w:shd w:val="clear" w:color="auto" w:fill="CCEEFF"/>
          </w:tcPr>
          <w:p>
            <w:pPr>
              <w:jc w:val="right"/>
              <w:ind w:right="1610"/>
              <w:spacing w:after="0"/>
              <w:rPr>
                <w:sz w:val="20"/>
                <w:szCs w:val="20"/>
                <w:color w:val="auto"/>
              </w:rPr>
            </w:pPr>
            <w:r>
              <w:rPr>
                <w:rFonts w:ascii="Times New Roman" w:cs="Times New Roman" w:eastAsia="Times New Roman" w:hAnsi="Times New Roman"/>
                <w:sz w:val="18"/>
                <w:szCs w:val="18"/>
                <w:color w:val="auto"/>
              </w:rPr>
              <w:t>$</w:t>
            </w: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78,688</w:t>
            </w:r>
          </w:p>
        </w:tc>
      </w:tr>
      <w:tr>
        <w:trPr>
          <w:trHeight w:val="243"/>
        </w:trPr>
        <w:tc>
          <w:tcPr>
            <w:tcW w:w="69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2020</w:t>
            </w:r>
          </w:p>
        </w:tc>
        <w:tc>
          <w:tcPr>
            <w:tcW w:w="10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309,701</w:t>
            </w:r>
          </w:p>
        </w:tc>
      </w:tr>
      <w:tr>
        <w:trPr>
          <w:trHeight w:val="27"/>
        </w:trPr>
        <w:tc>
          <w:tcPr>
            <w:tcW w:w="6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2021</w:t>
            </w:r>
          </w:p>
        </w:tc>
        <w:tc>
          <w:tcPr>
            <w:tcW w:w="10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301,580</w:t>
            </w:r>
          </w:p>
        </w:tc>
      </w:tr>
      <w:tr>
        <w:trPr>
          <w:trHeight w:val="243"/>
        </w:trPr>
        <w:tc>
          <w:tcPr>
            <w:tcW w:w="69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2022</w:t>
            </w:r>
          </w:p>
        </w:tc>
        <w:tc>
          <w:tcPr>
            <w:tcW w:w="10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293,024</w:t>
            </w:r>
          </w:p>
        </w:tc>
      </w:tr>
      <w:tr>
        <w:trPr>
          <w:trHeight w:val="27"/>
        </w:trPr>
        <w:tc>
          <w:tcPr>
            <w:tcW w:w="6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2023</w:t>
            </w:r>
          </w:p>
        </w:tc>
        <w:tc>
          <w:tcPr>
            <w:tcW w:w="10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285,596</w:t>
            </w:r>
          </w:p>
        </w:tc>
      </w:tr>
      <w:tr>
        <w:trPr>
          <w:trHeight w:val="243"/>
        </w:trPr>
        <w:tc>
          <w:tcPr>
            <w:tcW w:w="708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Thereafter</w:t>
            </w: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857,781</w:t>
            </w:r>
          </w:p>
        </w:tc>
      </w:tr>
      <w:tr>
        <w:trPr>
          <w:trHeight w:val="27"/>
        </w:trPr>
        <w:tc>
          <w:tcPr>
            <w:tcW w:w="69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20" w:type="dxa"/>
            <w:vAlign w:val="bottom"/>
            <w:tcBorders>
              <w:bottom w:val="single" w:sz="8" w:color="auto"/>
            </w:tcBorders>
          </w:tcPr>
          <w:p>
            <w:pPr>
              <w:spacing w:after="0"/>
              <w:rPr>
                <w:sz w:val="2"/>
                <w:szCs w:val="2"/>
                <w:color w:val="auto"/>
              </w:rPr>
            </w:pPr>
          </w:p>
        </w:tc>
        <w:tc>
          <w:tcPr>
            <w:tcW w:w="2520" w:type="dxa"/>
            <w:vAlign w:val="bottom"/>
            <w:tcBorders>
              <w:bottom w:val="single" w:sz="8" w:color="auto"/>
            </w:tcBorders>
          </w:tcPr>
          <w:p>
            <w:pPr>
              <w:spacing w:after="0"/>
              <w:rPr>
                <w:sz w:val="2"/>
                <w:szCs w:val="2"/>
                <w:color w:val="auto"/>
              </w:rPr>
            </w:pPr>
          </w:p>
        </w:tc>
      </w:tr>
      <w:tr>
        <w:trPr>
          <w:trHeight w:val="269"/>
        </w:trPr>
        <w:tc>
          <w:tcPr>
            <w:tcW w:w="698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820" w:type="dxa"/>
            <w:vAlign w:val="bottom"/>
            <w:tcBorders>
              <w:bottom w:val="single" w:sz="8" w:color="CCEEFF"/>
            </w:tcBorders>
            <w:shd w:val="clear" w:color="auto" w:fill="CCEEFF"/>
          </w:tcPr>
          <w:p>
            <w:pPr>
              <w:jc w:val="right"/>
              <w:ind w:right="1610"/>
              <w:spacing w:after="0"/>
              <w:rPr>
                <w:sz w:val="20"/>
                <w:szCs w:val="20"/>
                <w:color w:val="auto"/>
              </w:rPr>
            </w:pPr>
            <w:r>
              <w:rPr>
                <w:rFonts w:ascii="Times New Roman" w:cs="Times New Roman" w:eastAsia="Times New Roman" w:hAnsi="Times New Roman"/>
                <w:sz w:val="18"/>
                <w:szCs w:val="18"/>
                <w:color w:val="auto"/>
              </w:rPr>
              <w:t>$</w:t>
            </w: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2,126,370</w:t>
            </w:r>
          </w:p>
        </w:tc>
      </w:tr>
      <w:tr>
        <w:trPr>
          <w:trHeight w:val="20"/>
        </w:trPr>
        <w:tc>
          <w:tcPr>
            <w:tcW w:w="69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20" w:type="dxa"/>
            <w:vAlign w:val="bottom"/>
            <w:tcBorders>
              <w:top w:val="single" w:sz="8" w:color="auto"/>
              <w:bottom w:val="single" w:sz="8" w:color="auto"/>
            </w:tcBorders>
          </w:tcPr>
          <w:p>
            <w:pPr>
              <w:spacing w:after="0" w:line="20" w:lineRule="exact"/>
              <w:rPr>
                <w:sz w:val="1"/>
                <w:szCs w:val="1"/>
                <w:color w:val="auto"/>
              </w:rPr>
            </w:pPr>
          </w:p>
        </w:tc>
        <w:tc>
          <w:tcPr>
            <w:tcW w:w="252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420"/>
          </w:cols>
          <w:pgMar w:left="240" w:top="126" w:right="239" w:bottom="1440" w:gutter="0" w:footer="0" w:header="0"/>
        </w:sectPr>
      </w:pPr>
    </w:p>
    <w:bookmarkStart w:id="14" w:name="page15"/>
    <w:bookmarkEnd w:id="14"/>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5. Supplemental Financial Information (in thousands)</w:t>
      </w:r>
    </w:p>
    <w:p>
      <w:pPr>
        <w:spacing w:after="0" w:line="9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Consolidated Balance Sheets</w:t>
      </w: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00"/>
              <w:spacing w:after="0"/>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3"/>
                <w:szCs w:val="13"/>
                <w:color w:val="auto"/>
              </w:rPr>
            </w:pPr>
          </w:p>
        </w:tc>
        <w:tc>
          <w:tcPr>
            <w:tcW w:w="1240" w:type="dxa"/>
            <w:vAlign w:val="bottom"/>
          </w:tcPr>
          <w:p>
            <w:pPr>
              <w:jc w:val="right"/>
              <w:ind w:right="317"/>
              <w:spacing w:after="0"/>
              <w:rPr>
                <w:sz w:val="20"/>
                <w:szCs w:val="20"/>
                <w:color w:val="auto"/>
              </w:rPr>
            </w:pPr>
            <w:r>
              <w:rPr>
                <w:rFonts w:ascii="Times New Roman" w:cs="Times New Roman" w:eastAsia="Times New Roman" w:hAnsi="Times New Roman"/>
                <w:sz w:val="14"/>
                <w:szCs w:val="14"/>
                <w:b w:val="1"/>
                <w:bCs w:val="1"/>
                <w:color w:val="auto"/>
              </w:rPr>
              <w:t>February 3,</w:t>
            </w:r>
          </w:p>
        </w:tc>
      </w:tr>
      <w:tr>
        <w:trPr>
          <w:trHeight w:val="195"/>
        </w:trPr>
        <w:tc>
          <w:tcPr>
            <w:tcW w:w="83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49"/>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Inventories: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Work-in-process</w:t>
            </w: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Pr>
          <w:p>
            <w:pPr>
              <w:jc w:val="right"/>
              <w:ind w:right="37"/>
              <w:spacing w:after="0"/>
              <w:rPr>
                <w:sz w:val="20"/>
                <w:szCs w:val="20"/>
                <w:color w:val="auto"/>
              </w:rPr>
            </w:pPr>
            <w:r>
              <w:rPr>
                <w:rFonts w:ascii="Times New Roman" w:cs="Times New Roman" w:eastAsia="Times New Roman" w:hAnsi="Times New Roman"/>
                <w:sz w:val="18"/>
                <w:szCs w:val="18"/>
                <w:color w:val="auto"/>
              </w:rPr>
              <w:t>206,976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37"/>
              <w:spacing w:after="0"/>
              <w:rPr>
                <w:sz w:val="20"/>
                <w:szCs w:val="20"/>
                <w:color w:val="auto"/>
              </w:rPr>
            </w:pPr>
            <w:r>
              <w:rPr>
                <w:rFonts w:ascii="Times New Roman" w:cs="Times New Roman" w:eastAsia="Times New Roman" w:hAnsi="Times New Roman"/>
                <w:sz w:val="18"/>
                <w:szCs w:val="18"/>
                <w:color w:val="auto"/>
              </w:rPr>
              <w:t>103,711</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Finished goods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Times New Roman" w:cs="Times New Roman" w:eastAsia="Times New Roman" w:hAnsi="Times New Roman"/>
                <w:sz w:val="18"/>
                <w:szCs w:val="18"/>
                <w:color w:val="auto"/>
              </w:rPr>
              <w:t>169,234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Times New Roman" w:cs="Times New Roman" w:eastAsia="Times New Roman" w:hAnsi="Times New Roman"/>
                <w:sz w:val="18"/>
                <w:szCs w:val="18"/>
                <w:color w:val="auto"/>
              </w:rPr>
              <w:t>66,328</w:t>
            </w:r>
          </w:p>
        </w:tc>
      </w:tr>
      <w:tr>
        <w:trPr>
          <w:trHeight w:val="237"/>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inventories</w:t>
            </w: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top w:val="single" w:sz="8" w:color="auto"/>
            </w:tcBorders>
          </w:tcPr>
          <w:p>
            <w:pPr>
              <w:jc w:val="right"/>
              <w:ind w:right="37"/>
              <w:spacing w:after="0"/>
              <w:rPr>
                <w:sz w:val="20"/>
                <w:szCs w:val="20"/>
                <w:color w:val="auto"/>
              </w:rPr>
            </w:pPr>
            <w:r>
              <w:rPr>
                <w:rFonts w:ascii="Times New Roman" w:cs="Times New Roman" w:eastAsia="Times New Roman" w:hAnsi="Times New Roman"/>
                <w:sz w:val="18"/>
                <w:szCs w:val="18"/>
                <w:color w:val="auto"/>
              </w:rPr>
              <w:t>376,210</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37"/>
              <w:spacing w:after="0"/>
              <w:rPr>
                <w:sz w:val="20"/>
                <w:szCs w:val="20"/>
                <w:color w:val="auto"/>
              </w:rPr>
            </w:pPr>
            <w:r>
              <w:rPr>
                <w:rFonts w:ascii="Times New Roman" w:cs="Times New Roman" w:eastAsia="Times New Roman" w:hAnsi="Times New Roman"/>
                <w:sz w:val="18"/>
                <w:szCs w:val="18"/>
                <w:color w:val="auto"/>
              </w:rPr>
              <w:t>170,039</w:t>
            </w:r>
          </w:p>
        </w:tc>
      </w:tr>
      <w:tr>
        <w:trPr>
          <w:trHeight w:val="27"/>
        </w:trPr>
        <w:tc>
          <w:tcPr>
            <w:tcW w:w="83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inventory balance at November 3, 2018 includes $97.6 million related to the inventory step-up adjustment from the Cavium acquisition.</w:t>
      </w:r>
    </w:p>
    <w:p>
      <w:pPr>
        <w:spacing w:after="0" w:line="3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00"/>
              <w:spacing w:after="0"/>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3"/>
                <w:szCs w:val="13"/>
                <w:color w:val="auto"/>
              </w:rPr>
            </w:pPr>
          </w:p>
        </w:tc>
        <w:tc>
          <w:tcPr>
            <w:tcW w:w="1240" w:type="dxa"/>
            <w:vAlign w:val="bottom"/>
          </w:tcPr>
          <w:p>
            <w:pPr>
              <w:jc w:val="right"/>
              <w:ind w:right="314"/>
              <w:spacing w:after="0"/>
              <w:rPr>
                <w:sz w:val="20"/>
                <w:szCs w:val="20"/>
                <w:color w:val="auto"/>
              </w:rPr>
            </w:pPr>
            <w:r>
              <w:rPr>
                <w:rFonts w:ascii="Times New Roman" w:cs="Times New Roman" w:eastAsia="Times New Roman" w:hAnsi="Times New Roman"/>
                <w:sz w:val="14"/>
                <w:szCs w:val="14"/>
                <w:b w:val="1"/>
                <w:bCs w:val="1"/>
                <w:color w:val="auto"/>
              </w:rPr>
              <w:t>February 3,</w:t>
            </w:r>
          </w:p>
        </w:tc>
      </w:tr>
      <w:tr>
        <w:trPr>
          <w:trHeight w:val="195"/>
        </w:trPr>
        <w:tc>
          <w:tcPr>
            <w:tcW w:w="83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49"/>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Property and equipment, net: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Machinery and equipment</w:t>
            </w: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610,541</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535,416</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Land, buildings, and leasehold improvements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279,975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247,675</w:t>
            </w: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Computer software</w:t>
            </w:r>
          </w:p>
        </w:tc>
        <w:tc>
          <w:tcPr>
            <w:tcW w:w="24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102,897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98,253</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Furniture and fixtures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24,871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21,139</w:t>
            </w:r>
          </w:p>
        </w:tc>
      </w:tr>
      <w:tr>
        <w:trPr>
          <w:trHeight w:val="237"/>
        </w:trPr>
        <w:tc>
          <w:tcPr>
            <w:tcW w:w="83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1,018,284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902,483</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Less: Accumulated depreciation and amortization</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(705,171)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(700,261)</w:t>
            </w:r>
          </w:p>
        </w:tc>
      </w:tr>
      <w:tr>
        <w:trPr>
          <w:trHeight w:val="237"/>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property and equipment, net</w:t>
            </w: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313,113</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202,222</w:t>
            </w:r>
          </w:p>
        </w:tc>
      </w:tr>
      <w:tr>
        <w:trPr>
          <w:trHeight w:val="27"/>
        </w:trPr>
        <w:tc>
          <w:tcPr>
            <w:tcW w:w="83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Current accrued liabilities are comprised of the following at November 3, 2018 and February 3, 2018, respectively:</w:t>
      </w:r>
    </w:p>
    <w:p>
      <w:pPr>
        <w:spacing w:after="0" w:line="368"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3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80" w:type="dxa"/>
            <w:vAlign w:val="bottom"/>
            <w:gridSpan w:val="2"/>
          </w:tcPr>
          <w:p>
            <w:pPr>
              <w:ind w:left="120"/>
              <w:spacing w:after="0"/>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3"/>
                <w:szCs w:val="13"/>
                <w:color w:val="auto"/>
              </w:rPr>
            </w:pPr>
          </w:p>
        </w:tc>
        <w:tc>
          <w:tcPr>
            <w:tcW w:w="1220" w:type="dxa"/>
            <w:vAlign w:val="bottom"/>
          </w:tcPr>
          <w:p>
            <w:pPr>
              <w:jc w:val="right"/>
              <w:ind w:right="293"/>
              <w:spacing w:after="0"/>
              <w:rPr>
                <w:sz w:val="20"/>
                <w:szCs w:val="20"/>
                <w:color w:val="auto"/>
              </w:rPr>
            </w:pPr>
            <w:r>
              <w:rPr>
                <w:rFonts w:ascii="Times New Roman" w:cs="Times New Roman" w:eastAsia="Times New Roman" w:hAnsi="Times New Roman"/>
                <w:sz w:val="14"/>
                <w:szCs w:val="14"/>
                <w:b w:val="1"/>
                <w:bCs w:val="1"/>
                <w:color w:val="auto"/>
              </w:rPr>
              <w:t>February 3,</w:t>
            </w:r>
          </w:p>
        </w:tc>
      </w:tr>
      <w:tr>
        <w:trPr>
          <w:trHeight w:val="195"/>
        </w:trPr>
        <w:tc>
          <w:tcPr>
            <w:tcW w:w="83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3"/>
              <w:spacing w:after="0"/>
              <w:rPr>
                <w:sz w:val="20"/>
                <w:szCs w:val="20"/>
                <w:color w:val="auto"/>
              </w:rPr>
            </w:pPr>
            <w:r>
              <w:rPr>
                <w:rFonts w:ascii="Times New Roman" w:cs="Times New Roman" w:eastAsia="Times New Roman" w:hAnsi="Times New Roman"/>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3"/>
              <w:spacing w:after="0"/>
              <w:rPr>
                <w:sz w:val="20"/>
                <w:szCs w:val="20"/>
                <w:color w:val="auto"/>
              </w:rPr>
            </w:pPr>
            <w:r>
              <w:rPr>
                <w:rFonts w:ascii="Times New Roman" w:cs="Times New Roman" w:eastAsia="Times New Roman" w:hAnsi="Times New Roman"/>
                <w:sz w:val="14"/>
                <w:szCs w:val="14"/>
                <w:b w:val="1"/>
                <w:bCs w:val="1"/>
                <w:color w:val="auto"/>
              </w:rPr>
              <w:t>2018</w:t>
            </w:r>
          </w:p>
        </w:tc>
      </w:tr>
      <w:tr>
        <w:trPr>
          <w:trHeight w:val="249"/>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b w:val="1"/>
                <w:bCs w:val="1"/>
                <w:color w:val="auto"/>
              </w:rPr>
              <w:t>Accrued liabilities:</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Contract liabilities</w:t>
            </w:r>
          </w:p>
        </w:tc>
        <w:tc>
          <w:tcPr>
            <w:tcW w:w="2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121,669</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Technology license obligations</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58,606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28,488</w:t>
            </w:r>
          </w:p>
        </w:tc>
      </w:tr>
      <w:tr>
        <w:trPr>
          <w:trHeight w:val="243"/>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Accrued royalties</w:t>
            </w:r>
          </w:p>
        </w:tc>
        <w:tc>
          <w:tcPr>
            <w:tcW w:w="220" w:type="dxa"/>
            <w:vAlign w:val="bottom"/>
          </w:tcPr>
          <w:p>
            <w:pPr>
              <w:spacing w:after="0"/>
              <w:rPr>
                <w:sz w:val="21"/>
                <w:szCs w:val="21"/>
                <w:color w:val="auto"/>
              </w:rPr>
            </w:pPr>
          </w:p>
        </w:tc>
        <w:tc>
          <w:tcPr>
            <w:tcW w:w="126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16,315</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11,860</w:t>
            </w:r>
          </w:p>
        </w:tc>
      </w:tr>
      <w:tr>
        <w:trPr>
          <w:trHeight w:val="27"/>
        </w:trPr>
        <w:tc>
          <w:tcPr>
            <w:tcW w:w="8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Accrued rebates (1)</w:t>
            </w:r>
          </w:p>
        </w:tc>
        <w:tc>
          <w:tcPr>
            <w:tcW w:w="2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9,292</w:t>
            </w:r>
          </w:p>
        </w:tc>
      </w:tr>
      <w:tr>
        <w:trPr>
          <w:trHeight w:val="243"/>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Accrued legal related expenses</w:t>
            </w:r>
          </w:p>
        </w:tc>
        <w:tc>
          <w:tcPr>
            <w:tcW w:w="220" w:type="dxa"/>
            <w:vAlign w:val="bottom"/>
          </w:tcPr>
          <w:p>
            <w:pPr>
              <w:spacing w:after="0"/>
              <w:rPr>
                <w:sz w:val="21"/>
                <w:szCs w:val="21"/>
                <w:color w:val="auto"/>
              </w:rPr>
            </w:pPr>
          </w:p>
        </w:tc>
        <w:tc>
          <w:tcPr>
            <w:tcW w:w="126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18,436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13,050</w:t>
            </w:r>
          </w:p>
        </w:tc>
      </w:tr>
      <w:tr>
        <w:trPr>
          <w:trHeight w:val="27"/>
        </w:trPr>
        <w:tc>
          <w:tcPr>
            <w:tcW w:w="8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Unsettled investment trades (2)</w:t>
            </w:r>
          </w:p>
        </w:tc>
        <w:tc>
          <w:tcPr>
            <w:tcW w:w="2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4,497</w:t>
            </w:r>
          </w:p>
        </w:tc>
      </w:tr>
      <w:tr>
        <w:trPr>
          <w:trHeight w:val="243"/>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Restructuring liabilities</w:t>
            </w:r>
          </w:p>
        </w:tc>
        <w:tc>
          <w:tcPr>
            <w:tcW w:w="220" w:type="dxa"/>
            <w:vAlign w:val="bottom"/>
          </w:tcPr>
          <w:p>
            <w:pPr>
              <w:spacing w:after="0"/>
              <w:rPr>
                <w:sz w:val="21"/>
                <w:szCs w:val="21"/>
                <w:color w:val="auto"/>
              </w:rPr>
            </w:pPr>
          </w:p>
        </w:tc>
        <w:tc>
          <w:tcPr>
            <w:tcW w:w="126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26,412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1,612</w:t>
            </w:r>
          </w:p>
        </w:tc>
      </w:tr>
      <w:tr>
        <w:trPr>
          <w:trHeight w:val="27"/>
        </w:trPr>
        <w:tc>
          <w:tcPr>
            <w:tcW w:w="8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Accrued interest</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17,041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Accrued income tax payable</w:t>
            </w:r>
          </w:p>
        </w:tc>
        <w:tc>
          <w:tcPr>
            <w:tcW w:w="220" w:type="dxa"/>
            <w:vAlign w:val="bottom"/>
          </w:tcPr>
          <w:p>
            <w:pPr>
              <w:spacing w:after="0"/>
              <w:rPr>
                <w:sz w:val="21"/>
                <w:szCs w:val="21"/>
                <w:color w:val="auto"/>
              </w:rPr>
            </w:pPr>
          </w:p>
        </w:tc>
        <w:tc>
          <w:tcPr>
            <w:tcW w:w="126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18,483</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959</w:t>
            </w:r>
          </w:p>
        </w:tc>
      </w:tr>
      <w:tr>
        <w:trPr>
          <w:trHeight w:val="27"/>
        </w:trPr>
        <w:tc>
          <w:tcPr>
            <w:tcW w:w="83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Other</w:t>
            </w:r>
          </w:p>
        </w:tc>
        <w:tc>
          <w:tcPr>
            <w:tcW w:w="2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25,133</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17,200</w:t>
            </w:r>
          </w:p>
        </w:tc>
      </w:tr>
      <w:tr>
        <w:trPr>
          <w:trHeight w:val="237"/>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Total accrued liabilities</w:t>
            </w:r>
          </w:p>
        </w:tc>
        <w:tc>
          <w:tcPr>
            <w:tcW w:w="220" w:type="dxa"/>
            <w:vAlign w:val="bottom"/>
            <w:tcBorders>
              <w:top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top w:val="single" w:sz="8" w:color="auto"/>
            </w:tcBorders>
          </w:tcPr>
          <w:p>
            <w:pPr>
              <w:jc w:val="right"/>
              <w:ind w:right="13"/>
              <w:spacing w:after="0"/>
              <w:rPr>
                <w:sz w:val="20"/>
                <w:szCs w:val="20"/>
                <w:color w:val="auto"/>
              </w:rPr>
            </w:pPr>
            <w:r>
              <w:rPr>
                <w:rFonts w:ascii="Times New Roman" w:cs="Times New Roman" w:eastAsia="Times New Roman" w:hAnsi="Times New Roman"/>
                <w:sz w:val="18"/>
                <w:szCs w:val="18"/>
                <w:color w:val="auto"/>
              </w:rPr>
              <w:t>302,095</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tcBorders>
          </w:tcPr>
          <w:p>
            <w:pPr>
              <w:jc w:val="right"/>
              <w:ind w:right="13"/>
              <w:spacing w:after="0"/>
              <w:rPr>
                <w:sz w:val="20"/>
                <w:szCs w:val="20"/>
                <w:color w:val="auto"/>
              </w:rPr>
            </w:pPr>
            <w:r>
              <w:rPr>
                <w:rFonts w:ascii="Times New Roman" w:cs="Times New Roman" w:eastAsia="Times New Roman" w:hAnsi="Times New Roman"/>
                <w:sz w:val="18"/>
                <w:szCs w:val="18"/>
                <w:color w:val="auto"/>
              </w:rPr>
              <w:t>86,958</w:t>
            </w:r>
          </w:p>
        </w:tc>
      </w:tr>
      <w:tr>
        <w:trPr>
          <w:trHeight w:val="27"/>
        </w:trPr>
        <w:tc>
          <w:tcPr>
            <w:tcW w:w="832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ind w:left="260" w:hanging="252"/>
        <w:spacing w:after="0"/>
        <w:tabs>
          <w:tab w:leader="none" w:pos="2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Accrued rebates are classified as part of contract liabilities beginning in fiscal year 2019 upon adoption of the new revenue recognition standard.</w:t>
      </w:r>
    </w:p>
    <w:p>
      <w:pPr>
        <w:spacing w:after="0" w:line="225" w:lineRule="exact"/>
        <w:rPr>
          <w:rFonts w:ascii="Times New Roman" w:cs="Times New Roman" w:eastAsia="Times New Roman" w:hAnsi="Times New Roman"/>
          <w:sz w:val="18"/>
          <w:szCs w:val="18"/>
          <w:color w:val="auto"/>
        </w:rPr>
      </w:pPr>
    </w:p>
    <w:p>
      <w:pPr>
        <w:ind w:left="260" w:hanging="252"/>
        <w:spacing w:after="0"/>
        <w:tabs>
          <w:tab w:leader="none" w:pos="2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Unsettled investment trades represent amounts owed to third parties for investment purchases for which cash settlement has not yet occurred.</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400"/>
          </w:cols>
          <w:pgMar w:left="240" w:top="126" w:right="259" w:bottom="1440" w:gutter="0" w:footer="0" w:header="0"/>
        </w:sectPr>
      </w:pPr>
    </w:p>
    <w:bookmarkStart w:id="15" w:name="page16"/>
    <w:bookmarkEnd w:id="15"/>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Accumulated Other Comprehensive Income (Loss)</w:t>
      </w:r>
    </w:p>
    <w:p>
      <w:pPr>
        <w:spacing w:after="0" w:line="9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changes in accumulated other comprehensive income (loss) by components are presented in the following tables:</w:t>
      </w:r>
    </w:p>
    <w:p>
      <w:pPr>
        <w:spacing w:after="0" w:line="165" w:lineRule="exact"/>
        <w:rPr>
          <w:sz w:val="20"/>
          <w:szCs w:val="20"/>
          <w:color w:val="auto"/>
        </w:rPr>
      </w:pPr>
    </w:p>
    <w:p>
      <w:pPr>
        <w:jc w:val="center"/>
        <w:ind w:left="10060"/>
        <w:spacing w:after="0"/>
        <w:rPr>
          <w:sz w:val="20"/>
          <w:szCs w:val="20"/>
          <w:color w:val="auto"/>
        </w:rPr>
      </w:pPr>
      <w:r>
        <w:rPr>
          <w:rFonts w:ascii="Times New Roman" w:cs="Times New Roman" w:eastAsia="Times New Roman" w:hAnsi="Times New Roman"/>
          <w:sz w:val="14"/>
          <w:szCs w:val="14"/>
          <w:b w:val="1"/>
          <w:bCs w:val="1"/>
          <w:color w:val="auto"/>
        </w:rPr>
        <w:t>Unrealized Gain</w:t>
      </w:r>
    </w:p>
    <w:p>
      <w:pPr>
        <w:jc w:val="center"/>
        <w:ind w:left="10060"/>
        <w:spacing w:after="0" w:line="229" w:lineRule="auto"/>
        <w:rPr>
          <w:sz w:val="20"/>
          <w:szCs w:val="20"/>
          <w:color w:val="auto"/>
        </w:rPr>
      </w:pPr>
      <w:r>
        <w:rPr>
          <w:rFonts w:ascii="Times New Roman" w:cs="Times New Roman" w:eastAsia="Times New Roman" w:hAnsi="Times New Roman"/>
          <w:sz w:val="14"/>
          <w:szCs w:val="14"/>
          <w:b w:val="1"/>
          <w:bCs w:val="1"/>
          <w:color w:val="auto"/>
        </w:rPr>
        <w:t>(Loss) on</w:t>
      </w:r>
    </w:p>
    <w:p>
      <w:pPr>
        <w:jc w:val="center"/>
        <w:ind w:left="10060"/>
        <w:spacing w:after="0" w:line="222" w:lineRule="auto"/>
        <w:rPr>
          <w:sz w:val="20"/>
          <w:szCs w:val="20"/>
          <w:color w:val="auto"/>
        </w:rPr>
      </w:pPr>
      <w:r>
        <w:rPr>
          <w:rFonts w:ascii="Times New Roman" w:cs="Times New Roman" w:eastAsia="Times New Roman" w:hAnsi="Times New Roman"/>
          <w:sz w:val="14"/>
          <w:szCs w:val="14"/>
          <w:b w:val="1"/>
          <w:bCs w:val="1"/>
          <w:color w:val="auto"/>
        </w:rPr>
        <w:t>Marketable</w:t>
      </w:r>
    </w:p>
    <w:p>
      <w:pPr>
        <w:jc w:val="center"/>
        <w:ind w:left="10060"/>
        <w:spacing w:after="0"/>
        <w:rPr>
          <w:sz w:val="20"/>
          <w:szCs w:val="20"/>
          <w:color w:val="auto"/>
        </w:rPr>
      </w:pPr>
      <w:r>
        <w:rPr>
          <w:rFonts w:ascii="Times New Roman" w:cs="Times New Roman" w:eastAsia="Times New Roman" w:hAnsi="Times New Roman"/>
          <w:sz w:val="14"/>
          <w:szCs w:val="14"/>
          <w:b w:val="1"/>
          <w:bCs w:val="1"/>
          <w:color w:val="auto"/>
        </w:rPr>
        <w:t>Securities (1)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46620" cy="1803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ectPr>
          <w:pgSz w:w="11900" w:h="16838" w:orient="portrait"/>
          <w:cols w:equalWidth="0" w:num="1">
            <w:col w:w="11420"/>
          </w:cols>
          <w:pgMar w:left="240" w:top="126" w:right="239" w:bottom="1440" w:gutter="0" w:footer="0" w:header="0"/>
        </w:sectPr>
      </w:pPr>
    </w:p>
    <w:p>
      <w:pPr>
        <w:spacing w:after="0" w:line="30"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color w:val="auto"/>
        </w:rPr>
        <w:t>Balance at February 3, 2018</w:t>
      </w:r>
    </w:p>
    <w:p>
      <w:pPr>
        <w:spacing w:after="0" w:line="77"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Other comprehensive loss before reclassifications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34290</wp:posOffset>
            </wp:positionV>
            <wp:extent cx="7246620" cy="1714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171450"/>
                    </a:xfrm>
                    <a:prstGeom prst="rect">
                      <a:avLst/>
                    </a:prstGeom>
                    <a:noFill/>
                  </pic:spPr>
                </pic:pic>
              </a:graphicData>
            </a:graphic>
          </wp:anchor>
        </w:drawing>
      </w:r>
    </w:p>
    <w:p>
      <w:pPr>
        <w:spacing w:after="0" w:line="43" w:lineRule="exact"/>
        <w:rPr>
          <w:sz w:val="20"/>
          <w:szCs w:val="20"/>
          <w:color w:val="auto"/>
        </w:rPr>
      </w:pPr>
    </w:p>
    <w:p>
      <w:pPr>
        <w:ind w:left="720" w:right="760" w:hanging="323"/>
        <w:spacing w:after="0" w:line="321" w:lineRule="auto"/>
        <w:rPr>
          <w:sz w:val="20"/>
          <w:szCs w:val="20"/>
          <w:color w:val="auto"/>
        </w:rPr>
      </w:pPr>
      <w:r>
        <w:rPr>
          <w:rFonts w:ascii="Times New Roman" w:cs="Times New Roman" w:eastAsia="Times New Roman" w:hAnsi="Times New Roman"/>
          <w:sz w:val="18"/>
          <w:szCs w:val="18"/>
          <w:color w:val="auto"/>
        </w:rPr>
        <w:t>Amounts reclassified from accumulated other comprehensive gain Net current-period other comprehensive gain, net of tax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-5080</wp:posOffset>
            </wp:positionV>
            <wp:extent cx="7246620" cy="18859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188595"/>
                    </a:xfrm>
                    <a:prstGeom prst="rect">
                      <a:avLst/>
                    </a:prstGeom>
                    <a:noFill/>
                  </pic:spPr>
                </pic:pic>
              </a:graphicData>
            </a:graphic>
          </wp:anchor>
        </w:drawing>
      </w:r>
    </w:p>
    <w:p>
      <w:pPr>
        <w:ind w:left="40"/>
        <w:spacing w:after="0"/>
        <w:rPr>
          <w:sz w:val="20"/>
          <w:szCs w:val="20"/>
          <w:color w:val="auto"/>
        </w:rPr>
      </w:pPr>
      <w:r>
        <w:rPr>
          <w:rFonts w:ascii="Times New Roman" w:cs="Times New Roman" w:eastAsia="Times New Roman" w:hAnsi="Times New Roman"/>
          <w:sz w:val="18"/>
          <w:szCs w:val="18"/>
          <w:color w:val="auto"/>
        </w:rPr>
        <w:t>Balance at November 3,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566420</wp:posOffset>
            </wp:positionV>
            <wp:extent cx="7246620" cy="1803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color w:val="auto"/>
        </w:rPr>
        <w:t>Balance at January 28, 2017</w:t>
      </w:r>
    </w:p>
    <w:p>
      <w:pPr>
        <w:spacing w:after="0" w:line="77"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Other comprehensive income (loss) before reclassifications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34290</wp:posOffset>
            </wp:positionV>
            <wp:extent cx="7246620" cy="1714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171450"/>
                    </a:xfrm>
                    <a:prstGeom prst="rect">
                      <a:avLst/>
                    </a:prstGeom>
                    <a:noFill/>
                  </pic:spPr>
                </pic:pic>
              </a:graphicData>
            </a:graphic>
          </wp:anchor>
        </w:drawing>
      </w:r>
    </w:p>
    <w:p>
      <w:pPr>
        <w:spacing w:after="0" w:line="43"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7"/>
          <w:szCs w:val="17"/>
          <w:color w:val="auto"/>
        </w:rPr>
        <w:t>Amounts reclassified from accumulated other comprehensive income (loss)</w:t>
      </w:r>
    </w:p>
    <w:p>
      <w:pPr>
        <w:spacing w:after="0" w:line="20" w:lineRule="exact"/>
        <w:rPr>
          <w:sz w:val="20"/>
          <w:szCs w:val="20"/>
          <w:color w:val="auto"/>
        </w:rPr>
      </w:pPr>
      <w:r>
        <w:rPr>
          <w:sz w:val="20"/>
          <w:szCs w:val="20"/>
          <w:color w:val="auto"/>
        </w:rPr>
        <w:br w:type="column"/>
      </w:r>
    </w:p>
    <w:p>
      <w:pPr>
        <w:spacing w:after="0" w:line="23"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4"/>
        </w:trPr>
        <w:tc>
          <w:tcPr>
            <w:tcW w:w="2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(2,322)</w:t>
            </w:r>
          </w:p>
        </w:tc>
        <w:tc>
          <w:tcPr>
            <w:tcW w:w="0" w:type="dxa"/>
            <w:vAlign w:val="bottom"/>
          </w:tcPr>
          <w:p>
            <w:pPr>
              <w:spacing w:after="0"/>
              <w:rPr>
                <w:sz w:val="1"/>
                <w:szCs w:val="1"/>
                <w:color w:val="auto"/>
              </w:rPr>
            </w:pPr>
          </w:p>
        </w:tc>
      </w:tr>
      <w:tr>
        <w:trPr>
          <w:trHeight w:val="270"/>
        </w:trPr>
        <w:tc>
          <w:tcPr>
            <w:tcW w:w="22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(733)</w:t>
            </w:r>
          </w:p>
        </w:tc>
        <w:tc>
          <w:tcPr>
            <w:tcW w:w="0" w:type="dxa"/>
            <w:vAlign w:val="bottom"/>
          </w:tcPr>
          <w:p>
            <w:pPr>
              <w:spacing w:after="0"/>
              <w:rPr>
                <w:sz w:val="1"/>
                <w:szCs w:val="1"/>
                <w:color w:val="auto"/>
              </w:rPr>
            </w:pPr>
          </w:p>
        </w:tc>
      </w:tr>
      <w:tr>
        <w:trPr>
          <w:trHeight w:val="270"/>
        </w:trPr>
        <w:tc>
          <w:tcPr>
            <w:tcW w:w="22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3,055</w:t>
            </w:r>
          </w:p>
        </w:tc>
        <w:tc>
          <w:tcPr>
            <w:tcW w:w="0" w:type="dxa"/>
            <w:vAlign w:val="bottom"/>
          </w:tcPr>
          <w:p>
            <w:pPr>
              <w:spacing w:after="0"/>
              <w:rPr>
                <w:sz w:val="1"/>
                <w:szCs w:val="1"/>
                <w:color w:val="auto"/>
              </w:rPr>
            </w:pPr>
          </w:p>
        </w:tc>
      </w:tr>
      <w:tr>
        <w:trPr>
          <w:trHeight w:val="27"/>
        </w:trPr>
        <w:tc>
          <w:tcPr>
            <w:tcW w:w="2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2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2,322</w:t>
            </w:r>
          </w:p>
        </w:tc>
        <w:tc>
          <w:tcPr>
            <w:tcW w:w="0" w:type="dxa"/>
            <w:vAlign w:val="bottom"/>
          </w:tcPr>
          <w:p>
            <w:pPr>
              <w:spacing w:after="0"/>
              <w:rPr>
                <w:sz w:val="1"/>
                <w:szCs w:val="1"/>
                <w:color w:val="auto"/>
              </w:rPr>
            </w:pPr>
          </w:p>
        </w:tc>
      </w:tr>
      <w:tr>
        <w:trPr>
          <w:trHeight w:val="27"/>
        </w:trPr>
        <w:tc>
          <w:tcPr>
            <w:tcW w:w="2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2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7"/>
        </w:trPr>
        <w:tc>
          <w:tcPr>
            <w:tcW w:w="220" w:type="dxa"/>
            <w:vAlign w:val="bottom"/>
          </w:tcPr>
          <w:p>
            <w:pPr>
              <w:spacing w:after="0"/>
              <w:rPr>
                <w:sz w:val="2"/>
                <w:szCs w:val="2"/>
                <w:color w:val="auto"/>
              </w:rPr>
            </w:pPr>
          </w:p>
        </w:tc>
        <w:tc>
          <w:tcPr>
            <w:tcW w:w="1500" w:type="dxa"/>
            <w:vAlign w:val="bottom"/>
            <w:gridSpan w:val="2"/>
            <w:vMerge w:val="restart"/>
          </w:tcPr>
          <w:p>
            <w:pPr>
              <w:jc w:val="center"/>
              <w:ind w:right="320"/>
              <w:spacing w:after="0"/>
              <w:rPr>
                <w:sz w:val="20"/>
                <w:szCs w:val="20"/>
                <w:color w:val="auto"/>
              </w:rPr>
            </w:pPr>
            <w:r>
              <w:rPr>
                <w:rFonts w:ascii="Times New Roman" w:cs="Times New Roman" w:eastAsia="Times New Roman" w:hAnsi="Times New Roman"/>
                <w:sz w:val="14"/>
                <w:szCs w:val="14"/>
                <w:b w:val="1"/>
                <w:bCs w:val="1"/>
                <w:color w:val="auto"/>
              </w:rPr>
              <w:t>Unrealized Gain</w:t>
            </w:r>
          </w:p>
        </w:tc>
        <w:tc>
          <w:tcPr>
            <w:tcW w:w="180" w:type="dxa"/>
            <w:vAlign w:val="bottom"/>
          </w:tcPr>
          <w:p>
            <w:pPr>
              <w:spacing w:after="0"/>
              <w:rPr>
                <w:sz w:val="2"/>
                <w:szCs w:val="2"/>
                <w:color w:val="auto"/>
              </w:rPr>
            </w:pPr>
          </w:p>
        </w:tc>
        <w:tc>
          <w:tcPr>
            <w:tcW w:w="1400" w:type="dxa"/>
            <w:vAlign w:val="bottom"/>
            <w:gridSpan w:val="2"/>
            <w:vMerge w:val="restart"/>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rPr>
              <w:t>Unrealized Gain</w:t>
            </w: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220" w:type="dxa"/>
            <w:vAlign w:val="bottom"/>
          </w:tcPr>
          <w:p>
            <w:pPr>
              <w:spacing w:after="0" w:line="20" w:lineRule="exact"/>
              <w:rPr>
                <w:sz w:val="1"/>
                <w:szCs w:val="1"/>
                <w:color w:val="auto"/>
              </w:rPr>
            </w:pPr>
          </w:p>
        </w:tc>
        <w:tc>
          <w:tcPr>
            <w:tcW w:w="1500" w:type="dxa"/>
            <w:vAlign w:val="bottom"/>
            <w:gridSpan w:val="2"/>
            <w:vMerge w:val="continu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0" w:type="dxa"/>
            <w:vAlign w:val="bottom"/>
            <w:gridSpan w:val="2"/>
            <w:vMerge w:val="continu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6"/>
        </w:trPr>
        <w:tc>
          <w:tcPr>
            <w:tcW w:w="220" w:type="dxa"/>
            <w:vAlign w:val="bottom"/>
          </w:tcPr>
          <w:p>
            <w:pPr>
              <w:spacing w:after="0"/>
              <w:rPr>
                <w:sz w:val="23"/>
                <w:szCs w:val="23"/>
                <w:color w:val="auto"/>
              </w:rPr>
            </w:pPr>
          </w:p>
        </w:tc>
        <w:tc>
          <w:tcPr>
            <w:tcW w:w="1500" w:type="dxa"/>
            <w:vAlign w:val="bottom"/>
            <w:gridSpan w:val="2"/>
            <w:vMerge w:val="continue"/>
          </w:tcPr>
          <w:p>
            <w:pPr>
              <w:spacing w:after="0"/>
              <w:rPr>
                <w:sz w:val="23"/>
                <w:szCs w:val="23"/>
                <w:color w:val="auto"/>
              </w:rPr>
            </w:pPr>
          </w:p>
        </w:tc>
        <w:tc>
          <w:tcPr>
            <w:tcW w:w="180" w:type="dxa"/>
            <w:vAlign w:val="bottom"/>
          </w:tcPr>
          <w:p>
            <w:pPr>
              <w:spacing w:after="0"/>
              <w:rPr>
                <w:sz w:val="23"/>
                <w:szCs w:val="23"/>
                <w:color w:val="auto"/>
              </w:rPr>
            </w:pPr>
          </w:p>
        </w:tc>
        <w:tc>
          <w:tcPr>
            <w:tcW w:w="1400" w:type="dxa"/>
            <w:vAlign w:val="bottom"/>
            <w:gridSpan w:val="2"/>
            <w:vMerge w:val="continue"/>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49"/>
        </w:trPr>
        <w:tc>
          <w:tcPr>
            <w:tcW w:w="220" w:type="dxa"/>
            <w:vAlign w:val="bottom"/>
          </w:tcPr>
          <w:p>
            <w:pPr>
              <w:spacing w:after="0"/>
              <w:rPr>
                <w:sz w:val="12"/>
                <w:szCs w:val="12"/>
                <w:color w:val="auto"/>
              </w:rPr>
            </w:pPr>
          </w:p>
        </w:tc>
        <w:tc>
          <w:tcPr>
            <w:tcW w:w="1500" w:type="dxa"/>
            <w:vAlign w:val="bottom"/>
            <w:gridSpan w:val="2"/>
          </w:tcPr>
          <w:p>
            <w:pPr>
              <w:jc w:val="center"/>
              <w:ind w:right="320"/>
              <w:spacing w:after="0" w:line="149" w:lineRule="exact"/>
              <w:rPr>
                <w:sz w:val="20"/>
                <w:szCs w:val="20"/>
                <w:color w:val="auto"/>
              </w:rPr>
            </w:pPr>
            <w:r>
              <w:rPr>
                <w:rFonts w:ascii="Times New Roman" w:cs="Times New Roman" w:eastAsia="Times New Roman" w:hAnsi="Times New Roman"/>
                <w:sz w:val="14"/>
                <w:szCs w:val="14"/>
                <w:b w:val="1"/>
                <w:bCs w:val="1"/>
                <w:color w:val="auto"/>
              </w:rPr>
              <w:t>(Loss) on</w:t>
            </w:r>
          </w:p>
        </w:tc>
        <w:tc>
          <w:tcPr>
            <w:tcW w:w="180" w:type="dxa"/>
            <w:vAlign w:val="bottom"/>
          </w:tcPr>
          <w:p>
            <w:pPr>
              <w:spacing w:after="0"/>
              <w:rPr>
                <w:sz w:val="12"/>
                <w:szCs w:val="12"/>
                <w:color w:val="auto"/>
              </w:rPr>
            </w:pPr>
          </w:p>
        </w:tc>
        <w:tc>
          <w:tcPr>
            <w:tcW w:w="140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20" w:type="dxa"/>
            <w:vAlign w:val="bottom"/>
          </w:tcPr>
          <w:p>
            <w:pPr>
              <w:spacing w:after="0"/>
              <w:rPr>
                <w:sz w:val="12"/>
                <w:szCs w:val="12"/>
                <w:color w:val="auto"/>
              </w:rPr>
            </w:pPr>
          </w:p>
        </w:tc>
        <w:tc>
          <w:tcPr>
            <w:tcW w:w="1500" w:type="dxa"/>
            <w:vAlign w:val="bottom"/>
            <w:gridSpan w:val="2"/>
          </w:tcPr>
          <w:p>
            <w:pPr>
              <w:jc w:val="center"/>
              <w:ind w:right="340"/>
              <w:spacing w:after="0" w:line="149" w:lineRule="exact"/>
              <w:rPr>
                <w:sz w:val="20"/>
                <w:szCs w:val="20"/>
                <w:color w:val="auto"/>
              </w:rPr>
            </w:pPr>
            <w:r>
              <w:rPr>
                <w:rFonts w:ascii="Times New Roman" w:cs="Times New Roman" w:eastAsia="Times New Roman" w:hAnsi="Times New Roman"/>
                <w:sz w:val="14"/>
                <w:szCs w:val="14"/>
                <w:b w:val="1"/>
                <w:bCs w:val="1"/>
                <w:color w:val="auto"/>
              </w:rPr>
              <w:t>Marketable</w:t>
            </w:r>
          </w:p>
        </w:tc>
        <w:tc>
          <w:tcPr>
            <w:tcW w:w="180" w:type="dxa"/>
            <w:vAlign w:val="bottom"/>
          </w:tcPr>
          <w:p>
            <w:pPr>
              <w:spacing w:after="0"/>
              <w:rPr>
                <w:sz w:val="12"/>
                <w:szCs w:val="12"/>
                <w:color w:val="auto"/>
              </w:rPr>
            </w:pPr>
          </w:p>
        </w:tc>
        <w:tc>
          <w:tcPr>
            <w:tcW w:w="1400" w:type="dxa"/>
            <w:vAlign w:val="bottom"/>
            <w:gridSpan w:val="2"/>
          </w:tcPr>
          <w:p>
            <w:pPr>
              <w:jc w:val="center"/>
              <w:ind w:right="280"/>
              <w:spacing w:after="0" w:line="149" w:lineRule="exact"/>
              <w:rPr>
                <w:sz w:val="20"/>
                <w:szCs w:val="20"/>
                <w:color w:val="auto"/>
              </w:rPr>
            </w:pPr>
            <w:r>
              <w:rPr>
                <w:rFonts w:ascii="Times New Roman" w:cs="Times New Roman" w:eastAsia="Times New Roman" w:hAnsi="Times New Roman"/>
                <w:sz w:val="14"/>
                <w:szCs w:val="14"/>
                <w:b w:val="1"/>
                <w:bCs w:val="1"/>
                <w:color w:val="auto"/>
              </w:rPr>
              <w:t>(Loss) on Cash</w:t>
            </w:r>
          </w:p>
        </w:tc>
        <w:tc>
          <w:tcPr>
            <w:tcW w:w="1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80" w:type="dxa"/>
            <w:vAlign w:val="bottom"/>
            <w:vMerge w:val="restart"/>
          </w:tcPr>
          <w:p>
            <w:pPr>
              <w:jc w:val="right"/>
              <w:ind w:right="492"/>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195"/>
        </w:trPr>
        <w:tc>
          <w:tcPr>
            <w:tcW w:w="220" w:type="dxa"/>
            <w:vAlign w:val="bottom"/>
          </w:tcPr>
          <w:p>
            <w:pPr>
              <w:spacing w:after="0"/>
              <w:rPr>
                <w:sz w:val="16"/>
                <w:szCs w:val="16"/>
                <w:color w:val="auto"/>
              </w:rPr>
            </w:pPr>
          </w:p>
        </w:tc>
        <w:tc>
          <w:tcPr>
            <w:tcW w:w="1500" w:type="dxa"/>
            <w:vAlign w:val="bottom"/>
            <w:gridSpan w:val="2"/>
          </w:tcPr>
          <w:p>
            <w:pPr>
              <w:jc w:val="center"/>
              <w:ind w:right="320"/>
              <w:spacing w:after="0"/>
              <w:rPr>
                <w:sz w:val="20"/>
                <w:szCs w:val="20"/>
                <w:color w:val="auto"/>
              </w:rPr>
            </w:pPr>
            <w:r>
              <w:rPr>
                <w:rFonts w:ascii="Times New Roman" w:cs="Times New Roman" w:eastAsia="Times New Roman" w:hAnsi="Times New Roman"/>
                <w:sz w:val="14"/>
                <w:szCs w:val="14"/>
                <w:b w:val="1"/>
                <w:bCs w:val="1"/>
                <w:color w:val="auto"/>
              </w:rPr>
              <w:t>Securities (1)</w:t>
            </w:r>
          </w:p>
        </w:tc>
        <w:tc>
          <w:tcPr>
            <w:tcW w:w="180" w:type="dxa"/>
            <w:vAlign w:val="bottom"/>
          </w:tcPr>
          <w:p>
            <w:pPr>
              <w:spacing w:after="0"/>
              <w:rPr>
                <w:sz w:val="16"/>
                <w:szCs w:val="16"/>
                <w:color w:val="auto"/>
              </w:rPr>
            </w:pPr>
          </w:p>
        </w:tc>
        <w:tc>
          <w:tcPr>
            <w:tcW w:w="1400" w:type="dxa"/>
            <w:vAlign w:val="bottom"/>
            <w:gridSpan w:val="2"/>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rPr>
              <w:t>Flow Hedges (2)</w:t>
            </w:r>
          </w:p>
        </w:tc>
        <w:tc>
          <w:tcPr>
            <w:tcW w:w="1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2"/>
        </w:trPr>
        <w:tc>
          <w:tcPr>
            <w:tcW w:w="220" w:type="dxa"/>
            <w:vAlign w:val="bottom"/>
            <w:tcBorders>
              <w:top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(801)</w:t>
            </w:r>
          </w:p>
        </w:tc>
        <w:tc>
          <w:tcPr>
            <w:tcW w:w="100" w:type="dxa"/>
            <w:vAlign w:val="bottom"/>
          </w:tcPr>
          <w:p>
            <w:pPr>
              <w:spacing w:after="0"/>
              <w:rPr>
                <w:sz w:val="21"/>
                <w:szCs w:val="21"/>
                <w:color w:val="auto"/>
              </w:rPr>
            </w:pPr>
          </w:p>
        </w:tc>
        <w:tc>
          <w:tcPr>
            <w:tcW w:w="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top w:val="single" w:sz="8" w:color="auto"/>
            </w:tcBorders>
          </w:tcPr>
          <w:p>
            <w:pPr>
              <w:jc w:val="right"/>
              <w:ind w:right="19"/>
              <w:spacing w:after="0"/>
              <w:rPr>
                <w:sz w:val="20"/>
                <w:szCs w:val="20"/>
                <w:color w:val="auto"/>
              </w:rPr>
            </w:pPr>
            <w:r>
              <w:rPr>
                <w:rFonts w:ascii="Times New Roman" w:cs="Times New Roman" w:eastAsia="Times New Roman" w:hAnsi="Times New Roman"/>
                <w:sz w:val="18"/>
                <w:szCs w:val="18"/>
                <w:color w:val="auto"/>
              </w:rPr>
              <w:t>824</w:t>
            </w:r>
          </w:p>
        </w:tc>
        <w:tc>
          <w:tcPr>
            <w:tcW w:w="100" w:type="dxa"/>
            <w:vAlign w:val="bottom"/>
          </w:tcPr>
          <w:p>
            <w:pPr>
              <w:spacing w:after="0"/>
              <w:rPr>
                <w:sz w:val="21"/>
                <w:szCs w:val="21"/>
                <w:color w:val="auto"/>
              </w:rPr>
            </w:pPr>
          </w:p>
        </w:tc>
        <w:tc>
          <w:tcPr>
            <w:tcW w:w="400" w:type="dxa"/>
            <w:vAlign w:val="bottom"/>
            <w:tcBorders>
              <w:top w:val="single" w:sz="8" w:color="auto"/>
            </w:tcBorders>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top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23</w:t>
            </w:r>
          </w:p>
        </w:tc>
        <w:tc>
          <w:tcPr>
            <w:tcW w:w="0" w:type="dxa"/>
            <w:vAlign w:val="bottom"/>
          </w:tcPr>
          <w:p>
            <w:pPr>
              <w:spacing w:after="0"/>
              <w:rPr>
                <w:sz w:val="1"/>
                <w:szCs w:val="1"/>
                <w:color w:val="auto"/>
              </w:rPr>
            </w:pPr>
          </w:p>
        </w:tc>
      </w:tr>
      <w:tr>
        <w:trPr>
          <w:trHeight w:val="270"/>
        </w:trPr>
        <w:tc>
          <w:tcPr>
            <w:tcW w:w="220" w:type="dxa"/>
            <w:vAlign w:val="bottom"/>
          </w:tcPr>
          <w:p>
            <w:pPr>
              <w:spacing w:after="0"/>
              <w:rPr>
                <w:sz w:val="23"/>
                <w:szCs w:val="23"/>
                <w:color w:val="auto"/>
              </w:rPr>
            </w:pPr>
          </w:p>
        </w:tc>
        <w:tc>
          <w:tcPr>
            <w:tcW w:w="1400" w:type="dxa"/>
            <w:vAlign w:val="bottom"/>
          </w:tcPr>
          <w:p>
            <w:pPr>
              <w:jc w:val="right"/>
              <w:ind w:right="20"/>
              <w:spacing w:after="0"/>
              <w:rPr>
                <w:sz w:val="20"/>
                <w:szCs w:val="20"/>
                <w:color w:val="auto"/>
              </w:rPr>
            </w:pPr>
            <w:r>
              <w:rPr>
                <w:rFonts w:ascii="Times New Roman" w:cs="Times New Roman" w:eastAsia="Times New Roman" w:hAnsi="Times New Roman"/>
                <w:sz w:val="18"/>
                <w:szCs w:val="18"/>
                <w:color w:val="auto"/>
              </w:rPr>
              <w:t>653</w:t>
            </w: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30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2,341</w:t>
            </w: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2,994</w:t>
            </w:r>
          </w:p>
        </w:tc>
        <w:tc>
          <w:tcPr>
            <w:tcW w:w="0" w:type="dxa"/>
            <w:vAlign w:val="bottom"/>
          </w:tcPr>
          <w:p>
            <w:pPr>
              <w:spacing w:after="0"/>
              <w:rPr>
                <w:sz w:val="1"/>
                <w:szCs w:val="1"/>
                <w:color w:val="auto"/>
              </w:rPr>
            </w:pPr>
          </w:p>
        </w:tc>
      </w:tr>
      <w:tr>
        <w:trPr>
          <w:trHeight w:val="270"/>
        </w:trPr>
        <w:tc>
          <w:tcPr>
            <w:tcW w:w="220" w:type="dxa"/>
            <w:vAlign w:val="bottom"/>
          </w:tcPr>
          <w:p>
            <w:pPr>
              <w:spacing w:after="0"/>
              <w:rPr>
                <w:sz w:val="23"/>
                <w:szCs w:val="23"/>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w:t>
            </w: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(3,164)</w:t>
            </w: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(3,209)</w:t>
            </w:r>
          </w:p>
        </w:tc>
        <w:tc>
          <w:tcPr>
            <w:tcW w:w="0" w:type="dxa"/>
            <w:vAlign w:val="bottom"/>
          </w:tcPr>
          <w:p>
            <w:pPr>
              <w:spacing w:after="0"/>
              <w:rPr>
                <w:sz w:val="1"/>
                <w:szCs w:val="1"/>
                <w:color w:val="auto"/>
              </w:rPr>
            </w:pPr>
          </w:p>
        </w:tc>
      </w:tr>
    </w:tbl>
    <w:p>
      <w:pPr>
        <w:spacing w:after="0" w:line="7" w:lineRule="exact"/>
        <w:rPr>
          <w:sz w:val="20"/>
          <w:szCs w:val="20"/>
          <w:color w:val="auto"/>
        </w:rPr>
      </w:pPr>
    </w:p>
    <w:p>
      <w:pPr>
        <w:sectPr>
          <w:pgSz w:w="11900" w:h="16838" w:orient="portrait"/>
          <w:cols w:equalWidth="0" w:num="2">
            <w:col w:w="5920" w:space="720"/>
            <w:col w:w="4780"/>
          </w:cols>
          <w:pgMar w:left="240" w:top="126" w:right="239" w:bottom="1440" w:gutter="0" w:footer="0" w:header="0"/>
          <w:type w:val="continuous"/>
        </w:sectPr>
      </w:pPr>
    </w:p>
    <w:tbl>
      <w:tblPr>
        <w:tblLayout w:type="fixed"/>
        <w:tblInd w:w="0" w:type="dxa"/>
        <w:tblCellMar>
          <w:top w:w="0" w:type="dxa"/>
          <w:left w:w="0" w:type="dxa"/>
          <w:bottom w:w="0" w:type="dxa"/>
          <w:right w:w="0" w:type="dxa"/>
        </w:tblCellMar>
      </w:tblPr>
      <w:tr>
        <w:trPr>
          <w:trHeight w:val="257"/>
        </w:trPr>
        <w:tc>
          <w:tcPr>
            <w:tcW w:w="66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Net current-period other comprehensive income (loss), net of tax</w:t>
            </w:r>
          </w:p>
        </w:tc>
        <w:tc>
          <w:tcPr>
            <w:tcW w:w="640" w:type="dxa"/>
            <w:vAlign w:val="bottom"/>
            <w:tcBorders>
              <w:top w:val="single" w:sz="8" w:color="auto"/>
            </w:tcBorders>
          </w:tcPr>
          <w:p>
            <w:pPr>
              <w:spacing w:after="0"/>
              <w:rPr>
                <w:sz w:val="22"/>
                <w:szCs w:val="22"/>
                <w:color w:val="auto"/>
              </w:rPr>
            </w:pPr>
          </w:p>
        </w:tc>
        <w:tc>
          <w:tcPr>
            <w:tcW w:w="980" w:type="dxa"/>
            <w:vAlign w:val="bottom"/>
            <w:tcBorders>
              <w:top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608</w:t>
            </w:r>
          </w:p>
        </w:tc>
        <w:tc>
          <w:tcPr>
            <w:tcW w:w="100" w:type="dxa"/>
            <w:vAlign w:val="bottom"/>
          </w:tcPr>
          <w:p>
            <w:pPr>
              <w:spacing w:after="0"/>
              <w:rPr>
                <w:sz w:val="22"/>
                <w:szCs w:val="22"/>
                <w:color w:val="auto"/>
              </w:rPr>
            </w:pPr>
          </w:p>
        </w:tc>
        <w:tc>
          <w:tcPr>
            <w:tcW w:w="580" w:type="dxa"/>
            <w:vAlign w:val="bottom"/>
            <w:tcBorders>
              <w:top w:val="single" w:sz="8" w:color="auto"/>
            </w:tcBorders>
          </w:tcPr>
          <w:p>
            <w:pPr>
              <w:spacing w:after="0"/>
              <w:rPr>
                <w:sz w:val="22"/>
                <w:szCs w:val="22"/>
                <w:color w:val="auto"/>
              </w:rPr>
            </w:pPr>
          </w:p>
        </w:tc>
        <w:tc>
          <w:tcPr>
            <w:tcW w:w="9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(823)</w:t>
            </w:r>
          </w:p>
        </w:tc>
        <w:tc>
          <w:tcPr>
            <w:tcW w:w="100" w:type="dxa"/>
            <w:vAlign w:val="bottom"/>
          </w:tcPr>
          <w:p>
            <w:pPr>
              <w:spacing w:after="0"/>
              <w:rPr>
                <w:sz w:val="22"/>
                <w:szCs w:val="22"/>
                <w:color w:val="auto"/>
              </w:rPr>
            </w:pPr>
          </w:p>
        </w:tc>
        <w:tc>
          <w:tcPr>
            <w:tcW w:w="580" w:type="dxa"/>
            <w:vAlign w:val="bottom"/>
            <w:tcBorders>
              <w:top w:val="single" w:sz="8" w:color="auto"/>
            </w:tcBorders>
          </w:tcPr>
          <w:p>
            <w:pPr>
              <w:spacing w:after="0"/>
              <w:rPr>
                <w:sz w:val="22"/>
                <w:szCs w:val="22"/>
                <w:color w:val="auto"/>
              </w:rPr>
            </w:pPr>
          </w:p>
        </w:tc>
        <w:tc>
          <w:tcPr>
            <w:tcW w:w="9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(215)</w:t>
            </w:r>
          </w:p>
        </w:tc>
      </w:tr>
      <w:tr>
        <w:trPr>
          <w:trHeight w:val="27"/>
        </w:trPr>
        <w:tc>
          <w:tcPr>
            <w:tcW w:w="6640" w:type="dxa"/>
            <w:vAlign w:val="bottom"/>
            <w:tcBorders>
              <w:bottom w:val="single" w:sz="8" w:color="CCEEFF"/>
            </w:tcBorders>
          </w:tcPr>
          <w:p>
            <w:pPr>
              <w:spacing w:after="0"/>
              <w:rPr>
                <w:sz w:val="2"/>
                <w:szCs w:val="2"/>
                <w:color w:val="auto"/>
              </w:rPr>
            </w:pPr>
          </w:p>
        </w:tc>
        <w:tc>
          <w:tcPr>
            <w:tcW w:w="6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r>
      <w:tr>
        <w:trPr>
          <w:trHeight w:val="269"/>
        </w:trPr>
        <w:tc>
          <w:tcPr>
            <w:tcW w:w="66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Balance at October 28, 2017</w:t>
            </w:r>
          </w:p>
        </w:tc>
        <w:tc>
          <w:tcPr>
            <w:tcW w:w="640" w:type="dxa"/>
            <w:vAlign w:val="bottom"/>
            <w:tcBorders>
              <w:bottom w:val="single" w:sz="8" w:color="CCEEFF"/>
            </w:tcBorders>
            <w:shd w:val="clear" w:color="auto" w:fill="CCEEFF"/>
          </w:tcPr>
          <w:p>
            <w:pPr>
              <w:jc w:val="right"/>
              <w:ind w:right="430"/>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(193)</w:t>
            </w:r>
          </w:p>
        </w:tc>
        <w:tc>
          <w:tcPr>
            <w:tcW w:w="100" w:type="dxa"/>
            <w:vAlign w:val="bottom"/>
            <w:tcBorders>
              <w:bottom w:val="single" w:sz="8" w:color="CCEEFF"/>
            </w:tcBorders>
            <w:shd w:val="clear" w:color="auto" w:fill="CCEEFF"/>
          </w:tcPr>
          <w:p>
            <w:pPr>
              <w:spacing w:after="0"/>
              <w:rPr>
                <w:sz w:val="22"/>
                <w:szCs w:val="22"/>
                <w:color w:val="auto"/>
              </w:rPr>
            </w:pPr>
          </w:p>
        </w:tc>
        <w:tc>
          <w:tcPr>
            <w:tcW w:w="580" w:type="dxa"/>
            <w:vAlign w:val="bottom"/>
            <w:tcBorders>
              <w:bottom w:val="single" w:sz="8" w:color="CCEEFF"/>
            </w:tcBorders>
            <w:shd w:val="clear" w:color="auto" w:fill="CCEEFF"/>
          </w:tcPr>
          <w:p>
            <w:pPr>
              <w:jc w:val="right"/>
              <w:ind w:right="370"/>
              <w:spacing w:after="0"/>
              <w:rPr>
                <w:sz w:val="20"/>
                <w:szCs w:val="20"/>
                <w:color w:val="auto"/>
              </w:rPr>
            </w:pPr>
            <w:r>
              <w:rPr>
                <w:rFonts w:ascii="Times New Roman" w:cs="Times New Roman" w:eastAsia="Times New Roman" w:hAnsi="Times New Roman"/>
                <w:sz w:val="18"/>
                <w:szCs w:val="18"/>
                <w:color w:val="auto"/>
              </w:rPr>
              <w:t>$</w:t>
            </w:r>
          </w:p>
        </w:tc>
        <w:tc>
          <w:tcPr>
            <w:tcW w:w="90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w:t>
            </w:r>
          </w:p>
        </w:tc>
        <w:tc>
          <w:tcPr>
            <w:tcW w:w="100" w:type="dxa"/>
            <w:vAlign w:val="bottom"/>
            <w:tcBorders>
              <w:bottom w:val="single" w:sz="8" w:color="CCEEFF"/>
            </w:tcBorders>
            <w:shd w:val="clear" w:color="auto" w:fill="CCEEFF"/>
          </w:tcPr>
          <w:p>
            <w:pPr>
              <w:spacing w:after="0"/>
              <w:rPr>
                <w:sz w:val="22"/>
                <w:szCs w:val="22"/>
                <w:color w:val="auto"/>
              </w:rPr>
            </w:pPr>
          </w:p>
        </w:tc>
        <w:tc>
          <w:tcPr>
            <w:tcW w:w="580" w:type="dxa"/>
            <w:vAlign w:val="bottom"/>
            <w:tcBorders>
              <w:bottom w:val="single" w:sz="8" w:color="CCEEFF"/>
            </w:tcBorders>
            <w:shd w:val="clear" w:color="auto" w:fill="CCEEFF"/>
          </w:tcPr>
          <w:p>
            <w:pPr>
              <w:jc w:val="right"/>
              <w:ind w:right="370"/>
              <w:spacing w:after="0"/>
              <w:rPr>
                <w:sz w:val="20"/>
                <w:szCs w:val="20"/>
                <w:color w:val="auto"/>
              </w:rPr>
            </w:pPr>
            <w:r>
              <w:rPr>
                <w:rFonts w:ascii="Times New Roman" w:cs="Times New Roman" w:eastAsia="Times New Roman" w:hAnsi="Times New Roman"/>
                <w:sz w:val="18"/>
                <w:szCs w:val="18"/>
                <w:color w:val="auto"/>
              </w:rPr>
              <w:t>$</w:t>
            </w:r>
          </w:p>
        </w:tc>
        <w:tc>
          <w:tcPr>
            <w:tcW w:w="9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(192)</w:t>
            </w:r>
          </w:p>
        </w:tc>
      </w:tr>
      <w:tr>
        <w:trPr>
          <w:trHeight w:val="20"/>
        </w:trPr>
        <w:tc>
          <w:tcPr>
            <w:tcW w:w="6640" w:type="dxa"/>
            <w:vAlign w:val="bottom"/>
            <w:tcBorders>
              <w:top w:val="single" w:sz="8" w:color="CCEEFF"/>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r>
    </w:tbl>
    <w:p>
      <w:pPr>
        <w:spacing w:after="0" w:line="36" w:lineRule="exact"/>
        <w:rPr>
          <w:sz w:val="20"/>
          <w:szCs w:val="20"/>
          <w:color w:val="auto"/>
        </w:rPr>
      </w:pPr>
    </w:p>
    <w:p>
      <w:pPr>
        <w:ind w:right="120" w:firstLine="8"/>
        <w:spacing w:after="0" w:line="281" w:lineRule="auto"/>
        <w:tabs>
          <w:tab w:leader="none" w:pos="255"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amounts of gains (losses) associated with the Company's marketable securities reclassified from accumulated other comprehensive income (loss) are recorded in interest and other income, net.</w:t>
      </w:r>
    </w:p>
    <w:p>
      <w:pPr>
        <w:spacing w:after="0" w:line="1" w:lineRule="exact"/>
        <w:rPr>
          <w:rFonts w:ascii="Times New Roman" w:cs="Times New Roman" w:eastAsia="Times New Roman" w:hAnsi="Times New Roman"/>
          <w:sz w:val="18"/>
          <w:szCs w:val="18"/>
          <w:color w:val="auto"/>
        </w:rPr>
      </w:pPr>
    </w:p>
    <w:p>
      <w:pPr>
        <w:ind w:right="80" w:firstLine="8"/>
        <w:spacing w:after="0" w:line="266" w:lineRule="auto"/>
        <w:tabs>
          <w:tab w:leader="none" w:pos="255"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amounts of gains (losses) associated with the Company's derivative financial instruments reclassified from accumulated other comprehensive income (loss) are recorded in operating expenses. See "Note 8- Derivative Financial Instruments" for additional information on the affected line items in the condensed consolidated statements of operations.</w:t>
      </w:r>
    </w:p>
    <w:p>
      <w:pPr>
        <w:spacing w:after="0" w:line="33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Share Repurchase Program</w:t>
      </w:r>
    </w:p>
    <w:p>
      <w:pPr>
        <w:spacing w:after="0" w:line="94" w:lineRule="exact"/>
        <w:rPr>
          <w:sz w:val="20"/>
          <w:szCs w:val="20"/>
          <w:color w:val="auto"/>
        </w:rPr>
      </w:pPr>
    </w:p>
    <w:p>
      <w:pPr>
        <w:ind w:right="40" w:firstLine="405"/>
        <w:spacing w:after="0" w:line="258" w:lineRule="auto"/>
        <w:rPr>
          <w:sz w:val="20"/>
          <w:szCs w:val="20"/>
          <w:color w:val="auto"/>
        </w:rPr>
      </w:pPr>
      <w:r>
        <w:rPr>
          <w:rFonts w:ascii="Times New Roman" w:cs="Times New Roman" w:eastAsia="Times New Roman" w:hAnsi="Times New Roman"/>
          <w:sz w:val="18"/>
          <w:szCs w:val="18"/>
          <w:color w:val="auto"/>
        </w:rPr>
        <w:t>On October 16, 2018, the Company announced that its Board of Directors authorized a $700 million addition to the balance of its existing share repurchase plan. As of November 3, 2018, there was $1.0 billion remaining available for future share repurchases. Under the program authorized by its Board of Directors, the Company may repurchase shares in the open-market or through privately negotiated transactions. The extent to which the Company repurchases its shares and the timing of such repurchases will depend upon market conditions and other corporate considerations, as determined by the Company's management team. The repurchase program may be suspended or discontinued at any time.</w:t>
      </w:r>
    </w:p>
    <w:p>
      <w:pPr>
        <w:spacing w:after="0" w:line="130" w:lineRule="exact"/>
        <w:rPr>
          <w:sz w:val="20"/>
          <w:szCs w:val="20"/>
          <w:color w:val="auto"/>
        </w:rPr>
      </w:pPr>
    </w:p>
    <w:p>
      <w:pPr>
        <w:ind w:firstLine="405"/>
        <w:spacing w:after="0" w:line="266" w:lineRule="auto"/>
        <w:rPr>
          <w:sz w:val="20"/>
          <w:szCs w:val="20"/>
          <w:color w:val="auto"/>
        </w:rPr>
      </w:pPr>
      <w:r>
        <w:rPr>
          <w:rFonts w:ascii="Times New Roman" w:cs="Times New Roman" w:eastAsia="Times New Roman" w:hAnsi="Times New Roman"/>
          <w:sz w:val="18"/>
          <w:szCs w:val="18"/>
          <w:color w:val="auto"/>
        </w:rPr>
        <w:t>The Company repurchased 2.9 million of its common shares for $54.0 million during the nine months ended November 3, 2018. The Company repurchased 31.5 million shares for $527.6 million during the nine months ended October 28, 2017. The repurchased shares were retired immediately after the repurchases were completed.</w:t>
      </w:r>
    </w:p>
    <w:p>
      <w:pPr>
        <w:spacing w:after="0" w:line="122" w:lineRule="exact"/>
        <w:rPr>
          <w:sz w:val="20"/>
          <w:szCs w:val="20"/>
          <w:color w:val="auto"/>
        </w:rPr>
      </w:pPr>
    </w:p>
    <w:p>
      <w:pPr>
        <w:ind w:right="180" w:firstLine="405"/>
        <w:spacing w:after="0" w:line="282" w:lineRule="auto"/>
        <w:rPr>
          <w:sz w:val="20"/>
          <w:szCs w:val="20"/>
          <w:color w:val="auto"/>
        </w:rPr>
      </w:pPr>
      <w:r>
        <w:rPr>
          <w:rFonts w:ascii="Times New Roman" w:cs="Times New Roman" w:eastAsia="Times New Roman" w:hAnsi="Times New Roman"/>
          <w:sz w:val="18"/>
          <w:szCs w:val="18"/>
          <w:color w:val="auto"/>
        </w:rPr>
        <w:t>As of November 3, 2018, a total of 289.3 million shares have been repurchased to date under the Company’s share repurchase program for a total $3.8 billion in cash.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420"/>
          </w:cols>
          <w:pgMar w:left="240" w:top="126" w:right="239" w:bottom="1440" w:gutter="0" w:footer="0" w:header="0"/>
          <w:type w:val="continuous"/>
        </w:sectPr>
      </w:pPr>
    </w:p>
    <w:bookmarkStart w:id="16" w:name="page17"/>
    <w:bookmarkEnd w:id="16"/>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35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6. Restructuring and Other Related Charges</w:t>
      </w:r>
    </w:p>
    <w:p>
      <w:pPr>
        <w:spacing w:after="0" w:line="121" w:lineRule="exact"/>
        <w:rPr>
          <w:sz w:val="20"/>
          <w:szCs w:val="20"/>
          <w:color w:val="auto"/>
        </w:rPr>
      </w:pPr>
    </w:p>
    <w:p>
      <w:pPr>
        <w:ind w:right="20" w:firstLine="405"/>
        <w:spacing w:after="0" w:line="258" w:lineRule="auto"/>
        <w:rPr>
          <w:sz w:val="20"/>
          <w:szCs w:val="20"/>
          <w:color w:val="auto"/>
        </w:rPr>
      </w:pPr>
      <w:r>
        <w:rPr>
          <w:rFonts w:ascii="Times New Roman" w:cs="Times New Roman" w:eastAsia="Times New Roman" w:hAnsi="Times New Roman"/>
          <w:sz w:val="18"/>
          <w:szCs w:val="18"/>
          <w:color w:val="auto"/>
        </w:rPr>
        <w:t>The Company continuously evaluates its existing operations to increase operational efficiency, decrease costs and increase profitability. The Company recorded restructuring and other related charges of $27.0 million for the three months ended November 3, 2018. These restructuring costs consist of approximately $14.2 million in severance and related costs, $2.2 million in facilities and related costs, $0.7 million in other exit-related costs and $9.9 million in asset write off costs. The asset write off costs include $6.5 million of technology license impairment and $3.4 million from fixed asset write offs and accelerated depreciation expense as a result of facility consolidation. The Company expects to complete these restructuring actions by the end of fiscal 2020.</w:t>
      </w:r>
    </w:p>
    <w:p>
      <w:pPr>
        <w:spacing w:after="0" w:line="76" w:lineRule="exact"/>
        <w:rPr>
          <w:sz w:val="20"/>
          <w:szCs w:val="20"/>
          <w:color w:val="auto"/>
        </w:rPr>
      </w:pPr>
    </w:p>
    <w:p>
      <w:pPr>
        <w:jc w:val="both"/>
        <w:ind w:right="140" w:firstLine="405"/>
        <w:spacing w:after="0" w:line="261" w:lineRule="auto"/>
        <w:rPr>
          <w:sz w:val="20"/>
          <w:szCs w:val="20"/>
          <w:color w:val="auto"/>
        </w:rPr>
      </w:pPr>
      <w:r>
        <w:rPr>
          <w:rFonts w:ascii="Times New Roman" w:cs="Times New Roman" w:eastAsia="Times New Roman" w:hAnsi="Times New Roman"/>
          <w:sz w:val="18"/>
          <w:szCs w:val="18"/>
          <w:color w:val="auto"/>
        </w:rPr>
        <w:t>The Company recorded restructuring and other related charges of $64.0 million for the nine months ended November 3, 2018. These restructuring and other related charges consist of approximately $37.9 million in severance and related costs, $13.2 million in facilities and related costs, $1.0 million in other exit-related costs and $11.9 million in asset write off costs and accelerated depreciation expense. The accrued restructuring liability as of November 3, 2018 was $31.2 million.</w:t>
      </w:r>
    </w:p>
    <w:p>
      <w:pPr>
        <w:spacing w:after="0" w:line="72" w:lineRule="exact"/>
        <w:rPr>
          <w:sz w:val="20"/>
          <w:szCs w:val="20"/>
          <w:color w:val="auto"/>
        </w:rPr>
      </w:pPr>
    </w:p>
    <w:p>
      <w:pPr>
        <w:ind w:firstLine="432"/>
        <w:spacing w:after="0" w:line="282" w:lineRule="auto"/>
        <w:rPr>
          <w:sz w:val="20"/>
          <w:szCs w:val="20"/>
          <w:color w:val="auto"/>
        </w:rPr>
      </w:pPr>
      <w:r>
        <w:rPr>
          <w:rFonts w:ascii="Times New Roman" w:cs="Times New Roman" w:eastAsia="Times New Roman" w:hAnsi="Times New Roman"/>
          <w:sz w:val="18"/>
          <w:szCs w:val="18"/>
          <w:color w:val="auto"/>
        </w:rPr>
        <w:t>The following table sets forth a reconciliation of the beginning and ending restructuring liability balances by each major type of cost associated with the restructuring charges (in thousands):</w:t>
      </w:r>
    </w:p>
    <w:p>
      <w:pPr>
        <w:spacing w:after="0" w:line="197"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5580" w:type="dxa"/>
            <w:vAlign w:val="bottom"/>
          </w:tcPr>
          <w:p>
            <w:pPr>
              <w:spacing w:after="0"/>
              <w:rPr>
                <w:sz w:val="13"/>
                <w:szCs w:val="13"/>
                <w:color w:val="auto"/>
              </w:rPr>
            </w:pPr>
          </w:p>
        </w:tc>
        <w:tc>
          <w:tcPr>
            <w:tcW w:w="1700" w:type="dxa"/>
            <w:vAlign w:val="bottom"/>
            <w:gridSpan w:val="3"/>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Severance and related</w:t>
            </w:r>
          </w:p>
        </w:tc>
        <w:tc>
          <w:tcPr>
            <w:tcW w:w="180" w:type="dxa"/>
            <w:vAlign w:val="bottom"/>
          </w:tcPr>
          <w:p>
            <w:pPr>
              <w:spacing w:after="0"/>
              <w:rPr>
                <w:sz w:val="13"/>
                <w:szCs w:val="13"/>
                <w:color w:val="auto"/>
              </w:rPr>
            </w:pPr>
          </w:p>
        </w:tc>
        <w:tc>
          <w:tcPr>
            <w:tcW w:w="1180" w:type="dxa"/>
            <w:vAlign w:val="bottom"/>
            <w:gridSpan w:val="2"/>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rPr>
              <w:t>Facilities and</w:t>
            </w:r>
          </w:p>
        </w:tc>
        <w:tc>
          <w:tcPr>
            <w:tcW w:w="120" w:type="dxa"/>
            <w:vAlign w:val="bottom"/>
          </w:tcPr>
          <w:p>
            <w:pPr>
              <w:spacing w:after="0"/>
              <w:rPr>
                <w:sz w:val="13"/>
                <w:szCs w:val="13"/>
                <w:color w:val="auto"/>
              </w:rPr>
            </w:pPr>
          </w:p>
        </w:tc>
        <w:tc>
          <w:tcPr>
            <w:tcW w:w="136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Other exit-related</w:t>
            </w:r>
          </w:p>
        </w:tc>
        <w:tc>
          <w:tcPr>
            <w:tcW w:w="280" w:type="dxa"/>
            <w:vAlign w:val="bottom"/>
          </w:tcPr>
          <w:p>
            <w:pPr>
              <w:spacing w:after="0"/>
              <w:rPr>
                <w:sz w:val="13"/>
                <w:szCs w:val="13"/>
                <w:color w:val="auto"/>
              </w:rPr>
            </w:pPr>
          </w:p>
        </w:tc>
        <w:tc>
          <w:tcPr>
            <w:tcW w:w="960" w:type="dxa"/>
            <w:vAlign w:val="bottom"/>
            <w:vMerge w:val="restart"/>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195"/>
        </w:trPr>
        <w:tc>
          <w:tcPr>
            <w:tcW w:w="5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340" w:type="dxa"/>
            <w:vAlign w:val="bottom"/>
            <w:gridSpan w:val="2"/>
          </w:tcPr>
          <w:p>
            <w:pPr>
              <w:jc w:val="center"/>
              <w:ind w:right="560"/>
              <w:spacing w:after="0"/>
              <w:rPr>
                <w:sz w:val="20"/>
                <w:szCs w:val="20"/>
                <w:color w:val="auto"/>
              </w:rPr>
            </w:pPr>
            <w:r>
              <w:rPr>
                <w:rFonts w:ascii="Times New Roman" w:cs="Times New Roman" w:eastAsia="Times New Roman" w:hAnsi="Times New Roman"/>
                <w:sz w:val="14"/>
                <w:szCs w:val="14"/>
                <w:b w:val="1"/>
                <w:bCs w:val="1"/>
                <w:color w:val="auto"/>
              </w:rPr>
              <w:t>costs</w:t>
            </w:r>
          </w:p>
        </w:tc>
        <w:tc>
          <w:tcPr>
            <w:tcW w:w="180" w:type="dxa"/>
            <w:vAlign w:val="bottom"/>
          </w:tcPr>
          <w:p>
            <w:pPr>
              <w:spacing w:after="0"/>
              <w:rPr>
                <w:sz w:val="16"/>
                <w:szCs w:val="16"/>
                <w:color w:val="auto"/>
              </w:rPr>
            </w:pPr>
          </w:p>
        </w:tc>
        <w:tc>
          <w:tcPr>
            <w:tcW w:w="1180" w:type="dxa"/>
            <w:vAlign w:val="bottom"/>
            <w:gridSpan w:val="2"/>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rPr>
              <w:t>related costs</w:t>
            </w:r>
          </w:p>
        </w:tc>
        <w:tc>
          <w:tcPr>
            <w:tcW w:w="120" w:type="dxa"/>
            <w:vAlign w:val="bottom"/>
          </w:tcPr>
          <w:p>
            <w:pPr>
              <w:spacing w:after="0"/>
              <w:rPr>
                <w:sz w:val="16"/>
                <w:szCs w:val="16"/>
                <w:color w:val="auto"/>
              </w:rPr>
            </w:pPr>
          </w:p>
        </w:tc>
        <w:tc>
          <w:tcPr>
            <w:tcW w:w="136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w w:val="97"/>
              </w:rPr>
              <w:t>costs</w:t>
            </w:r>
          </w:p>
        </w:tc>
        <w:tc>
          <w:tcPr>
            <w:tcW w:w="280" w:type="dxa"/>
            <w:vAlign w:val="bottom"/>
          </w:tcPr>
          <w:p>
            <w:pPr>
              <w:spacing w:after="0"/>
              <w:rPr>
                <w:sz w:val="16"/>
                <w:szCs w:val="16"/>
                <w:color w:val="auto"/>
              </w:rPr>
            </w:pPr>
          </w:p>
        </w:tc>
        <w:tc>
          <w:tcPr>
            <w:tcW w:w="9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9"/>
        </w:trPr>
        <w:tc>
          <w:tcPr>
            <w:tcW w:w="55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Balance at February 3, 2018</w:t>
            </w:r>
          </w:p>
        </w:tc>
        <w:tc>
          <w:tcPr>
            <w:tcW w:w="360" w:type="dxa"/>
            <w:vAlign w:val="bottom"/>
            <w:tcBorders>
              <w:top w:val="single" w:sz="8" w:color="auto"/>
              <w:bottom w:val="single" w:sz="8" w:color="CCEEFF"/>
            </w:tcBorders>
            <w:shd w:val="clear" w:color="auto" w:fill="CCEEFF"/>
          </w:tcPr>
          <w:p>
            <w:pPr>
              <w:jc w:val="right"/>
              <w:ind w:right="174"/>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654</w:t>
            </w: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top w:val="single" w:sz="8" w:color="auto"/>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462</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555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1,671</w:t>
            </w:r>
          </w:p>
        </w:tc>
        <w:tc>
          <w:tcPr>
            <w:tcW w:w="0" w:type="dxa"/>
            <w:vAlign w:val="bottom"/>
          </w:tcPr>
          <w:p>
            <w:pPr>
              <w:spacing w:after="0"/>
              <w:rPr>
                <w:sz w:val="1"/>
                <w:szCs w:val="1"/>
                <w:color w:val="auto"/>
              </w:rPr>
            </w:pPr>
          </w:p>
        </w:tc>
      </w:tr>
      <w:tr>
        <w:trPr>
          <w:trHeight w:val="243"/>
        </w:trPr>
        <w:tc>
          <w:tcPr>
            <w:tcW w:w="55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Restructuring charges - continuing operations</w:t>
            </w:r>
          </w:p>
        </w:tc>
        <w:tc>
          <w:tcPr>
            <w:tcW w:w="36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38,143</w:t>
            </w:r>
          </w:p>
        </w:tc>
        <w:tc>
          <w:tcPr>
            <w:tcW w:w="2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13,247</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978</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52,368</w:t>
            </w:r>
          </w:p>
        </w:tc>
        <w:tc>
          <w:tcPr>
            <w:tcW w:w="0" w:type="dxa"/>
            <w:vAlign w:val="bottom"/>
          </w:tcPr>
          <w:p>
            <w:pPr>
              <w:spacing w:after="0"/>
              <w:rPr>
                <w:sz w:val="1"/>
                <w:szCs w:val="1"/>
                <w:color w:val="auto"/>
              </w:rPr>
            </w:pPr>
          </w:p>
        </w:tc>
      </w:tr>
      <w:tr>
        <w:trPr>
          <w:trHeight w:val="27"/>
        </w:trPr>
        <w:tc>
          <w:tcPr>
            <w:tcW w:w="5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5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Net cash payments</w:t>
            </w:r>
          </w:p>
        </w:tc>
        <w:tc>
          <w:tcPr>
            <w:tcW w:w="3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(18,039)</w:t>
            </w:r>
          </w:p>
        </w:tc>
        <w:tc>
          <w:tcPr>
            <w:tcW w:w="2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(3,520)</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(946)</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(22,505)</w:t>
            </w:r>
          </w:p>
        </w:tc>
        <w:tc>
          <w:tcPr>
            <w:tcW w:w="0" w:type="dxa"/>
            <w:vAlign w:val="bottom"/>
          </w:tcPr>
          <w:p>
            <w:pPr>
              <w:spacing w:after="0"/>
              <w:rPr>
                <w:sz w:val="1"/>
                <w:szCs w:val="1"/>
                <w:color w:val="auto"/>
              </w:rPr>
            </w:pPr>
          </w:p>
        </w:tc>
      </w:tr>
      <w:tr>
        <w:trPr>
          <w:trHeight w:val="243"/>
        </w:trPr>
        <w:tc>
          <w:tcPr>
            <w:tcW w:w="55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Release of reserves</w:t>
            </w:r>
          </w:p>
        </w:tc>
        <w:tc>
          <w:tcPr>
            <w:tcW w:w="36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(307)</w:t>
            </w:r>
          </w:p>
        </w:tc>
        <w:tc>
          <w:tcPr>
            <w:tcW w:w="2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(307)</w:t>
            </w:r>
          </w:p>
        </w:tc>
        <w:tc>
          <w:tcPr>
            <w:tcW w:w="0" w:type="dxa"/>
            <w:vAlign w:val="bottom"/>
          </w:tcPr>
          <w:p>
            <w:pPr>
              <w:spacing w:after="0"/>
              <w:rPr>
                <w:sz w:val="1"/>
                <w:szCs w:val="1"/>
                <w:color w:val="auto"/>
              </w:rPr>
            </w:pPr>
          </w:p>
        </w:tc>
      </w:tr>
      <w:tr>
        <w:trPr>
          <w:trHeight w:val="27"/>
        </w:trPr>
        <w:tc>
          <w:tcPr>
            <w:tcW w:w="5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5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Exchange rate adjustment</w:t>
            </w:r>
          </w:p>
        </w:tc>
        <w:tc>
          <w:tcPr>
            <w:tcW w:w="36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w:t>
            </w:r>
          </w:p>
        </w:tc>
        <w:tc>
          <w:tcPr>
            <w:tcW w:w="2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w:t>
            </w:r>
          </w:p>
        </w:tc>
        <w:tc>
          <w:tcPr>
            <w:tcW w:w="0" w:type="dxa"/>
            <w:vAlign w:val="bottom"/>
          </w:tcPr>
          <w:p>
            <w:pPr>
              <w:spacing w:after="0"/>
              <w:rPr>
                <w:sz w:val="1"/>
                <w:szCs w:val="1"/>
                <w:color w:val="auto"/>
              </w:rPr>
            </w:pPr>
          </w:p>
        </w:tc>
      </w:tr>
      <w:tr>
        <w:trPr>
          <w:trHeight w:val="237"/>
        </w:trPr>
        <w:tc>
          <w:tcPr>
            <w:tcW w:w="55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Balance at November 3, 2018</w:t>
            </w:r>
          </w:p>
        </w:tc>
        <w:tc>
          <w:tcPr>
            <w:tcW w:w="360" w:type="dxa"/>
            <w:vAlign w:val="bottom"/>
            <w:tcBorders>
              <w:top w:val="single" w:sz="8" w:color="auto"/>
            </w:tcBorders>
          </w:tcPr>
          <w:p>
            <w:pPr>
              <w:jc w:val="right"/>
              <w:ind w:right="174"/>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Borders>
              <w:top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20,400</w:t>
            </w:r>
          </w:p>
        </w:tc>
        <w:tc>
          <w:tcPr>
            <w:tcW w:w="2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10,189</w:t>
            </w:r>
          </w:p>
        </w:tc>
        <w:tc>
          <w:tcPr>
            <w:tcW w:w="10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14"/>
              <w:spacing w:after="0"/>
              <w:rPr>
                <w:sz w:val="20"/>
                <w:szCs w:val="20"/>
                <w:color w:val="auto"/>
              </w:rPr>
            </w:pPr>
            <w:r>
              <w:rPr>
                <w:rFonts w:ascii="Times New Roman" w:cs="Times New Roman" w:eastAsia="Times New Roman" w:hAnsi="Times New Roman"/>
                <w:sz w:val="18"/>
                <w:szCs w:val="18"/>
                <w:color w:val="auto"/>
              </w:rPr>
              <w:t>587</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top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31,176</w:t>
            </w:r>
          </w:p>
        </w:tc>
        <w:tc>
          <w:tcPr>
            <w:tcW w:w="0" w:type="dxa"/>
            <w:vAlign w:val="bottom"/>
          </w:tcPr>
          <w:p>
            <w:pPr>
              <w:spacing w:after="0"/>
              <w:rPr>
                <w:sz w:val="1"/>
                <w:szCs w:val="1"/>
                <w:color w:val="auto"/>
              </w:rPr>
            </w:pPr>
          </w:p>
        </w:tc>
      </w:tr>
      <w:tr>
        <w:trPr>
          <w:trHeight w:val="27"/>
        </w:trPr>
        <w:tc>
          <w:tcPr>
            <w:tcW w:w="5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5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Less: non-current portion</w:t>
            </w:r>
          </w:p>
        </w:tc>
        <w:tc>
          <w:tcPr>
            <w:tcW w:w="360" w:type="dxa"/>
            <w:vAlign w:val="bottom"/>
            <w:tcBorders>
              <w:bottom w:val="single" w:sz="8" w:color="CCEEFF"/>
            </w:tcBorders>
            <w:shd w:val="clear" w:color="auto" w:fill="CCEEFF"/>
          </w:tcPr>
          <w:p>
            <w:pPr>
              <w:jc w:val="right"/>
              <w:ind w:right="174"/>
              <w:spacing w:after="0"/>
              <w:rPr>
                <w:sz w:val="20"/>
                <w:szCs w:val="20"/>
                <w:color w:val="auto"/>
              </w:rPr>
            </w:pPr>
            <w:r>
              <w:rPr>
                <w:rFonts w:ascii="Times New Roman" w:cs="Times New Roman" w:eastAsia="Times New Roman" w:hAnsi="Times New Roman"/>
                <w:sz w:val="18"/>
                <w:szCs w:val="18"/>
                <w:color w:val="auto"/>
                <w:w w:val="88"/>
              </w:rPr>
              <w:t>$</w:t>
            </w:r>
          </w:p>
        </w:tc>
        <w:tc>
          <w:tcPr>
            <w:tcW w:w="134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4,764</w:t>
            </w:r>
          </w:p>
        </w:tc>
        <w:tc>
          <w:tcPr>
            <w:tcW w:w="10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4,764</w:t>
            </w:r>
          </w:p>
        </w:tc>
        <w:tc>
          <w:tcPr>
            <w:tcW w:w="0" w:type="dxa"/>
            <w:vAlign w:val="bottom"/>
          </w:tcPr>
          <w:p>
            <w:pPr>
              <w:spacing w:after="0"/>
              <w:rPr>
                <w:sz w:val="1"/>
                <w:szCs w:val="1"/>
                <w:color w:val="auto"/>
              </w:rPr>
            </w:pPr>
          </w:p>
        </w:tc>
      </w:tr>
      <w:tr>
        <w:trPr>
          <w:trHeight w:val="257"/>
        </w:trPr>
        <w:tc>
          <w:tcPr>
            <w:tcW w:w="55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Current portion</w:t>
            </w:r>
          </w:p>
        </w:tc>
        <w:tc>
          <w:tcPr>
            <w:tcW w:w="360" w:type="dxa"/>
            <w:vAlign w:val="bottom"/>
            <w:tcBorders>
              <w:top w:val="single" w:sz="8" w:color="auto"/>
              <w:bottom w:val="single" w:sz="8" w:color="auto"/>
            </w:tcBorders>
          </w:tcPr>
          <w:p>
            <w:pPr>
              <w:jc w:val="right"/>
              <w:ind w:right="174"/>
              <w:spacing w:after="0"/>
              <w:rPr>
                <w:sz w:val="20"/>
                <w:szCs w:val="20"/>
                <w:color w:val="auto"/>
              </w:rPr>
            </w:pPr>
            <w:r>
              <w:rPr>
                <w:rFonts w:ascii="Times New Roman" w:cs="Times New Roman" w:eastAsia="Times New Roman" w:hAnsi="Times New Roman"/>
                <w:sz w:val="18"/>
                <w:szCs w:val="18"/>
                <w:color w:val="auto"/>
                <w:w w:val="88"/>
              </w:rPr>
              <w:t>$</w:t>
            </w:r>
          </w:p>
        </w:tc>
        <w:tc>
          <w:tcPr>
            <w:tcW w:w="1140" w:type="dxa"/>
            <w:vAlign w:val="bottom"/>
            <w:tcBorders>
              <w:top w:val="single" w:sz="8" w:color="auto"/>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20,400</w:t>
            </w:r>
          </w:p>
        </w:tc>
        <w:tc>
          <w:tcPr>
            <w:tcW w:w="2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top w:val="single" w:sz="8" w:color="auto"/>
              <w:bottom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5,425</w:t>
            </w:r>
          </w:p>
        </w:tc>
        <w:tc>
          <w:tcPr>
            <w:tcW w:w="100" w:type="dxa"/>
            <w:vAlign w:val="bottom"/>
          </w:tcPr>
          <w:p>
            <w:pPr>
              <w:spacing w:after="0"/>
              <w:rPr>
                <w:sz w:val="22"/>
                <w:szCs w:val="22"/>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auto"/>
            </w:tcBorders>
          </w:tcPr>
          <w:p>
            <w:pPr>
              <w:jc w:val="right"/>
              <w:ind w:right="14"/>
              <w:spacing w:after="0"/>
              <w:rPr>
                <w:sz w:val="20"/>
                <w:szCs w:val="20"/>
                <w:color w:val="auto"/>
              </w:rPr>
            </w:pPr>
            <w:r>
              <w:rPr>
                <w:rFonts w:ascii="Times New Roman" w:cs="Times New Roman" w:eastAsia="Times New Roman" w:hAnsi="Times New Roman"/>
                <w:sz w:val="18"/>
                <w:szCs w:val="18"/>
                <w:color w:val="auto"/>
              </w:rPr>
              <w:t>587</w:t>
            </w:r>
          </w:p>
        </w:tc>
        <w:tc>
          <w:tcPr>
            <w:tcW w:w="120" w:type="dxa"/>
            <w:vAlign w:val="bottom"/>
          </w:tcPr>
          <w:p>
            <w:pPr>
              <w:spacing w:after="0"/>
              <w:rPr>
                <w:sz w:val="22"/>
                <w:szCs w:val="22"/>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top w:val="single" w:sz="8" w:color="auto"/>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26,412</w:t>
            </w:r>
          </w:p>
        </w:tc>
        <w:tc>
          <w:tcPr>
            <w:tcW w:w="0" w:type="dxa"/>
            <w:vAlign w:val="bottom"/>
          </w:tcPr>
          <w:p>
            <w:pPr>
              <w:spacing w:after="0"/>
              <w:rPr>
                <w:sz w:val="1"/>
                <w:szCs w:val="1"/>
                <w:color w:val="auto"/>
              </w:rPr>
            </w:pPr>
          </w:p>
        </w:tc>
      </w:tr>
      <w:tr>
        <w:trPr>
          <w:trHeight w:val="20"/>
        </w:trPr>
        <w:tc>
          <w:tcPr>
            <w:tcW w:w="558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0" w:lineRule="exact"/>
        <w:rPr>
          <w:sz w:val="20"/>
          <w:szCs w:val="20"/>
          <w:color w:val="auto"/>
        </w:rPr>
      </w:pPr>
    </w:p>
    <w:p>
      <w:pPr>
        <w:ind w:right="40" w:firstLine="405"/>
        <w:spacing w:after="0" w:line="266" w:lineRule="auto"/>
        <w:rPr>
          <w:sz w:val="20"/>
          <w:szCs w:val="20"/>
          <w:color w:val="auto"/>
        </w:rPr>
      </w:pPr>
      <w:r>
        <w:rPr>
          <w:rFonts w:ascii="Times New Roman" w:cs="Times New Roman" w:eastAsia="Times New Roman" w:hAnsi="Times New Roman"/>
          <w:sz w:val="18"/>
          <w:szCs w:val="18"/>
          <w:color w:val="auto"/>
        </w:rPr>
        <w:t>The remaining accrued severance and related costs and the other exit-related costs are expected to be paid in fiscal 2019. The remaining accrued facility and related costs includes remaining payments under lease obligations related to vacated space that are expected to be paid through fiscal 2028, net of estimated sub-lease income.</w:t>
      </w: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7. Investments</w:t>
      </w:r>
    </w:p>
    <w:p>
      <w:pPr>
        <w:spacing w:after="0" w:line="94" w:lineRule="exact"/>
        <w:rPr>
          <w:sz w:val="20"/>
          <w:szCs w:val="20"/>
          <w:color w:val="auto"/>
        </w:rPr>
      </w:pPr>
    </w:p>
    <w:p>
      <w:pPr>
        <w:ind w:right="860" w:firstLine="405"/>
        <w:spacing w:after="0" w:line="282" w:lineRule="auto"/>
        <w:rPr>
          <w:sz w:val="20"/>
          <w:szCs w:val="20"/>
          <w:color w:val="auto"/>
        </w:rPr>
      </w:pPr>
      <w:r>
        <w:rPr>
          <w:rFonts w:ascii="Times New Roman" w:cs="Times New Roman" w:eastAsia="Times New Roman" w:hAnsi="Times New Roman"/>
          <w:sz w:val="18"/>
          <w:szCs w:val="18"/>
          <w:color w:val="auto"/>
        </w:rPr>
        <w:t>As of November 3, 2018, the Company has no investments on hand. As of February 3, 2018, the following table summarizes the Company’s investments (in thousands):</w:t>
      </w:r>
    </w:p>
    <w:p>
      <w:pPr>
        <w:spacing w:after="0" w:line="10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740"/>
              <w:spacing w:after="0"/>
              <w:rPr>
                <w:sz w:val="20"/>
                <w:szCs w:val="20"/>
                <w:color w:val="auto"/>
              </w:rPr>
            </w:pPr>
            <w:r>
              <w:rPr>
                <w:rFonts w:ascii="Times New Roman" w:cs="Times New Roman" w:eastAsia="Times New Roman" w:hAnsi="Times New Roman"/>
                <w:sz w:val="14"/>
                <w:szCs w:val="14"/>
                <w:b w:val="1"/>
                <w:bCs w:val="1"/>
                <w:color w:val="auto"/>
              </w:rPr>
              <w:t>February 3, 2018</w:t>
            </w:r>
          </w:p>
        </w:tc>
        <w:tc>
          <w:tcPr>
            <w:tcW w:w="2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restart"/>
          </w:tcPr>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Amortized</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Times New Roman" w:cs="Times New Roman" w:eastAsia="Times New Roman" w:hAnsi="Times New Roman"/>
                <w:sz w:val="14"/>
                <w:szCs w:val="14"/>
                <w:b w:val="1"/>
                <w:bCs w:val="1"/>
                <w:color w:val="auto"/>
              </w:rPr>
              <w:t>Gross</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Times New Roman" w:cs="Times New Roman" w:eastAsia="Times New Roman" w:hAnsi="Times New Roman"/>
                <w:sz w:val="14"/>
                <w:szCs w:val="14"/>
                <w:b w:val="1"/>
                <w:bCs w:val="1"/>
                <w:color w:val="auto"/>
              </w:rPr>
              <w:t>Gross</w:t>
            </w:r>
          </w:p>
        </w:tc>
        <w:tc>
          <w:tcPr>
            <w:tcW w:w="260" w:type="dxa"/>
            <w:vAlign w:val="bottom"/>
          </w:tcPr>
          <w:p>
            <w:pPr>
              <w:spacing w:after="0"/>
              <w:rPr>
                <w:sz w:val="12"/>
                <w:szCs w:val="12"/>
                <w:color w:val="auto"/>
              </w:rPr>
            </w:pPr>
          </w:p>
        </w:tc>
        <w:tc>
          <w:tcPr>
            <w:tcW w:w="1220" w:type="dxa"/>
            <w:vAlign w:val="bottom"/>
            <w:vMerge w:val="restart"/>
          </w:tcPr>
          <w:p>
            <w:pPr>
              <w:jc w:val="right"/>
              <w:ind w:right="354"/>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60" w:type="dxa"/>
            <w:vAlign w:val="bottom"/>
          </w:tcPr>
          <w:p>
            <w:pPr>
              <w:spacing w:after="0"/>
              <w:rPr>
                <w:sz w:val="12"/>
                <w:szCs w:val="12"/>
                <w:color w:val="auto"/>
              </w:rPr>
            </w:pPr>
          </w:p>
        </w:tc>
        <w:tc>
          <w:tcPr>
            <w:tcW w:w="12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5"/>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rPr>
              <w:t>Cost</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b w:val="1"/>
                <w:bCs w:val="1"/>
                <w:color w:val="auto"/>
              </w:rPr>
              <w:t>Gains</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b w:val="1"/>
                <w:bCs w:val="1"/>
                <w:color w:val="auto"/>
              </w:rPr>
              <w:t>Losses</w:t>
            </w:r>
          </w:p>
        </w:tc>
        <w:tc>
          <w:tcPr>
            <w:tcW w:w="260" w:type="dxa"/>
            <w:vAlign w:val="bottom"/>
          </w:tcPr>
          <w:p>
            <w:pPr>
              <w:spacing w:after="0"/>
              <w:rPr>
                <w:sz w:val="16"/>
                <w:szCs w:val="16"/>
                <w:color w:val="auto"/>
              </w:rPr>
            </w:pPr>
          </w:p>
        </w:tc>
        <w:tc>
          <w:tcPr>
            <w:tcW w:w="1220" w:type="dxa"/>
            <w:vAlign w:val="bottom"/>
          </w:tcPr>
          <w:p>
            <w:pPr>
              <w:jc w:val="right"/>
              <w:ind w:right="334"/>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0" w:type="dxa"/>
            <w:vAlign w:val="bottom"/>
          </w:tcPr>
          <w:p>
            <w:pPr>
              <w:spacing w:after="0"/>
              <w:rPr>
                <w:sz w:val="1"/>
                <w:szCs w:val="1"/>
                <w:color w:val="auto"/>
              </w:rPr>
            </w:pPr>
          </w:p>
        </w:tc>
      </w:tr>
      <w:tr>
        <w:trPr>
          <w:trHeight w:val="249"/>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Short-term investments: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248,336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49</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247,741</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7,004</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6,987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2,734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2,728</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504,609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6"/>
              <w:spacing w:after="0"/>
              <w:rPr>
                <w:sz w:val="20"/>
                <w:szCs w:val="20"/>
                <w:color w:val="auto"/>
              </w:rPr>
            </w:pPr>
            <w:r>
              <w:rPr>
                <w:rFonts w:ascii="Times New Roman" w:cs="Times New Roman" w:eastAsia="Times New Roman" w:hAnsi="Times New Roman"/>
                <w:sz w:val="18"/>
                <w:szCs w:val="18"/>
                <w:color w:val="auto"/>
              </w:rPr>
              <w:t>469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(1,999)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503,079</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Asset backed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42,429</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42,255</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Held-to-maturity:</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Time deposits</w:t>
            </w:r>
          </w:p>
        </w:tc>
        <w:tc>
          <w:tcPr>
            <w:tcW w:w="28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150,000</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150,000</w:t>
            </w:r>
          </w:p>
        </w:tc>
        <w:tc>
          <w:tcPr>
            <w:tcW w:w="0" w:type="dxa"/>
            <w:vAlign w:val="bottom"/>
          </w:tcPr>
          <w:p>
            <w:pPr>
              <w:spacing w:after="0"/>
              <w:rPr>
                <w:sz w:val="1"/>
                <w:szCs w:val="1"/>
                <w:color w:val="auto"/>
              </w:rPr>
            </w:pPr>
          </w:p>
        </w:tc>
      </w:tr>
      <w:tr>
        <w:trPr>
          <w:trHeight w:val="237"/>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short-term investments</w:t>
            </w:r>
          </w:p>
        </w:tc>
        <w:tc>
          <w:tcPr>
            <w:tcW w:w="28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Times New Roman" w:cs="Times New Roman" w:eastAsia="Times New Roman" w:hAnsi="Times New Roman"/>
                <w:sz w:val="18"/>
                <w:szCs w:val="18"/>
                <w:color w:val="auto"/>
              </w:rPr>
              <w:t>955,112</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6"/>
              <w:spacing w:after="0"/>
              <w:rPr>
                <w:sz w:val="20"/>
                <w:szCs w:val="20"/>
                <w:color w:val="auto"/>
              </w:rPr>
            </w:pPr>
            <w:r>
              <w:rPr>
                <w:rFonts w:ascii="Times New Roman" w:cs="Times New Roman" w:eastAsia="Times New Roman" w:hAnsi="Times New Roman"/>
                <w:sz w:val="18"/>
                <w:szCs w:val="18"/>
                <w:color w:val="auto"/>
              </w:rPr>
              <w:t>521</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(2,843)</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952,790</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Total investments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955,112</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521</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(2,843)</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952,790</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5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40" w:type="dxa"/>
            <w:vAlign w:val="bottom"/>
          </w:tcPr>
          <w:p>
            <w:pPr>
              <w:jc w:val="right"/>
              <w:ind w:right="773"/>
              <w:spacing w:after="0"/>
              <w:rPr>
                <w:sz w:val="20"/>
                <w:szCs w:val="20"/>
                <w:color w:val="auto"/>
              </w:rPr>
            </w:pPr>
            <w:r>
              <w:rPr>
                <w:rFonts w:ascii="Times New Roman" w:cs="Times New Roman" w:eastAsia="Times New Roman" w:hAnsi="Times New Roman"/>
                <w:sz w:val="18"/>
                <w:szCs w:val="18"/>
                <w:color w:val="auto"/>
              </w:rPr>
              <w:t>15</w:t>
            </w: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126" w:right="259" w:bottom="1440" w:gutter="0" w:footer="0" w:header="0"/>
        </w:sectPr>
      </w:pPr>
    </w:p>
    <w:bookmarkStart w:id="17" w:name="page18"/>
    <w:bookmarkEnd w:id="17"/>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363" w:lineRule="exact"/>
        <w:rPr>
          <w:sz w:val="20"/>
          <w:szCs w:val="20"/>
          <w:color w:val="auto"/>
        </w:rPr>
      </w:pPr>
    </w:p>
    <w:p>
      <w:pPr>
        <w:jc w:val="both"/>
        <w:ind w:right="80" w:firstLine="378"/>
        <w:spacing w:after="0" w:line="266" w:lineRule="auto"/>
        <w:rPr>
          <w:sz w:val="20"/>
          <w:szCs w:val="20"/>
          <w:color w:val="auto"/>
        </w:rPr>
      </w:pPr>
      <w:r>
        <w:rPr>
          <w:rFonts w:ascii="Times New Roman" w:cs="Times New Roman" w:eastAsia="Times New Roman" w:hAnsi="Times New Roman"/>
          <w:sz w:val="18"/>
          <w:szCs w:val="18"/>
          <w:color w:val="auto"/>
        </w:rPr>
        <w:t>Short-term, highly liquid investments of $83.9 million and $267.6 million as of November 3, 2018 and February 3, 2018, respectively, included in cash and cash equivalents on the accompanying consolidated balance sheets are not included in the table above because the gross unrealized gains and losses were immaterial as the carrying values approximate fair value due to the short term maturity of such investments.</w:t>
      </w:r>
    </w:p>
    <w:p>
      <w:pPr>
        <w:spacing w:after="0" w:line="122"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Gross realized gains and gross realized losses on sales of available-for-sale securities are presented in the following tables (in thousands):</w:t>
      </w:r>
    </w:p>
    <w:p>
      <w:pPr>
        <w:spacing w:after="0" w:line="200" w:lineRule="exact"/>
        <w:rPr>
          <w:sz w:val="20"/>
          <w:szCs w:val="20"/>
          <w:color w:val="auto"/>
        </w:rPr>
      </w:pP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60" w:type="dxa"/>
            <w:vAlign w:val="bottom"/>
          </w:tcPr>
          <w:p>
            <w:pPr>
              <w:spacing w:after="0"/>
              <w:rPr>
                <w:sz w:val="16"/>
                <w:szCs w:val="16"/>
                <w:color w:val="auto"/>
              </w:rPr>
            </w:pPr>
          </w:p>
        </w:tc>
        <w:tc>
          <w:tcPr>
            <w:tcW w:w="3100" w:type="dxa"/>
            <w:vAlign w:val="bottom"/>
            <w:tcBorders>
              <w:bottom w:val="single" w:sz="8" w:color="auto"/>
            </w:tcBorders>
            <w:gridSpan w:val="5"/>
          </w:tcPr>
          <w:p>
            <w:pPr>
              <w:jc w:val="right"/>
              <w:ind w:right="797"/>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7"/>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49"/>
        </w:trPr>
        <w:tc>
          <w:tcPr>
            <w:tcW w:w="5160" w:type="dxa"/>
            <w:vAlign w:val="bottom"/>
          </w:tcPr>
          <w:p>
            <w:pPr>
              <w:spacing w:after="0"/>
              <w:rPr>
                <w:sz w:val="12"/>
                <w:szCs w:val="12"/>
                <w:color w:val="auto"/>
              </w:rPr>
            </w:pPr>
          </w:p>
        </w:tc>
        <w:tc>
          <w:tcPr>
            <w:tcW w:w="116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4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240" w:type="dxa"/>
            <w:vAlign w:val="bottom"/>
          </w:tcPr>
          <w:p>
            <w:pPr>
              <w:spacing w:after="0"/>
              <w:rPr>
                <w:sz w:val="12"/>
                <w:szCs w:val="12"/>
                <w:color w:val="auto"/>
              </w:rPr>
            </w:pPr>
          </w:p>
        </w:tc>
        <w:tc>
          <w:tcPr>
            <w:tcW w:w="134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2"/>
                <w:szCs w:val="12"/>
                <w:color w:val="auto"/>
              </w:rPr>
            </w:pPr>
          </w:p>
        </w:tc>
        <w:tc>
          <w:tcPr>
            <w:tcW w:w="1240" w:type="dxa"/>
            <w:vAlign w:val="bottom"/>
          </w:tcPr>
          <w:p>
            <w:pPr>
              <w:jc w:val="right"/>
              <w:ind w:right="317"/>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r>
      <w:tr>
        <w:trPr>
          <w:trHeight w:val="195"/>
        </w:trPr>
        <w:tc>
          <w:tcPr>
            <w:tcW w:w="5160" w:type="dxa"/>
            <w:vAlign w:val="bottom"/>
            <w:tcBorders>
              <w:bottom w:val="single" w:sz="8" w:color="CCEEFF"/>
            </w:tcBorders>
          </w:tcPr>
          <w:p>
            <w:pPr>
              <w:spacing w:after="0"/>
              <w:rPr>
                <w:sz w:val="16"/>
                <w:szCs w:val="16"/>
                <w:color w:val="auto"/>
              </w:rPr>
            </w:pPr>
          </w:p>
        </w:tc>
        <w:tc>
          <w:tcPr>
            <w:tcW w:w="1160" w:type="dxa"/>
            <w:vAlign w:val="bottom"/>
            <w:tcBorders>
              <w:bottom w:val="single" w:sz="8" w:color="auto"/>
            </w:tcBorders>
          </w:tcPr>
          <w:p>
            <w:pPr>
              <w:jc w:val="right"/>
              <w:ind w:right="181"/>
              <w:spacing w:after="0"/>
              <w:rPr>
                <w:sz w:val="20"/>
                <w:szCs w:val="20"/>
                <w:color w:val="auto"/>
              </w:rPr>
            </w:pPr>
            <w:r>
              <w:rPr>
                <w:rFonts w:ascii="Times New Roman" w:cs="Times New Roman" w:eastAsia="Times New Roman" w:hAnsi="Times New Roman"/>
                <w:sz w:val="14"/>
                <w:szCs w:val="14"/>
                <w:b w:val="1"/>
                <w:bCs w:val="1"/>
                <w:color w:val="auto"/>
              </w:rPr>
              <w:t>2018</w:t>
            </w:r>
          </w:p>
        </w:tc>
        <w:tc>
          <w:tcPr>
            <w:tcW w:w="34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realized gains</w:t>
            </w:r>
          </w:p>
        </w:tc>
        <w:tc>
          <w:tcPr>
            <w:tcW w:w="1160" w:type="dxa"/>
            <w:vAlign w:val="bottom"/>
            <w:tcBorders>
              <w:bottom w:val="single" w:sz="8" w:color="CCEEFF"/>
            </w:tcBorders>
            <w:shd w:val="clear" w:color="auto" w:fill="CCEEFF"/>
          </w:tcPr>
          <w:p>
            <w:pPr>
              <w:jc w:val="right"/>
              <w:ind w:right="961"/>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92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371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177</w:t>
            </w:r>
          </w:p>
        </w:tc>
      </w:tr>
      <w:tr>
        <w:trPr>
          <w:trHeight w:val="243"/>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Gross realized losses</w:t>
            </w:r>
          </w:p>
        </w:tc>
        <w:tc>
          <w:tcPr>
            <w:tcW w:w="1160" w:type="dxa"/>
            <w:vAlign w:val="bottom"/>
          </w:tcPr>
          <w:p>
            <w:pPr>
              <w:spacing w:after="0"/>
              <w:rPr>
                <w:sz w:val="21"/>
                <w:szCs w:val="21"/>
                <w:color w:val="auto"/>
              </w:rPr>
            </w:pPr>
          </w:p>
        </w:tc>
        <w:tc>
          <w:tcPr>
            <w:tcW w:w="46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(2,847)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(3,437)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(2,960)</w:t>
            </w:r>
          </w:p>
        </w:tc>
      </w:tr>
      <w:tr>
        <w:trPr>
          <w:trHeight w:val="27"/>
        </w:trPr>
        <w:tc>
          <w:tcPr>
            <w:tcW w:w="5160" w:type="dxa"/>
            <w:vAlign w:val="bottom"/>
            <w:tcBorders>
              <w:bottom w:val="single" w:sz="8" w:color="CCEEFF"/>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net realized gains (losses)</w:t>
            </w:r>
          </w:p>
        </w:tc>
        <w:tc>
          <w:tcPr>
            <w:tcW w:w="1160" w:type="dxa"/>
            <w:vAlign w:val="bottom"/>
            <w:tcBorders>
              <w:bottom w:val="single" w:sz="8" w:color="CCEEFF"/>
            </w:tcBorders>
            <w:shd w:val="clear" w:color="auto" w:fill="CCEEFF"/>
          </w:tcPr>
          <w:p>
            <w:pPr>
              <w:jc w:val="right"/>
              <w:ind w:right="961"/>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(2,755)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(3,066)</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(2,783)</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contractual maturities of available-for-sale and held-to-maturity securities are presented in the following tables (in thousands):</w:t>
      </w:r>
    </w:p>
    <w:p>
      <w:pPr>
        <w:spacing w:after="0" w:line="200" w:lineRule="exact"/>
        <w:rPr>
          <w:sz w:val="20"/>
          <w:szCs w:val="20"/>
          <w:color w:val="auto"/>
        </w:rPr>
      </w:pP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40" w:type="dxa"/>
            <w:vAlign w:val="bottom"/>
          </w:tcPr>
          <w:p>
            <w:pPr>
              <w:spacing w:after="0"/>
              <w:rPr>
                <w:sz w:val="16"/>
                <w:szCs w:val="16"/>
                <w:color w:val="auto"/>
              </w:rPr>
            </w:pPr>
          </w:p>
        </w:tc>
        <w:tc>
          <w:tcPr>
            <w:tcW w:w="2740" w:type="dxa"/>
            <w:vAlign w:val="bottom"/>
            <w:tcBorders>
              <w:bottom w:val="single" w:sz="8" w:color="auto"/>
            </w:tcBorders>
            <w:gridSpan w:val="4"/>
          </w:tcPr>
          <w:p>
            <w:pPr>
              <w:jc w:val="right"/>
              <w:ind w:right="53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3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916"/>
              <w:spacing w:after="0"/>
              <w:rPr>
                <w:sz w:val="20"/>
                <w:szCs w:val="20"/>
                <w:color w:val="auto"/>
              </w:rPr>
            </w:pPr>
            <w:r>
              <w:rPr>
                <w:rFonts w:ascii="Times New Roman" w:cs="Times New Roman" w:eastAsia="Times New Roman" w:hAnsi="Times New Roman"/>
                <w:sz w:val="14"/>
                <w:szCs w:val="14"/>
                <w:b w:val="1"/>
                <w:bCs w:val="1"/>
                <w:color w:val="auto"/>
              </w:rPr>
              <w:t>February 3, 2018</w:t>
            </w:r>
          </w:p>
        </w:tc>
      </w:tr>
      <w:tr>
        <w:trPr>
          <w:trHeight w:val="149"/>
        </w:trPr>
        <w:tc>
          <w:tcPr>
            <w:tcW w:w="5140" w:type="dxa"/>
            <w:vAlign w:val="bottom"/>
          </w:tcPr>
          <w:p>
            <w:pPr>
              <w:spacing w:after="0"/>
              <w:rPr>
                <w:sz w:val="12"/>
                <w:szCs w:val="12"/>
                <w:color w:val="auto"/>
              </w:rPr>
            </w:pPr>
          </w:p>
        </w:tc>
        <w:tc>
          <w:tcPr>
            <w:tcW w:w="114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b w:val="1"/>
                <w:bCs w:val="1"/>
                <w:color w:val="auto"/>
              </w:rPr>
              <w:t>Amortized</w:t>
            </w: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b w:val="1"/>
                <w:bCs w:val="1"/>
                <w:color w:val="auto"/>
              </w:rPr>
              <w:t>Estimated</w:t>
            </w: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ind w:left="140"/>
              <w:spacing w:after="0" w:line="149" w:lineRule="exact"/>
              <w:rPr>
                <w:sz w:val="20"/>
                <w:szCs w:val="20"/>
                <w:color w:val="auto"/>
              </w:rPr>
            </w:pPr>
            <w:r>
              <w:rPr>
                <w:rFonts w:ascii="Times New Roman" w:cs="Times New Roman" w:eastAsia="Times New Roman" w:hAnsi="Times New Roman"/>
                <w:sz w:val="14"/>
                <w:szCs w:val="14"/>
                <w:b w:val="1"/>
                <w:bCs w:val="1"/>
                <w:color w:val="auto"/>
              </w:rPr>
              <w:t>Amortized</w:t>
            </w:r>
          </w:p>
        </w:tc>
        <w:tc>
          <w:tcPr>
            <w:tcW w:w="260" w:type="dxa"/>
            <w:vAlign w:val="bottom"/>
          </w:tcPr>
          <w:p>
            <w:pPr>
              <w:spacing w:after="0"/>
              <w:rPr>
                <w:sz w:val="12"/>
                <w:szCs w:val="12"/>
                <w:color w:val="auto"/>
              </w:rPr>
            </w:pPr>
          </w:p>
        </w:tc>
        <w:tc>
          <w:tcPr>
            <w:tcW w:w="1220" w:type="dxa"/>
            <w:vAlign w:val="bottom"/>
          </w:tcPr>
          <w:p>
            <w:pPr>
              <w:jc w:val="right"/>
              <w:ind w:right="356"/>
              <w:spacing w:after="0" w:line="149" w:lineRule="exact"/>
              <w:rPr>
                <w:sz w:val="20"/>
                <w:szCs w:val="20"/>
                <w:color w:val="auto"/>
              </w:rPr>
            </w:pPr>
            <w:r>
              <w:rPr>
                <w:rFonts w:ascii="Times New Roman" w:cs="Times New Roman" w:eastAsia="Times New Roman" w:hAnsi="Times New Roman"/>
                <w:sz w:val="14"/>
                <w:szCs w:val="14"/>
                <w:b w:val="1"/>
                <w:bCs w:val="1"/>
                <w:color w:val="auto"/>
              </w:rPr>
              <w:t>Estimated</w:t>
            </w:r>
          </w:p>
        </w:tc>
      </w:tr>
      <w:tr>
        <w:trPr>
          <w:trHeight w:val="195"/>
        </w:trPr>
        <w:tc>
          <w:tcPr>
            <w:tcW w:w="5140" w:type="dxa"/>
            <w:vAlign w:val="bottom"/>
            <w:tcBorders>
              <w:bottom w:val="single" w:sz="8" w:color="CCEEFF"/>
            </w:tcBorders>
          </w:tcPr>
          <w:p>
            <w:pPr>
              <w:spacing w:after="0"/>
              <w:rPr>
                <w:sz w:val="16"/>
                <w:szCs w:val="16"/>
                <w:color w:val="auto"/>
              </w:rPr>
            </w:pPr>
          </w:p>
        </w:tc>
        <w:tc>
          <w:tcPr>
            <w:tcW w:w="1140" w:type="dxa"/>
            <w:vAlign w:val="bottom"/>
            <w:tcBorders>
              <w:bottom w:val="single" w:sz="8" w:color="auto"/>
            </w:tcBorders>
          </w:tcPr>
          <w:p>
            <w:pPr>
              <w:jc w:val="right"/>
              <w:ind w:right="161"/>
              <w:spacing w:after="0"/>
              <w:rPr>
                <w:sz w:val="20"/>
                <w:szCs w:val="20"/>
                <w:color w:val="auto"/>
              </w:rPr>
            </w:pPr>
            <w:r>
              <w:rPr>
                <w:rFonts w:ascii="Times New Roman" w:cs="Times New Roman" w:eastAsia="Times New Roman" w:hAnsi="Times New Roman"/>
                <w:sz w:val="14"/>
                <w:szCs w:val="14"/>
                <w:b w:val="1"/>
                <w:bCs w:val="1"/>
                <w:color w:val="auto"/>
              </w:rPr>
              <w:t>Cost</w:t>
            </w:r>
          </w:p>
        </w:tc>
        <w:tc>
          <w:tcPr>
            <w:tcW w:w="3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36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8"/>
              <w:spacing w:after="0"/>
              <w:rPr>
                <w:sz w:val="20"/>
                <w:szCs w:val="20"/>
                <w:color w:val="auto"/>
              </w:rPr>
            </w:pPr>
            <w:r>
              <w:rPr>
                <w:rFonts w:ascii="Times New Roman" w:cs="Times New Roman" w:eastAsia="Times New Roman" w:hAnsi="Times New Roman"/>
                <w:sz w:val="14"/>
                <w:szCs w:val="14"/>
                <w:b w:val="1"/>
                <w:bCs w:val="1"/>
                <w:color w:val="auto"/>
              </w:rPr>
              <w:t>Cost</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336"/>
              <w:spacing w:after="0"/>
              <w:rPr>
                <w:sz w:val="20"/>
                <w:szCs w:val="20"/>
                <w:color w:val="auto"/>
              </w:rPr>
            </w:pPr>
            <w:r>
              <w:rPr>
                <w:rFonts w:ascii="Times New Roman" w:cs="Times New Roman" w:eastAsia="Times New Roman" w:hAnsi="Times New Roman"/>
                <w:sz w:val="14"/>
                <w:szCs w:val="14"/>
                <w:b w:val="1"/>
                <w:bCs w:val="1"/>
                <w:color w:val="auto"/>
              </w:rPr>
              <w:t>Fair Value</w:t>
            </w:r>
          </w:p>
        </w:tc>
      </w:tr>
      <w:tr>
        <w:trPr>
          <w:trHeight w:val="249"/>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Due in one year or less</w:t>
            </w:r>
          </w:p>
        </w:tc>
        <w:tc>
          <w:tcPr>
            <w:tcW w:w="1140" w:type="dxa"/>
            <w:vAlign w:val="bottom"/>
            <w:tcBorders>
              <w:bottom w:val="single" w:sz="8" w:color="CCEEFF"/>
            </w:tcBorders>
            <w:shd w:val="clear" w:color="auto" w:fill="CCEEFF"/>
          </w:tcPr>
          <w:p>
            <w:pPr>
              <w:jc w:val="right"/>
              <w:ind w:right="941"/>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Borders>
              <w:bottom w:val="single" w:sz="8" w:color="CCEEFF"/>
            </w:tcBorders>
            <w:gridSpan w:val="2"/>
            <w:shd w:val="clear" w:color="auto" w:fill="CCEEFF"/>
          </w:tcPr>
          <w:p>
            <w:pPr>
              <w:ind w:left="8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bottom w:val="single" w:sz="8" w:color="CCEEFF"/>
            </w:tcBorders>
            <w:shd w:val="clear" w:color="auto" w:fill="CCEEFF"/>
          </w:tcPr>
          <w:p>
            <w:pPr>
              <w:jc w:val="right"/>
              <w:ind w:right="919"/>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tcBorders>
              <w:bottom w:val="single" w:sz="8" w:color="CCEEFF"/>
            </w:tcBorders>
            <w:gridSpan w:val="2"/>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554,247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553,866</w:t>
            </w: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Due between one and five years</w:t>
            </w:r>
          </w:p>
        </w:tc>
        <w:tc>
          <w:tcPr>
            <w:tcW w:w="1140" w:type="dxa"/>
            <w:vAlign w:val="bottom"/>
          </w:tcPr>
          <w:p>
            <w:pPr>
              <w:spacing w:after="0"/>
              <w:rPr>
                <w:sz w:val="21"/>
                <w:szCs w:val="21"/>
                <w:color w:val="auto"/>
              </w:rPr>
            </w:pPr>
          </w:p>
        </w:tc>
        <w:tc>
          <w:tcPr>
            <w:tcW w:w="480" w:type="dxa"/>
            <w:vAlign w:val="bottom"/>
            <w:gridSpan w:val="2"/>
          </w:tcPr>
          <w:p>
            <w:pPr>
              <w:ind w:left="8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tcPr>
          <w:p>
            <w:pPr>
              <w:spacing w:after="0"/>
              <w:rPr>
                <w:sz w:val="21"/>
                <w:szCs w:val="21"/>
                <w:color w:val="auto"/>
              </w:rPr>
            </w:pPr>
          </w:p>
        </w:tc>
        <w:tc>
          <w:tcPr>
            <w:tcW w:w="46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ind w:right="38"/>
              <w:spacing w:after="0"/>
              <w:rPr>
                <w:sz w:val="20"/>
                <w:szCs w:val="20"/>
                <w:color w:val="auto"/>
              </w:rPr>
            </w:pPr>
            <w:r>
              <w:rPr>
                <w:rFonts w:ascii="Times New Roman" w:cs="Times New Roman" w:eastAsia="Times New Roman" w:hAnsi="Times New Roman"/>
                <w:sz w:val="18"/>
                <w:szCs w:val="18"/>
                <w:color w:val="auto"/>
              </w:rPr>
              <w:t>400,866</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6"/>
              <w:spacing w:after="0"/>
              <w:rPr>
                <w:sz w:val="20"/>
                <w:szCs w:val="20"/>
                <w:color w:val="auto"/>
              </w:rPr>
            </w:pPr>
            <w:r>
              <w:rPr>
                <w:rFonts w:ascii="Times New Roman" w:cs="Times New Roman" w:eastAsia="Times New Roman" w:hAnsi="Times New Roman"/>
                <w:sz w:val="18"/>
                <w:szCs w:val="18"/>
                <w:color w:val="auto"/>
              </w:rPr>
              <w:t>398,924</w:t>
            </w:r>
          </w:p>
        </w:tc>
      </w:tr>
      <w:tr>
        <w:trPr>
          <w:trHeight w:val="27"/>
        </w:trPr>
        <w:tc>
          <w:tcPr>
            <w:tcW w:w="5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Due over five years</w:t>
            </w:r>
          </w:p>
        </w:tc>
        <w:tc>
          <w:tcPr>
            <w:tcW w:w="1140" w:type="dxa"/>
            <w:vAlign w:val="bottom"/>
            <w:tcBorders>
              <w:bottom w:val="single" w:sz="8" w:color="CCEEFF"/>
            </w:tcBorders>
            <w:shd w:val="clear" w:color="auto" w:fill="CCEEFF"/>
          </w:tcPr>
          <w:p>
            <w:pPr>
              <w:spacing w:after="0"/>
              <w:rPr>
                <w:sz w:val="23"/>
                <w:szCs w:val="23"/>
                <w:color w:val="auto"/>
              </w:rPr>
            </w:pPr>
          </w:p>
        </w:tc>
        <w:tc>
          <w:tcPr>
            <w:tcW w:w="480" w:type="dxa"/>
            <w:vAlign w:val="bottom"/>
            <w:tcBorders>
              <w:bottom w:val="single" w:sz="8" w:color="CCEEFF"/>
            </w:tcBorders>
            <w:gridSpan w:val="2"/>
            <w:shd w:val="clear" w:color="auto" w:fill="CCEEFF"/>
          </w:tcPr>
          <w:p>
            <w:pPr>
              <w:ind w:left="8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bottom w:val="single" w:sz="8" w:color="CCEEFF"/>
            </w:tcBorders>
            <w:shd w:val="clear" w:color="auto" w:fill="CCEEFF"/>
          </w:tcPr>
          <w:p>
            <w:pPr>
              <w:spacing w:after="0"/>
              <w:rPr>
                <w:sz w:val="23"/>
                <w:szCs w:val="23"/>
                <w:color w:val="auto"/>
              </w:rPr>
            </w:pPr>
          </w:p>
        </w:tc>
        <w:tc>
          <w:tcPr>
            <w:tcW w:w="460" w:type="dxa"/>
            <w:vAlign w:val="bottom"/>
            <w:tcBorders>
              <w:bottom w:val="single" w:sz="8" w:color="CCEEFF"/>
            </w:tcBorders>
            <w:gridSpan w:val="2"/>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w:t>
            </w:r>
          </w:p>
        </w:tc>
      </w:tr>
      <w:tr>
        <w:trPr>
          <w:trHeight w:val="237"/>
        </w:trPr>
        <w:tc>
          <w:tcPr>
            <w:tcW w:w="5140" w:type="dxa"/>
            <w:vAlign w:val="bottom"/>
          </w:tcPr>
          <w:p>
            <w:pPr>
              <w:spacing w:after="0"/>
              <w:rPr>
                <w:sz w:val="20"/>
                <w:szCs w:val="20"/>
                <w:color w:val="auto"/>
              </w:rPr>
            </w:pPr>
          </w:p>
        </w:tc>
        <w:tc>
          <w:tcPr>
            <w:tcW w:w="1140" w:type="dxa"/>
            <w:vAlign w:val="bottom"/>
            <w:tcBorders>
              <w:top w:val="single" w:sz="8" w:color="auto"/>
            </w:tcBorders>
          </w:tcPr>
          <w:p>
            <w:pPr>
              <w:jc w:val="right"/>
              <w:ind w:right="941"/>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Borders>
              <w:top w:val="single" w:sz="8" w:color="auto"/>
            </w:tcBorders>
          </w:tcPr>
          <w:p>
            <w:pPr>
              <w:ind w:left="80"/>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0"/>
                <w:szCs w:val="20"/>
                <w:color w:val="auto"/>
              </w:rPr>
            </w:pPr>
          </w:p>
        </w:tc>
        <w:tc>
          <w:tcPr>
            <w:tcW w:w="1120" w:type="dxa"/>
            <w:vAlign w:val="bottom"/>
            <w:tcBorders>
              <w:top w:val="single" w:sz="8" w:color="auto"/>
            </w:tcBorders>
          </w:tcPr>
          <w:p>
            <w:pPr>
              <w:jc w:val="right"/>
              <w:ind w:right="919"/>
              <w:spacing w:after="0"/>
              <w:rPr>
                <w:sz w:val="20"/>
                <w:szCs w:val="20"/>
                <w:color w:val="auto"/>
              </w:rPr>
            </w:pPr>
            <w:r>
              <w:rPr>
                <w:rFonts w:ascii="Times New Roman" w:cs="Times New Roman" w:eastAsia="Times New Roman" w:hAnsi="Times New Roman"/>
                <w:sz w:val="18"/>
                <w:szCs w:val="18"/>
                <w:color w:val="auto"/>
              </w:rPr>
              <w:t>$</w:t>
            </w:r>
          </w:p>
        </w:tc>
        <w:tc>
          <w:tcPr>
            <w:tcW w:w="360" w:type="dxa"/>
            <w:vAlign w:val="bottom"/>
            <w:tcBorders>
              <w:top w:val="single" w:sz="8" w:color="auto"/>
            </w:tcBorders>
          </w:tcPr>
          <w:p>
            <w:pPr>
              <w:ind w:left="60"/>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tcBorders>
          </w:tcPr>
          <w:p>
            <w:pPr>
              <w:jc w:val="right"/>
              <w:ind w:right="38"/>
              <w:spacing w:after="0"/>
              <w:rPr>
                <w:sz w:val="20"/>
                <w:szCs w:val="20"/>
                <w:color w:val="auto"/>
              </w:rPr>
            </w:pPr>
            <w:r>
              <w:rPr>
                <w:rFonts w:ascii="Times New Roman" w:cs="Times New Roman" w:eastAsia="Times New Roman" w:hAnsi="Times New Roman"/>
                <w:sz w:val="18"/>
                <w:szCs w:val="18"/>
                <w:color w:val="auto"/>
              </w:rPr>
              <w:t>955,113</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tcBorders>
          </w:tcPr>
          <w:p>
            <w:pPr>
              <w:jc w:val="right"/>
              <w:ind w:right="36"/>
              <w:spacing w:after="0"/>
              <w:rPr>
                <w:sz w:val="20"/>
                <w:szCs w:val="20"/>
                <w:color w:val="auto"/>
              </w:rPr>
            </w:pPr>
            <w:r>
              <w:rPr>
                <w:rFonts w:ascii="Times New Roman" w:cs="Times New Roman" w:eastAsia="Times New Roman" w:hAnsi="Times New Roman"/>
                <w:sz w:val="18"/>
                <w:szCs w:val="18"/>
                <w:color w:val="auto"/>
              </w:rPr>
              <w:t>952,790</w:t>
            </w:r>
          </w:p>
        </w:tc>
      </w:tr>
      <w:tr>
        <w:trPr>
          <w:trHeight w:val="27"/>
        </w:trPr>
        <w:tc>
          <w:tcPr>
            <w:tcW w:w="5140" w:type="dxa"/>
            <w:vAlign w:val="bottom"/>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144" w:lineRule="exact"/>
        <w:rPr>
          <w:sz w:val="20"/>
          <w:szCs w:val="20"/>
          <w:color w:val="auto"/>
        </w:rPr>
      </w:pPr>
    </w:p>
    <w:p>
      <w:pPr>
        <w:jc w:val="both"/>
        <w:ind w:firstLine="405"/>
        <w:spacing w:after="0" w:line="282" w:lineRule="auto"/>
        <w:rPr>
          <w:sz w:val="20"/>
          <w:szCs w:val="20"/>
          <w:color w:val="auto"/>
        </w:rPr>
      </w:pPr>
      <w:r>
        <w:rPr>
          <w:rFonts w:ascii="Times New Roman" w:cs="Times New Roman" w:eastAsia="Times New Roman" w:hAnsi="Times New Roman"/>
          <w:sz w:val="18"/>
          <w:szCs w:val="18"/>
          <w:color w:val="auto"/>
        </w:rPr>
        <w:t>There are no securities on hand at November 3, 2018 that have been in a continuous unrealized loss position. Such securities are presented as follows for the fiscal year ended February 3, 2018:</w:t>
      </w: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3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5"/>
          </w:tcPr>
          <w:p>
            <w:pPr>
              <w:ind w:left="500"/>
              <w:spacing w:after="0"/>
              <w:rPr>
                <w:sz w:val="20"/>
                <w:szCs w:val="20"/>
                <w:color w:val="auto"/>
              </w:rPr>
            </w:pPr>
            <w:r>
              <w:rPr>
                <w:rFonts w:ascii="Times New Roman" w:cs="Times New Roman" w:eastAsia="Times New Roman" w:hAnsi="Times New Roman"/>
                <w:sz w:val="14"/>
                <w:szCs w:val="14"/>
                <w:b w:val="1"/>
                <w:bCs w:val="1"/>
                <w:color w:val="auto"/>
              </w:rPr>
              <w:t>February 3, 2018</w:t>
            </w: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Times New Roman" w:cs="Times New Roman" w:eastAsia="Times New Roman" w:hAnsi="Times New Roman"/>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634"/>
              <w:spacing w:after="0"/>
              <w:rPr>
                <w:sz w:val="20"/>
                <w:szCs w:val="20"/>
                <w:color w:val="auto"/>
              </w:rPr>
            </w:pPr>
            <w:r>
              <w:rPr>
                <w:rFonts w:ascii="Times New Roman" w:cs="Times New Roman" w:eastAsia="Times New Roman" w:hAnsi="Times New Roman"/>
                <w:sz w:val="14"/>
                <w:szCs w:val="14"/>
                <w:b w:val="1"/>
                <w:bCs w:val="1"/>
                <w:color w:val="auto"/>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w w:val="93"/>
              </w:rPr>
              <w:t>Total</w:t>
            </w:r>
          </w:p>
        </w:tc>
        <w:tc>
          <w:tcPr>
            <w:tcW w:w="1060" w:type="dxa"/>
            <w:vAlign w:val="bottom"/>
            <w:tcBorders>
              <w:bottom w:val="single" w:sz="8" w:color="auto"/>
            </w:tcBorders>
          </w:tcPr>
          <w:p>
            <w:pPr>
              <w:spacing w:after="0"/>
              <w:rPr>
                <w:sz w:val="22"/>
                <w:szCs w:val="22"/>
                <w:color w:val="auto"/>
              </w:rPr>
            </w:pPr>
          </w:p>
        </w:tc>
      </w:tr>
      <w:tr>
        <w:trPr>
          <w:trHeight w:val="149"/>
        </w:trPr>
        <w:tc>
          <w:tcPr>
            <w:tcW w:w="3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80" w:type="dxa"/>
            <w:vAlign w:val="bottom"/>
            <w:gridSpan w:val="2"/>
          </w:tcPr>
          <w:p>
            <w:pPr>
              <w:ind w:left="220"/>
              <w:spacing w:after="0" w:line="149" w:lineRule="exact"/>
              <w:rPr>
                <w:sz w:val="20"/>
                <w:szCs w:val="20"/>
                <w:color w:val="auto"/>
              </w:rPr>
            </w:pPr>
            <w:r>
              <w:rPr>
                <w:rFonts w:ascii="Times New Roman" w:cs="Times New Roman" w:eastAsia="Times New Roman" w:hAnsi="Times New Roman"/>
                <w:sz w:val="14"/>
                <w:szCs w:val="14"/>
                <w:b w:val="1"/>
                <w:bCs w:val="1"/>
                <w:color w:val="auto"/>
              </w:rPr>
              <w:t>Fair</w:t>
            </w:r>
          </w:p>
        </w:tc>
        <w:tc>
          <w:tcPr>
            <w:tcW w:w="220" w:type="dxa"/>
            <w:vAlign w:val="bottom"/>
          </w:tcPr>
          <w:p>
            <w:pPr>
              <w:spacing w:after="0"/>
              <w:rPr>
                <w:sz w:val="12"/>
                <w:szCs w:val="12"/>
                <w:color w:val="auto"/>
              </w:rPr>
            </w:pPr>
          </w:p>
        </w:tc>
        <w:tc>
          <w:tcPr>
            <w:tcW w:w="1160" w:type="dxa"/>
            <w:vAlign w:val="bottom"/>
            <w:gridSpan w:val="2"/>
          </w:tcPr>
          <w:p>
            <w:pPr>
              <w:ind w:left="8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80" w:type="dxa"/>
            <w:vAlign w:val="bottom"/>
          </w:tcPr>
          <w:p>
            <w:pPr>
              <w:spacing w:after="0"/>
              <w:rPr>
                <w:sz w:val="12"/>
                <w:szCs w:val="12"/>
                <w:color w:val="auto"/>
              </w:rPr>
            </w:pPr>
          </w:p>
        </w:tc>
        <w:tc>
          <w:tcPr>
            <w:tcW w:w="1080" w:type="dxa"/>
            <w:vAlign w:val="bottom"/>
            <w:gridSpan w:val="2"/>
          </w:tcPr>
          <w:p>
            <w:pPr>
              <w:ind w:left="200"/>
              <w:spacing w:after="0" w:line="149" w:lineRule="exact"/>
              <w:rPr>
                <w:sz w:val="20"/>
                <w:szCs w:val="20"/>
                <w:color w:val="auto"/>
              </w:rPr>
            </w:pPr>
            <w:r>
              <w:rPr>
                <w:rFonts w:ascii="Times New Roman" w:cs="Times New Roman" w:eastAsia="Times New Roman" w:hAnsi="Times New Roman"/>
                <w:sz w:val="14"/>
                <w:szCs w:val="14"/>
                <w:b w:val="1"/>
                <w:bCs w:val="1"/>
                <w:color w:val="auto"/>
              </w:rPr>
              <w:t>Fair</w:t>
            </w:r>
          </w:p>
        </w:tc>
        <w:tc>
          <w:tcPr>
            <w:tcW w:w="200" w:type="dxa"/>
            <w:vAlign w:val="bottom"/>
          </w:tcPr>
          <w:p>
            <w:pPr>
              <w:spacing w:after="0"/>
              <w:rPr>
                <w:sz w:val="12"/>
                <w:szCs w:val="12"/>
                <w:color w:val="auto"/>
              </w:rPr>
            </w:pPr>
          </w:p>
        </w:tc>
        <w:tc>
          <w:tcPr>
            <w:tcW w:w="1160" w:type="dxa"/>
            <w:vAlign w:val="bottom"/>
            <w:gridSpan w:val="2"/>
          </w:tcPr>
          <w:p>
            <w:pPr>
              <w:ind w:left="8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80" w:type="dxa"/>
            <w:vAlign w:val="bottom"/>
          </w:tcPr>
          <w:p>
            <w:pPr>
              <w:spacing w:after="0"/>
              <w:rPr>
                <w:sz w:val="12"/>
                <w:szCs w:val="12"/>
                <w:color w:val="auto"/>
              </w:rPr>
            </w:pPr>
          </w:p>
        </w:tc>
        <w:tc>
          <w:tcPr>
            <w:tcW w:w="880" w:type="dxa"/>
            <w:vAlign w:val="bottom"/>
          </w:tcPr>
          <w:p>
            <w:pPr>
              <w:jc w:val="right"/>
              <w:ind w:right="314"/>
              <w:spacing w:after="0" w:line="149" w:lineRule="exact"/>
              <w:rPr>
                <w:sz w:val="20"/>
                <w:szCs w:val="20"/>
                <w:color w:val="auto"/>
              </w:rPr>
            </w:pPr>
            <w:r>
              <w:rPr>
                <w:rFonts w:ascii="Times New Roman" w:cs="Times New Roman" w:eastAsia="Times New Roman" w:hAnsi="Times New Roman"/>
                <w:sz w:val="14"/>
                <w:szCs w:val="14"/>
                <w:b w:val="1"/>
                <w:bCs w:val="1"/>
                <w:color w:val="auto"/>
              </w:rPr>
              <w:t>Fair</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60" w:type="dxa"/>
            <w:vAlign w:val="bottom"/>
          </w:tcPr>
          <w:p>
            <w:pPr>
              <w:jc w:val="right"/>
              <w:ind w:right="214"/>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r>
      <w:tr>
        <w:trPr>
          <w:trHeight w:val="195"/>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76"/>
              <w:spacing w:after="0"/>
              <w:rPr>
                <w:sz w:val="20"/>
                <w:szCs w:val="20"/>
                <w:color w:val="auto"/>
              </w:rPr>
            </w:pPr>
            <w:r>
              <w:rPr>
                <w:rFonts w:ascii="Times New Roman" w:cs="Times New Roman" w:eastAsia="Times New Roman" w:hAnsi="Times New Roman"/>
                <w:sz w:val="14"/>
                <w:szCs w:val="14"/>
                <w:b w:val="1"/>
                <w:bCs w:val="1"/>
                <w:color w:val="auto"/>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right"/>
              <w:ind w:right="357"/>
              <w:spacing w:after="0"/>
              <w:rPr>
                <w:sz w:val="20"/>
                <w:szCs w:val="20"/>
                <w:color w:val="auto"/>
              </w:rPr>
            </w:pPr>
            <w:r>
              <w:rPr>
                <w:rFonts w:ascii="Times New Roman" w:cs="Times New Roman" w:eastAsia="Times New Roman" w:hAnsi="Times New Roman"/>
                <w:sz w:val="14"/>
                <w:szCs w:val="14"/>
                <w:b w:val="1"/>
                <w:bCs w:val="1"/>
                <w:color w:val="auto"/>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right"/>
              <w:ind w:right="274"/>
              <w:spacing w:after="0"/>
              <w:rPr>
                <w:sz w:val="20"/>
                <w:szCs w:val="20"/>
                <w:color w:val="auto"/>
              </w:rPr>
            </w:pPr>
            <w:r>
              <w:rPr>
                <w:rFonts w:ascii="Times New Roman" w:cs="Times New Roman" w:eastAsia="Times New Roman" w:hAnsi="Times New Roman"/>
                <w:sz w:val="14"/>
                <w:szCs w:val="14"/>
                <w:b w:val="1"/>
                <w:bCs w:val="1"/>
                <w:color w:val="auto"/>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Loss</w:t>
            </w:r>
          </w:p>
        </w:tc>
      </w:tr>
      <w:tr>
        <w:trPr>
          <w:trHeight w:val="249"/>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148,538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(298)</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51,332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199,870</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(644)</w:t>
            </w:r>
          </w:p>
        </w:tc>
      </w:tr>
      <w:tr>
        <w:trPr>
          <w:trHeight w:val="243"/>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3,993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2,994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6,987</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1,969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1,969</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43"/>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253,380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(1,514)</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46,805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300,185</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(1,999)</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Asset backed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37,636</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(145)</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2,167</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39,803</w:t>
            </w:r>
          </w:p>
        </w:tc>
        <w:tc>
          <w:tcPr>
            <w:tcW w:w="1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(177)</w:t>
            </w:r>
          </w:p>
        </w:tc>
      </w:tr>
      <w:tr>
        <w:trPr>
          <w:trHeight w:val="237"/>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securities</w:t>
            </w:r>
          </w:p>
        </w:tc>
        <w:tc>
          <w:tcPr>
            <w:tcW w:w="28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tcBorders>
          </w:tcPr>
          <w:p>
            <w:pPr>
              <w:jc w:val="right"/>
              <w:ind w:right="16"/>
              <w:spacing w:after="0"/>
              <w:rPr>
                <w:sz w:val="20"/>
                <w:szCs w:val="20"/>
                <w:color w:val="auto"/>
              </w:rPr>
            </w:pPr>
            <w:r>
              <w:rPr>
                <w:rFonts w:ascii="Times New Roman" w:cs="Times New Roman" w:eastAsia="Times New Roman" w:hAnsi="Times New Roman"/>
                <w:sz w:val="18"/>
                <w:szCs w:val="18"/>
                <w:color w:val="auto"/>
              </w:rPr>
              <w:t>445,516</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103,298</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(879)</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548,814</w:t>
            </w:r>
          </w:p>
        </w:tc>
        <w:tc>
          <w:tcPr>
            <w:tcW w:w="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(2,843)</w:t>
            </w:r>
          </w:p>
        </w:tc>
      </w:tr>
      <w:tr>
        <w:trPr>
          <w:trHeight w:val="27"/>
        </w:trPr>
        <w:tc>
          <w:tcPr>
            <w:tcW w:w="3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0"/>
        </w:trPr>
        <w:tc>
          <w:tcPr>
            <w:tcW w:w="3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1420"/>
          </w:cols>
          <w:pgMar w:left="240" w:top="126" w:right="239" w:bottom="1440" w:gutter="0" w:footer="0" w:header="0"/>
        </w:sectPr>
      </w:pPr>
    </w:p>
    <w:bookmarkStart w:id="18" w:name="page19"/>
    <w:bookmarkEnd w:id="18"/>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8. Derivative Financial Instruments</w:t>
      </w:r>
    </w:p>
    <w:p>
      <w:pPr>
        <w:spacing w:after="0" w:line="94" w:lineRule="exact"/>
        <w:rPr>
          <w:sz w:val="20"/>
          <w:szCs w:val="20"/>
          <w:color w:val="auto"/>
        </w:rPr>
      </w:pPr>
    </w:p>
    <w:p>
      <w:pPr>
        <w:ind w:right="100" w:firstLine="405"/>
        <w:spacing w:after="0" w:line="256" w:lineRule="auto"/>
        <w:rPr>
          <w:sz w:val="20"/>
          <w:szCs w:val="20"/>
          <w:color w:val="auto"/>
        </w:rPr>
      </w:pPr>
      <w:r>
        <w:rPr>
          <w:rFonts w:ascii="Times New Roman" w:cs="Times New Roman" w:eastAsia="Times New Roman" w:hAnsi="Times New Roman"/>
          <w:sz w:val="18"/>
          <w:szCs w:val="18"/>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which mitigates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 There were no outstanding forward contracts at November 3, 2018 and February 3, 2018.</w:t>
      </w:r>
    </w:p>
    <w:p>
      <w:pPr>
        <w:spacing w:after="0" w:line="186" w:lineRule="exact"/>
        <w:rPr>
          <w:sz w:val="20"/>
          <w:szCs w:val="20"/>
          <w:color w:val="auto"/>
        </w:rPr>
      </w:pPr>
    </w:p>
    <w:p>
      <w:pPr>
        <w:ind w:right="80" w:firstLine="432"/>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Cash Flow Hedges. </w:t>
      </w:r>
      <w:r>
        <w:rPr>
          <w:rFonts w:ascii="Times New Roman" w:cs="Times New Roman" w:eastAsia="Times New Roman" w:hAnsi="Times New Roman"/>
          <w:sz w:val="18"/>
          <w:szCs w:val="18"/>
          <w:color w:val="auto"/>
        </w:rPr>
        <w:t>The Company designates and documents its foreign currency forward exchange contracts as cash flow hedges for certain operating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28" w:lineRule="exact"/>
        <w:rPr>
          <w:sz w:val="20"/>
          <w:szCs w:val="20"/>
          <w:color w:val="auto"/>
        </w:rPr>
      </w:pPr>
    </w:p>
    <w:p>
      <w:pPr>
        <w:ind w:right="200" w:firstLine="405"/>
        <w:spacing w:after="0" w:line="266" w:lineRule="auto"/>
        <w:rPr>
          <w:sz w:val="20"/>
          <w:szCs w:val="20"/>
          <w:color w:val="auto"/>
        </w:rPr>
      </w:pPr>
      <w:r>
        <w:rPr>
          <w:rFonts w:ascii="Times New Roman" w:cs="Times New Roman" w:eastAsia="Times New Roman" w:hAnsi="Times New Roman"/>
          <w:sz w:val="18"/>
          <w:szCs w:val="18"/>
          <w:color w:val="auto"/>
        </w:rPr>
        <w:t>For the three and nine months ended November 3, 2018, the Company did not have any derivative financial instruments. The following table provides information about gains (losses) associated with the Company’s derivative financial instruments for the three and nine months ended October 28, 2017 (in thousands):</w:t>
      </w: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240" w:type="dxa"/>
            <w:vAlign w:val="bottom"/>
          </w:tcPr>
          <w:p>
            <w:pPr>
              <w:spacing w:after="0"/>
              <w:rPr>
                <w:sz w:val="16"/>
                <w:szCs w:val="16"/>
                <w:color w:val="auto"/>
              </w:rPr>
            </w:pPr>
          </w:p>
        </w:tc>
        <w:tc>
          <w:tcPr>
            <w:tcW w:w="3320" w:type="dxa"/>
            <w:vAlign w:val="bottom"/>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3620" w:type="dxa"/>
            <w:vAlign w:val="bottom"/>
            <w:tcBorders>
              <w:bottom w:val="single" w:sz="8" w:color="auto"/>
            </w:tcBorders>
            <w:gridSpan w:val="4"/>
          </w:tcPr>
          <w:p>
            <w:pPr>
              <w:jc w:val="right"/>
              <w:ind w:right="179"/>
              <w:spacing w:after="0"/>
              <w:rPr>
                <w:sz w:val="20"/>
                <w:szCs w:val="20"/>
                <w:color w:val="auto"/>
              </w:rPr>
            </w:pPr>
            <w:r>
              <w:rPr>
                <w:rFonts w:ascii="Times New Roman" w:cs="Times New Roman" w:eastAsia="Times New Roman" w:hAnsi="Times New Roman"/>
                <w:sz w:val="14"/>
                <w:szCs w:val="14"/>
                <w:b w:val="1"/>
                <w:bCs w:val="1"/>
                <w:color w:val="auto"/>
              </w:rPr>
              <w:t>Amount of Gains (Losses) in Statements of Operations</w:t>
            </w:r>
          </w:p>
        </w:tc>
      </w:tr>
      <w:tr>
        <w:trPr>
          <w:trHeight w:val="196"/>
        </w:trPr>
        <w:tc>
          <w:tcPr>
            <w:tcW w:w="4240" w:type="dxa"/>
            <w:vAlign w:val="bottom"/>
          </w:tcPr>
          <w:p>
            <w:pPr>
              <w:spacing w:after="0"/>
              <w:rPr>
                <w:sz w:val="17"/>
                <w:szCs w:val="17"/>
                <w:color w:val="auto"/>
              </w:rPr>
            </w:pPr>
          </w:p>
        </w:tc>
        <w:tc>
          <w:tcPr>
            <w:tcW w:w="3320" w:type="dxa"/>
            <w:vAlign w:val="bottom"/>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140" w:type="dxa"/>
            <w:vAlign w:val="bottom"/>
            <w:tcBorders>
              <w:bottom w:val="single" w:sz="8" w:color="auto"/>
            </w:tcBorders>
          </w:tcPr>
          <w:p>
            <w:pPr>
              <w:spacing w:after="0"/>
              <w:rPr>
                <w:sz w:val="17"/>
                <w:szCs w:val="17"/>
                <w:color w:val="auto"/>
              </w:rPr>
            </w:pPr>
          </w:p>
        </w:tc>
        <w:tc>
          <w:tcPr>
            <w:tcW w:w="1800" w:type="dxa"/>
            <w:vAlign w:val="bottom"/>
            <w:tcBorders>
              <w:bottom w:val="single" w:sz="8" w:color="auto"/>
            </w:tcBorders>
            <w:gridSpan w:val="2"/>
          </w:tcPr>
          <w:p>
            <w:pPr>
              <w:ind w:left="6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80" w:type="dxa"/>
            <w:vAlign w:val="bottom"/>
            <w:tcBorders>
              <w:bottom w:val="single" w:sz="8" w:color="auto"/>
            </w:tcBorders>
          </w:tcPr>
          <w:p>
            <w:pPr>
              <w:spacing w:after="0"/>
              <w:rPr>
                <w:sz w:val="17"/>
                <w:szCs w:val="17"/>
                <w:color w:val="auto"/>
              </w:rPr>
            </w:pPr>
          </w:p>
        </w:tc>
        <w:tc>
          <w:tcPr>
            <w:tcW w:w="1640" w:type="dxa"/>
            <w:vAlign w:val="bottom"/>
            <w:tcBorders>
              <w:bottom w:val="single" w:sz="8" w:color="auto"/>
            </w:tcBorders>
          </w:tcPr>
          <w:p>
            <w:pPr>
              <w:jc w:val="right"/>
              <w:ind w:right="259"/>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49"/>
        </w:trPr>
        <w:tc>
          <w:tcPr>
            <w:tcW w:w="4240" w:type="dxa"/>
            <w:vAlign w:val="bottom"/>
          </w:tcPr>
          <w:p>
            <w:pPr>
              <w:spacing w:after="0"/>
              <w:rPr>
                <w:sz w:val="12"/>
                <w:szCs w:val="12"/>
                <w:color w:val="auto"/>
              </w:rPr>
            </w:pPr>
          </w:p>
        </w:tc>
        <w:tc>
          <w:tcPr>
            <w:tcW w:w="3420" w:type="dxa"/>
            <w:vAlign w:val="bottom"/>
            <w:gridSpan w:val="2"/>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Location of Gains (Losses)</w:t>
            </w:r>
          </w:p>
        </w:tc>
        <w:tc>
          <w:tcPr>
            <w:tcW w:w="140" w:type="dxa"/>
            <w:vAlign w:val="bottom"/>
          </w:tcPr>
          <w:p>
            <w:pPr>
              <w:spacing w:after="0"/>
              <w:rPr>
                <w:sz w:val="12"/>
                <w:szCs w:val="12"/>
                <w:color w:val="auto"/>
              </w:rPr>
            </w:pPr>
          </w:p>
        </w:tc>
        <w:tc>
          <w:tcPr>
            <w:tcW w:w="1800" w:type="dxa"/>
            <w:vAlign w:val="bottom"/>
            <w:gridSpan w:val="2"/>
          </w:tcPr>
          <w:p>
            <w:pPr>
              <w:ind w:left="400"/>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180" w:type="dxa"/>
            <w:vAlign w:val="bottom"/>
          </w:tcPr>
          <w:p>
            <w:pPr>
              <w:spacing w:after="0"/>
              <w:rPr>
                <w:sz w:val="12"/>
                <w:szCs w:val="12"/>
                <w:color w:val="auto"/>
              </w:rPr>
            </w:pPr>
          </w:p>
        </w:tc>
        <w:tc>
          <w:tcPr>
            <w:tcW w:w="1640" w:type="dxa"/>
            <w:vAlign w:val="bottom"/>
          </w:tcPr>
          <w:p>
            <w:pPr>
              <w:jc w:val="right"/>
              <w:ind w:right="499"/>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r>
      <w:tr>
        <w:trPr>
          <w:trHeight w:val="195"/>
        </w:trPr>
        <w:tc>
          <w:tcPr>
            <w:tcW w:w="4240" w:type="dxa"/>
            <w:vAlign w:val="bottom"/>
          </w:tcPr>
          <w:p>
            <w:pPr>
              <w:spacing w:after="0"/>
              <w:rPr>
                <w:sz w:val="16"/>
                <w:szCs w:val="16"/>
                <w:color w:val="auto"/>
              </w:rPr>
            </w:pPr>
          </w:p>
        </w:tc>
        <w:tc>
          <w:tcPr>
            <w:tcW w:w="3420" w:type="dxa"/>
            <w:vAlign w:val="bottom"/>
            <w:gridSpan w:val="2"/>
          </w:tcPr>
          <w:p>
            <w:pPr>
              <w:ind w:left="20"/>
              <w:spacing w:after="0"/>
              <w:rPr>
                <w:sz w:val="20"/>
                <w:szCs w:val="20"/>
                <w:color w:val="auto"/>
              </w:rPr>
            </w:pPr>
            <w:r>
              <w:rPr>
                <w:rFonts w:ascii="Times New Roman" w:cs="Times New Roman" w:eastAsia="Times New Roman" w:hAnsi="Times New Roman"/>
                <w:sz w:val="14"/>
                <w:szCs w:val="14"/>
                <w:b w:val="1"/>
                <w:bCs w:val="1"/>
                <w:color w:val="auto"/>
              </w:rPr>
              <w:t>in Statements of Operations</w:t>
            </w:r>
          </w:p>
        </w:tc>
        <w:tc>
          <w:tcPr>
            <w:tcW w:w="140" w:type="dxa"/>
            <w:vAlign w:val="bottom"/>
          </w:tcPr>
          <w:p>
            <w:pPr>
              <w:spacing w:after="0"/>
              <w:rPr>
                <w:sz w:val="16"/>
                <w:szCs w:val="16"/>
                <w:color w:val="auto"/>
              </w:rPr>
            </w:pPr>
          </w:p>
        </w:tc>
        <w:tc>
          <w:tcPr>
            <w:tcW w:w="1680" w:type="dxa"/>
            <w:vAlign w:val="bottom"/>
          </w:tcPr>
          <w:p>
            <w:pPr>
              <w:jc w:val="right"/>
              <w:ind w:right="680"/>
              <w:spacing w:after="0"/>
              <w:rPr>
                <w:sz w:val="20"/>
                <w:szCs w:val="20"/>
                <w:color w:val="auto"/>
              </w:rPr>
            </w:pPr>
            <w:r>
              <w:rPr>
                <w:rFonts w:ascii="Times New Roman" w:cs="Times New Roman" w:eastAsia="Times New Roman" w:hAnsi="Times New Roman"/>
                <w:sz w:val="14"/>
                <w:szCs w:val="14"/>
                <w:b w:val="1"/>
                <w:bCs w:val="1"/>
                <w:color w:val="auto"/>
              </w:rPr>
              <w:t>2017</w:t>
            </w: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640" w:type="dxa"/>
            <w:vAlign w:val="bottom"/>
          </w:tcPr>
          <w:p>
            <w:pPr>
              <w:jc w:val="right"/>
              <w:ind w:right="679"/>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42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Derivatives designated as cash flow hedges:</w:t>
            </w:r>
          </w:p>
        </w:tc>
        <w:tc>
          <w:tcPr>
            <w:tcW w:w="33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68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spacing w:after="0"/>
              <w:rPr>
                <w:sz w:val="21"/>
                <w:szCs w:val="21"/>
                <w:color w:val="auto"/>
              </w:rPr>
            </w:pPr>
          </w:p>
        </w:tc>
        <w:tc>
          <w:tcPr>
            <w:tcW w:w="16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42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Forward contracts:</w:t>
            </w:r>
          </w:p>
        </w:tc>
        <w:tc>
          <w:tcPr>
            <w:tcW w:w="342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Research and development</w:t>
            </w:r>
          </w:p>
        </w:tc>
        <w:tc>
          <w:tcPr>
            <w:tcW w:w="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80" w:type="dxa"/>
            <w:vAlign w:val="bottom"/>
          </w:tcPr>
          <w:p>
            <w:pPr>
              <w:jc w:val="right"/>
              <w:ind w:right="20"/>
              <w:spacing w:after="0"/>
              <w:rPr>
                <w:sz w:val="20"/>
                <w:szCs w:val="20"/>
                <w:color w:val="auto"/>
              </w:rPr>
            </w:pPr>
            <w:r>
              <w:rPr>
                <w:rFonts w:ascii="Times New Roman" w:cs="Times New Roman" w:eastAsia="Times New Roman" w:hAnsi="Times New Roman"/>
                <w:sz w:val="18"/>
                <w:szCs w:val="18"/>
                <w:color w:val="auto"/>
              </w:rPr>
              <w:t>1,497</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4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3,223</w:t>
            </w:r>
          </w:p>
        </w:tc>
      </w:tr>
      <w:tr>
        <w:trPr>
          <w:trHeight w:val="27"/>
        </w:trPr>
        <w:tc>
          <w:tcPr>
            <w:tcW w:w="4240" w:type="dxa"/>
            <w:vAlign w:val="bottom"/>
          </w:tcPr>
          <w:p>
            <w:pPr>
              <w:spacing w:after="0"/>
              <w:rPr>
                <w:sz w:val="2"/>
                <w:szCs w:val="2"/>
                <w:color w:val="auto"/>
              </w:rPr>
            </w:pPr>
          </w:p>
        </w:tc>
        <w:tc>
          <w:tcPr>
            <w:tcW w:w="3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40" w:type="dxa"/>
            <w:vAlign w:val="bottom"/>
          </w:tcPr>
          <w:p>
            <w:pPr>
              <w:spacing w:after="0"/>
              <w:rPr>
                <w:sz w:val="2"/>
                <w:szCs w:val="2"/>
                <w:color w:val="auto"/>
              </w:rPr>
            </w:pPr>
          </w:p>
        </w:tc>
      </w:tr>
      <w:tr>
        <w:trPr>
          <w:trHeight w:val="270"/>
        </w:trPr>
        <w:tc>
          <w:tcPr>
            <w:tcW w:w="4240" w:type="dxa"/>
            <w:vAlign w:val="bottom"/>
            <w:tcBorders>
              <w:bottom w:val="single" w:sz="8" w:color="CCEEFF"/>
            </w:tcBorders>
            <w:shd w:val="clear" w:color="auto" w:fill="CCEEFF"/>
          </w:tcPr>
          <w:p>
            <w:pPr>
              <w:spacing w:after="0"/>
              <w:rPr>
                <w:sz w:val="23"/>
                <w:szCs w:val="23"/>
                <w:color w:val="auto"/>
              </w:rPr>
            </w:pPr>
          </w:p>
        </w:tc>
        <w:tc>
          <w:tcPr>
            <w:tcW w:w="3420" w:type="dxa"/>
            <w:vAlign w:val="bottom"/>
            <w:tcBorders>
              <w:bottom w:val="single" w:sz="8" w:color="CCEEFF"/>
            </w:tcBorders>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140" w:type="dxa"/>
            <w:vAlign w:val="bottom"/>
            <w:tcBorders>
              <w:bottom w:val="single" w:sz="8" w:color="CCEEFF"/>
            </w:tcBorders>
            <w:shd w:val="clear" w:color="auto" w:fill="CCEEFF"/>
          </w:tcPr>
          <w:p>
            <w:pPr>
              <w:spacing w:after="0"/>
              <w:rPr>
                <w:sz w:val="23"/>
                <w:szCs w:val="23"/>
                <w:color w:val="auto"/>
              </w:rPr>
            </w:pPr>
          </w:p>
        </w:tc>
        <w:tc>
          <w:tcPr>
            <w:tcW w:w="1680" w:type="dxa"/>
            <w:vAlign w:val="bottom"/>
            <w:tcBorders>
              <w:bottom w:val="single" w:sz="8" w:color="CCEEFF"/>
            </w:tcBorders>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329</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64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723</w:t>
            </w:r>
          </w:p>
        </w:tc>
      </w:tr>
      <w:tr>
        <w:trPr>
          <w:trHeight w:val="237"/>
        </w:trPr>
        <w:tc>
          <w:tcPr>
            <w:tcW w:w="4240" w:type="dxa"/>
            <w:vAlign w:val="bottom"/>
          </w:tcPr>
          <w:p>
            <w:pPr>
              <w:spacing w:after="0"/>
              <w:rPr>
                <w:sz w:val="20"/>
                <w:szCs w:val="20"/>
                <w:color w:val="auto"/>
              </w:rPr>
            </w:pPr>
          </w:p>
        </w:tc>
        <w:tc>
          <w:tcPr>
            <w:tcW w:w="3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80" w:type="dxa"/>
            <w:vAlign w:val="bottom"/>
            <w:tcBorders>
              <w:top w:val="single" w:sz="8" w:color="auto"/>
            </w:tcBorders>
          </w:tcPr>
          <w:p>
            <w:pPr>
              <w:jc w:val="right"/>
              <w:ind w:right="20"/>
              <w:spacing w:after="0"/>
              <w:rPr>
                <w:sz w:val="20"/>
                <w:szCs w:val="20"/>
                <w:color w:val="auto"/>
              </w:rPr>
            </w:pPr>
            <w:r>
              <w:rPr>
                <w:rFonts w:ascii="Times New Roman" w:cs="Times New Roman" w:eastAsia="Times New Roman" w:hAnsi="Times New Roman"/>
                <w:sz w:val="18"/>
                <w:szCs w:val="18"/>
                <w:color w:val="auto"/>
              </w:rPr>
              <w:t>1,826</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40" w:type="dxa"/>
            <w:vAlign w:val="bottom"/>
            <w:tcBorders>
              <w:top w:val="single" w:sz="8" w:color="auto"/>
            </w:tcBorders>
          </w:tcPr>
          <w:p>
            <w:pPr>
              <w:jc w:val="right"/>
              <w:ind w:right="19"/>
              <w:spacing w:after="0"/>
              <w:rPr>
                <w:sz w:val="20"/>
                <w:szCs w:val="20"/>
                <w:color w:val="auto"/>
              </w:rPr>
            </w:pPr>
            <w:r>
              <w:rPr>
                <w:rFonts w:ascii="Times New Roman" w:cs="Times New Roman" w:eastAsia="Times New Roman" w:hAnsi="Times New Roman"/>
                <w:sz w:val="18"/>
                <w:szCs w:val="18"/>
                <w:color w:val="auto"/>
              </w:rPr>
              <w:t>3,946</w:t>
            </w:r>
          </w:p>
        </w:tc>
      </w:tr>
      <w:tr>
        <w:trPr>
          <w:trHeight w:val="27"/>
        </w:trPr>
        <w:tc>
          <w:tcPr>
            <w:tcW w:w="4240" w:type="dxa"/>
            <w:vAlign w:val="bottom"/>
          </w:tcPr>
          <w:p>
            <w:pPr>
              <w:spacing w:after="0"/>
              <w:rPr>
                <w:sz w:val="2"/>
                <w:szCs w:val="2"/>
                <w:color w:val="auto"/>
              </w:rPr>
            </w:pPr>
          </w:p>
        </w:tc>
        <w:tc>
          <w:tcPr>
            <w:tcW w:w="3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r>
      <w:tr>
        <w:trPr>
          <w:trHeight w:val="20"/>
        </w:trPr>
        <w:tc>
          <w:tcPr>
            <w:tcW w:w="4240" w:type="dxa"/>
            <w:vAlign w:val="bottom"/>
          </w:tcPr>
          <w:p>
            <w:pPr>
              <w:spacing w:after="0" w:line="20" w:lineRule="exact"/>
              <w:rPr>
                <w:sz w:val="1"/>
                <w:szCs w:val="1"/>
                <w:color w:val="auto"/>
              </w:rPr>
            </w:pPr>
          </w:p>
        </w:tc>
        <w:tc>
          <w:tcPr>
            <w:tcW w:w="3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ind w:right="180" w:firstLine="405"/>
        <w:spacing w:after="0" w:line="282" w:lineRule="auto"/>
        <w:rPr>
          <w:sz w:val="20"/>
          <w:szCs w:val="20"/>
          <w:color w:val="auto"/>
        </w:rPr>
      </w:pPr>
      <w:r>
        <w:rPr>
          <w:rFonts w:ascii="Times New Roman" w:cs="Times New Roman" w:eastAsia="Times New Roman" w:hAnsi="Times New Roman"/>
          <w:sz w:val="18"/>
          <w:szCs w:val="18"/>
          <w:color w:val="auto"/>
        </w:rPr>
        <w:t>The amounts of gains (losses) associated with the Company's derivative financial instruments reclassified from accumulated other comprehensive loss for the three and nine months ended October 28, 2017 are presented in the following table (in thousands):</w:t>
      </w: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754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tcPr>
          <w:p>
            <w:pPr>
              <w:jc w:val="right"/>
              <w:ind w:right="219"/>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49"/>
        </w:trPr>
        <w:tc>
          <w:tcPr>
            <w:tcW w:w="7540" w:type="dxa"/>
            <w:vAlign w:val="bottom"/>
            <w:vMerge w:val="restart"/>
          </w:tcPr>
          <w:p>
            <w:pPr>
              <w:ind w:left="40"/>
              <w:spacing w:after="0"/>
              <w:rPr>
                <w:sz w:val="20"/>
                <w:szCs w:val="20"/>
                <w:color w:val="auto"/>
              </w:rPr>
            </w:pPr>
            <w:r>
              <w:rPr>
                <w:rFonts w:ascii="Times New Roman" w:cs="Times New Roman" w:eastAsia="Times New Roman" w:hAnsi="Times New Roman"/>
                <w:sz w:val="14"/>
                <w:szCs w:val="14"/>
                <w:b w:val="1"/>
                <w:bCs w:val="1"/>
                <w:color w:val="auto"/>
              </w:rPr>
              <w:t>Affected Line Item in the Statements of Operations:</w:t>
            </w:r>
          </w:p>
        </w:tc>
        <w:tc>
          <w:tcPr>
            <w:tcW w:w="120" w:type="dxa"/>
            <w:vAlign w:val="bottom"/>
            <w:vMerge w:val="restart"/>
          </w:tcPr>
          <w:p>
            <w:pPr>
              <w:spacing w:after="0"/>
              <w:rPr>
                <w:sz w:val="12"/>
                <w:szCs w:val="12"/>
                <w:color w:val="auto"/>
              </w:rPr>
            </w:pPr>
          </w:p>
        </w:tc>
        <w:tc>
          <w:tcPr>
            <w:tcW w:w="160" w:type="dxa"/>
            <w:vAlign w:val="bottom"/>
          </w:tcPr>
          <w:p>
            <w:pPr>
              <w:spacing w:after="0"/>
              <w:rPr>
                <w:sz w:val="12"/>
                <w:szCs w:val="12"/>
                <w:color w:val="auto"/>
              </w:rPr>
            </w:pPr>
          </w:p>
        </w:tc>
        <w:tc>
          <w:tcPr>
            <w:tcW w:w="1780" w:type="dxa"/>
            <w:vAlign w:val="bottom"/>
            <w:gridSpan w:val="2"/>
          </w:tcPr>
          <w:p>
            <w:pPr>
              <w:ind w:left="380"/>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200" w:type="dxa"/>
            <w:vAlign w:val="bottom"/>
          </w:tcPr>
          <w:p>
            <w:pPr>
              <w:spacing w:after="0"/>
              <w:rPr>
                <w:sz w:val="12"/>
                <w:szCs w:val="12"/>
                <w:color w:val="auto"/>
              </w:rPr>
            </w:pPr>
          </w:p>
        </w:tc>
        <w:tc>
          <w:tcPr>
            <w:tcW w:w="1620" w:type="dxa"/>
            <w:vAlign w:val="bottom"/>
          </w:tcPr>
          <w:p>
            <w:pPr>
              <w:jc w:val="center"/>
              <w:ind w:right="159"/>
              <w:spacing w:after="0" w:line="149" w:lineRule="exact"/>
              <w:rPr>
                <w:sz w:val="20"/>
                <w:szCs w:val="20"/>
                <w:color w:val="auto"/>
              </w:rPr>
            </w:pPr>
            <w:r>
              <w:rPr>
                <w:rFonts w:ascii="Times New Roman" w:cs="Times New Roman" w:eastAsia="Times New Roman" w:hAnsi="Times New Roman"/>
                <w:sz w:val="14"/>
                <w:szCs w:val="14"/>
                <w:b w:val="1"/>
                <w:bCs w:val="1"/>
                <w:color w:val="auto"/>
                <w:w w:val="99"/>
              </w:rPr>
              <w:t>October 28,</w:t>
            </w:r>
          </w:p>
        </w:tc>
        <w:tc>
          <w:tcPr>
            <w:tcW w:w="0" w:type="dxa"/>
            <w:vAlign w:val="bottom"/>
          </w:tcPr>
          <w:p>
            <w:pPr>
              <w:spacing w:after="0"/>
              <w:rPr>
                <w:sz w:val="1"/>
                <w:szCs w:val="1"/>
                <w:color w:val="auto"/>
              </w:rPr>
            </w:pPr>
          </w:p>
        </w:tc>
      </w:tr>
      <w:tr>
        <w:trPr>
          <w:trHeight w:val="195"/>
        </w:trPr>
        <w:tc>
          <w:tcPr>
            <w:tcW w:w="754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tcPr>
          <w:p>
            <w:pPr>
              <w:jc w:val="right"/>
              <w:ind w:right="679"/>
              <w:spacing w:after="0"/>
              <w:rPr>
                <w:sz w:val="20"/>
                <w:szCs w:val="20"/>
                <w:color w:val="auto"/>
              </w:rPr>
            </w:pPr>
            <w:r>
              <w:rPr>
                <w:rFonts w:ascii="Times New Roman" w:cs="Times New Roman" w:eastAsia="Times New Roman" w:hAnsi="Times New Roman"/>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2017</w:t>
            </w:r>
          </w:p>
        </w:tc>
        <w:tc>
          <w:tcPr>
            <w:tcW w:w="0" w:type="dxa"/>
            <w:vAlign w:val="bottom"/>
          </w:tcPr>
          <w:p>
            <w:pPr>
              <w:spacing w:after="0"/>
              <w:rPr>
                <w:sz w:val="1"/>
                <w:szCs w:val="1"/>
                <w:color w:val="auto"/>
              </w:rPr>
            </w:pPr>
          </w:p>
        </w:tc>
      </w:tr>
      <w:tr>
        <w:trPr>
          <w:trHeight w:val="249"/>
        </w:trPr>
        <w:tc>
          <w:tcPr>
            <w:tcW w:w="766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160" w:type="dxa"/>
            <w:vAlign w:val="bottom"/>
            <w:tcBorders>
              <w:bottom w:val="single" w:sz="8" w:color="CCEEFF"/>
            </w:tcBorders>
            <w:shd w:val="clear" w:color="auto" w:fill="CCEEFF"/>
          </w:tcPr>
          <w:p>
            <w:pPr>
              <w:spacing w:after="0"/>
              <w:rPr>
                <w:sz w:val="21"/>
                <w:szCs w:val="21"/>
                <w:color w:val="auto"/>
              </w:rPr>
            </w:pPr>
          </w:p>
        </w:tc>
        <w:tc>
          <w:tcPr>
            <w:tcW w:w="16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6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7660" w:type="dxa"/>
            <w:vAlign w:val="bottom"/>
            <w:gridSpan w:val="2"/>
          </w:tcPr>
          <w:p>
            <w:pPr>
              <w:ind w:left="260"/>
              <w:spacing w:after="0"/>
              <w:rPr>
                <w:sz w:val="20"/>
                <w:szCs w:val="20"/>
                <w:color w:val="auto"/>
              </w:rPr>
            </w:pPr>
            <w:r>
              <w:rPr>
                <w:rFonts w:ascii="Times New Roman" w:cs="Times New Roman" w:eastAsia="Times New Roman" w:hAnsi="Times New Roman"/>
                <w:sz w:val="18"/>
                <w:szCs w:val="18"/>
                <w:color w:val="auto"/>
              </w:rPr>
              <w:t>Cash flow hedges:</w:t>
            </w:r>
          </w:p>
        </w:tc>
        <w:tc>
          <w:tcPr>
            <w:tcW w:w="160" w:type="dxa"/>
            <w:vAlign w:val="bottom"/>
          </w:tcPr>
          <w:p>
            <w:pPr>
              <w:spacing w:after="0"/>
              <w:rPr>
                <w:sz w:val="21"/>
                <w:szCs w:val="21"/>
                <w:color w:val="auto"/>
              </w:rPr>
            </w:pPr>
          </w:p>
        </w:tc>
        <w:tc>
          <w:tcPr>
            <w:tcW w:w="16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7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660" w:type="dxa"/>
            <w:vAlign w:val="bottom"/>
            <w:tcBorders>
              <w:bottom w:val="single" w:sz="8" w:color="CCEEFF"/>
            </w:tcBorders>
            <w:gridSpan w:val="2"/>
            <w:shd w:val="clear" w:color="auto" w:fill="CCEEFF"/>
          </w:tcPr>
          <w:p>
            <w:pPr>
              <w:ind w:left="620"/>
              <w:spacing w:after="0"/>
              <w:rPr>
                <w:sz w:val="20"/>
                <w:szCs w:val="20"/>
                <w:color w:val="auto"/>
              </w:rPr>
            </w:pPr>
            <w:r>
              <w:rPr>
                <w:rFonts w:ascii="Times New Roman" w:cs="Times New Roman" w:eastAsia="Times New Roman" w:hAnsi="Times New Roman"/>
                <w:sz w:val="18"/>
                <w:szCs w:val="18"/>
                <w:color w:val="auto"/>
              </w:rPr>
              <w:t>Research and development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1,490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2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2,564</w:t>
            </w:r>
          </w:p>
        </w:tc>
        <w:tc>
          <w:tcPr>
            <w:tcW w:w="0" w:type="dxa"/>
            <w:vAlign w:val="bottom"/>
          </w:tcPr>
          <w:p>
            <w:pPr>
              <w:spacing w:after="0"/>
              <w:rPr>
                <w:sz w:val="1"/>
                <w:szCs w:val="1"/>
                <w:color w:val="auto"/>
              </w:rPr>
            </w:pPr>
          </w:p>
        </w:tc>
      </w:tr>
      <w:tr>
        <w:trPr>
          <w:trHeight w:val="243"/>
        </w:trPr>
        <w:tc>
          <w:tcPr>
            <w:tcW w:w="7660" w:type="dxa"/>
            <w:vAlign w:val="bottom"/>
            <w:gridSpan w:val="2"/>
          </w:tcPr>
          <w:p>
            <w:pPr>
              <w:ind w:left="62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160" w:type="dxa"/>
            <w:vAlign w:val="bottom"/>
          </w:tcPr>
          <w:p>
            <w:pPr>
              <w:spacing w:after="0"/>
              <w:rPr>
                <w:sz w:val="21"/>
                <w:szCs w:val="21"/>
                <w:color w:val="auto"/>
              </w:rPr>
            </w:pPr>
          </w:p>
        </w:tc>
        <w:tc>
          <w:tcPr>
            <w:tcW w:w="166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328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62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601</w:t>
            </w:r>
          </w:p>
        </w:tc>
        <w:tc>
          <w:tcPr>
            <w:tcW w:w="0" w:type="dxa"/>
            <w:vAlign w:val="bottom"/>
          </w:tcPr>
          <w:p>
            <w:pPr>
              <w:spacing w:after="0"/>
              <w:rPr>
                <w:sz w:val="1"/>
                <w:szCs w:val="1"/>
                <w:color w:val="auto"/>
              </w:rPr>
            </w:pPr>
          </w:p>
        </w:tc>
      </w:tr>
      <w:tr>
        <w:trPr>
          <w:trHeight w:val="27"/>
        </w:trPr>
        <w:tc>
          <w:tcPr>
            <w:tcW w:w="754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766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1,818</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62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3,165</w:t>
            </w:r>
          </w:p>
        </w:tc>
        <w:tc>
          <w:tcPr>
            <w:tcW w:w="0" w:type="dxa"/>
            <w:vAlign w:val="bottom"/>
          </w:tcPr>
          <w:p>
            <w:pPr>
              <w:spacing w:after="0"/>
              <w:rPr>
                <w:sz w:val="1"/>
                <w:szCs w:val="1"/>
                <w:color w:val="auto"/>
              </w:rPr>
            </w:pPr>
          </w:p>
        </w:tc>
      </w:tr>
      <w:tr>
        <w:trPr>
          <w:trHeight w:val="20"/>
        </w:trPr>
        <w:tc>
          <w:tcPr>
            <w:tcW w:w="75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6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4" w:lineRule="exact"/>
        <w:rPr>
          <w:sz w:val="20"/>
          <w:szCs w:val="20"/>
          <w:color w:val="auto"/>
        </w:rPr>
      </w:pPr>
    </w:p>
    <w:p>
      <w:pPr>
        <w:ind w:right="40" w:firstLine="405"/>
        <w:spacing w:after="0" w:line="261" w:lineRule="auto"/>
        <w:rPr>
          <w:sz w:val="20"/>
          <w:szCs w:val="20"/>
          <w:color w:val="auto"/>
        </w:rPr>
      </w:pPr>
      <w:r>
        <w:rPr>
          <w:rFonts w:ascii="Times New Roman" w:cs="Times New Roman" w:eastAsia="Times New Roman" w:hAnsi="Times New Roman"/>
          <w:sz w:val="18"/>
          <w:szCs w:val="18"/>
          <w:color w:val="auto"/>
        </w:rPr>
        <w:t>The portion of gains (losses) excluded from the assessment of hedge effectiveness is included in interest and other income, net. These amounts were not material in the three and nine months ended October 28, 2017. The Company did not have hedge ineffectiveness from derivative financial instruments in the three and nine months ended November 3, 2018 and October 28, 2017. No cash flow hedges were terminated as a result of forecasted transactions that did not occur.</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1420"/>
          </w:cols>
          <w:pgMar w:left="240" w:top="126" w:right="239" w:bottom="1440" w:gutter="0" w:footer="0" w:header="0"/>
        </w:sectPr>
      </w:pPr>
    </w:p>
    <w:bookmarkStart w:id="19" w:name="page20"/>
    <w:bookmarkEnd w:id="19"/>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9. Fair Value Measurements</w:t>
      </w:r>
    </w:p>
    <w:p>
      <w:pPr>
        <w:spacing w:after="0" w:line="94" w:lineRule="exact"/>
        <w:rPr>
          <w:sz w:val="20"/>
          <w:szCs w:val="20"/>
          <w:color w:val="auto"/>
        </w:rPr>
      </w:pPr>
    </w:p>
    <w:p>
      <w:pPr>
        <w:ind w:right="260" w:firstLine="405"/>
        <w:spacing w:after="0" w:line="261" w:lineRule="auto"/>
        <w:rPr>
          <w:sz w:val="20"/>
          <w:szCs w:val="20"/>
          <w:color w:val="auto"/>
        </w:rPr>
      </w:pPr>
      <w:r>
        <w:rPr>
          <w:rFonts w:ascii="Times New Roman" w:cs="Times New Roman" w:eastAsia="Times New Roman" w:hAnsi="Times New Roman"/>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2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Level 3—Unobservable inputs that are supported by little or no market activity.</w:t>
      </w:r>
    </w:p>
    <w:p>
      <w:pPr>
        <w:spacing w:after="0" w:line="171" w:lineRule="exact"/>
        <w:rPr>
          <w:sz w:val="20"/>
          <w:szCs w:val="20"/>
          <w:color w:val="auto"/>
        </w:rPr>
      </w:pPr>
    </w:p>
    <w:p>
      <w:pPr>
        <w:ind w:right="140" w:firstLine="405"/>
        <w:spacing w:after="0" w:line="282" w:lineRule="auto"/>
        <w:rPr>
          <w:sz w:val="20"/>
          <w:szCs w:val="20"/>
          <w:color w:val="auto"/>
        </w:rPr>
      </w:pPr>
      <w:r>
        <w:rPr>
          <w:rFonts w:ascii="Times New Roman" w:cs="Times New Roman" w:eastAsia="Times New Roman" w:hAnsi="Times New Roman"/>
          <w:sz w:val="18"/>
          <w:szCs w:val="18"/>
          <w:color w:val="auto"/>
        </w:rPr>
        <w:t>The fair value hierarchy also requires an entity to maximize the use of observable inputs and minimize the use of unobservable inputs when measuring fair value.</w:t>
      </w:r>
    </w:p>
    <w:p>
      <w:pPr>
        <w:spacing w:after="0" w:line="54" w:lineRule="exact"/>
        <w:rPr>
          <w:sz w:val="20"/>
          <w:szCs w:val="20"/>
          <w:color w:val="auto"/>
        </w:rPr>
      </w:pPr>
    </w:p>
    <w:p>
      <w:pPr>
        <w:ind w:right="20" w:firstLine="432"/>
        <w:spacing w:after="0" w:line="277" w:lineRule="auto"/>
        <w:rPr>
          <w:sz w:val="20"/>
          <w:szCs w:val="20"/>
          <w:color w:val="auto"/>
        </w:rPr>
      </w:pPr>
      <w:r>
        <w:rPr>
          <w:rFonts w:ascii="Times New Roman" w:cs="Times New Roman" w:eastAsia="Times New Roman" w:hAnsi="Times New Roman"/>
          <w:sz w:val="17"/>
          <w:szCs w:val="17"/>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foreign government and agency debt, municipal debt securities, corporate debt securities and asset backed securities as the market inputs used to value these instruments consist of market yields, reported trades and broker/dealer quotes, which are corroborated with observable market data. In addition, the severance pay fund is classified as Level 2 assets as the valuation inputs are based on quoted prices and market observable data of similar instruments.</w:t>
      </w:r>
    </w:p>
    <w:p>
      <w:pPr>
        <w:spacing w:after="0" w:line="114" w:lineRule="exact"/>
        <w:rPr>
          <w:sz w:val="20"/>
          <w:szCs w:val="20"/>
          <w:color w:val="auto"/>
        </w:rPr>
      </w:pPr>
    </w:p>
    <w:p>
      <w:pPr>
        <w:ind w:right="200" w:firstLine="405"/>
        <w:spacing w:after="0" w:line="282" w:lineRule="auto"/>
        <w:rPr>
          <w:sz w:val="20"/>
          <w:szCs w:val="20"/>
          <w:color w:val="auto"/>
        </w:rPr>
      </w:pPr>
      <w:r>
        <w:rPr>
          <w:rFonts w:ascii="Times New Roman" w:cs="Times New Roman" w:eastAsia="Times New Roman" w:hAnsi="Times New Roman"/>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318" w:lineRule="exact"/>
        <w:rPr>
          <w:sz w:val="20"/>
          <w:szCs w:val="20"/>
          <w:color w:val="auto"/>
        </w:rPr>
      </w:pPr>
    </w:p>
    <w:p>
      <w:pPr>
        <w:ind w:left="6840"/>
        <w:spacing w:after="0"/>
        <w:rPr>
          <w:sz w:val="20"/>
          <w:szCs w:val="20"/>
          <w:color w:val="auto"/>
        </w:rPr>
      </w:pPr>
      <w:r>
        <w:rPr>
          <w:rFonts w:ascii="Times New Roman" w:cs="Times New Roman" w:eastAsia="Times New Roman" w:hAnsi="Times New Roman"/>
          <w:sz w:val="14"/>
          <w:szCs w:val="14"/>
          <w:b w:val="1"/>
          <w:bCs w:val="1"/>
          <w:color w:val="auto"/>
        </w:rPr>
        <w:t>Fair Value Measurements at November 3,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24765</wp:posOffset>
            </wp:positionV>
            <wp:extent cx="39706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Times New Roman" w:cs="Times New Roman" w:eastAsia="Times New Roman" w:hAnsi="Times New Roman"/>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Level 2</w:t>
            </w:r>
          </w:p>
        </w:tc>
        <w:tc>
          <w:tcPr>
            <w:tcW w:w="1080" w:type="dxa"/>
            <w:vAlign w:val="bottom"/>
          </w:tcPr>
          <w:p>
            <w:pPr>
              <w:jc w:val="right"/>
              <w:ind w:right="36"/>
              <w:spacing w:after="0"/>
              <w:rPr>
                <w:sz w:val="20"/>
                <w:szCs w:val="20"/>
                <w:color w:val="auto"/>
              </w:rPr>
            </w:pPr>
            <w:r>
              <w:rPr>
                <w:rFonts w:ascii="Times New Roman" w:cs="Times New Roman" w:eastAsia="Times New Roman" w:hAnsi="Times New Roman"/>
                <w:sz w:val="14"/>
                <w:szCs w:val="14"/>
                <w:b w:val="1"/>
                <w:bCs w:val="1"/>
                <w:color w:val="auto"/>
              </w:rPr>
              <w:t>Level 3</w:t>
            </w:r>
          </w:p>
        </w:tc>
        <w:tc>
          <w:tcPr>
            <w:tcW w:w="4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140" w:type="dxa"/>
            <w:vAlign w:val="bottom"/>
          </w:tcPr>
          <w:p>
            <w:pPr>
              <w:jc w:val="right"/>
              <w:ind w:right="494"/>
              <w:spacing w:after="0"/>
              <w:rPr>
                <w:sz w:val="20"/>
                <w:szCs w:val="20"/>
                <w:color w:val="auto"/>
              </w:rPr>
            </w:pPr>
            <w:r>
              <w:rPr>
                <w:rFonts w:ascii="Times New Roman" w:cs="Times New Roman" w:eastAsia="Times New Roman" w:hAnsi="Times New Roman"/>
                <w:sz w:val="14"/>
                <w:szCs w:val="14"/>
                <w:b w:val="1"/>
                <w:bCs w:val="1"/>
                <w:color w:val="auto"/>
              </w:rPr>
              <w:t>Total</w:t>
            </w:r>
          </w:p>
        </w:tc>
      </w:tr>
      <w:tr>
        <w:trPr>
          <w:trHeight w:val="249"/>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80" w:type="dxa"/>
            <w:vAlign w:val="bottom"/>
            <w:tcBorders>
              <w:top w:val="single" w:sz="8" w:color="auto"/>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Money market funds</w:t>
            </w: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21,162</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Pr>
          <w:p>
            <w:pPr>
              <w:jc w:val="right"/>
              <w:ind w:right="876"/>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gridSpan w:val="2"/>
          </w:tcPr>
          <w:p>
            <w:pPr>
              <w:ind w:left="10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21,162</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62,775</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gridSpan w:val="2"/>
            <w:shd w:val="clear" w:color="auto" w:fill="CCEEFF"/>
          </w:tcPr>
          <w:p>
            <w:pPr>
              <w:ind w:left="10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62,775</w:t>
            </w: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882</w:t>
            </w:r>
          </w:p>
        </w:tc>
        <w:tc>
          <w:tcPr>
            <w:tcW w:w="10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gridSpan w:val="2"/>
            <w:shd w:val="clear" w:color="auto" w:fill="CCEEFF"/>
          </w:tcPr>
          <w:p>
            <w:pPr>
              <w:ind w:left="10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882</w:t>
            </w:r>
          </w:p>
        </w:tc>
      </w:tr>
      <w:tr>
        <w:trPr>
          <w:trHeight w:val="237"/>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21,162</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63,657</w:t>
            </w:r>
          </w:p>
        </w:tc>
        <w:tc>
          <w:tcPr>
            <w:tcW w:w="100" w:type="dxa"/>
            <w:vAlign w:val="bottom"/>
          </w:tcPr>
          <w:p>
            <w:pPr>
              <w:spacing w:after="0"/>
              <w:rPr>
                <w:sz w:val="20"/>
                <w:szCs w:val="20"/>
                <w:color w:val="auto"/>
              </w:rPr>
            </w:pPr>
          </w:p>
        </w:tc>
        <w:tc>
          <w:tcPr>
            <w:tcW w:w="1080" w:type="dxa"/>
            <w:vAlign w:val="bottom"/>
            <w:tcBorders>
              <w:top w:val="single" w:sz="8" w:color="auto"/>
            </w:tcBorders>
          </w:tcPr>
          <w:p>
            <w:pPr>
              <w:jc w:val="right"/>
              <w:ind w:right="876"/>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tcBorders>
              <w:top w:val="single" w:sz="8" w:color="auto"/>
            </w:tcBorders>
          </w:tcPr>
          <w:p>
            <w:pPr>
              <w:ind w:left="100"/>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84,819</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1400"/>
          </w:cols>
          <w:pgMar w:left="240" w:top="126" w:right="259" w:bottom="1440" w:gutter="0" w:footer="0" w:header="0"/>
        </w:sectPr>
      </w:pPr>
    </w:p>
    <w:bookmarkStart w:id="20" w:name="page21"/>
    <w:bookmarkEnd w:id="20"/>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4"/>
          <w:szCs w:val="14"/>
          <w:b w:val="1"/>
          <w:bCs w:val="1"/>
          <w:color w:val="auto"/>
        </w:rPr>
        <w:t>Fair Value Measurements at February 3,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24765</wp:posOffset>
            </wp:positionV>
            <wp:extent cx="397065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Times New Roman" w:cs="Times New Roman" w:eastAsia="Times New Roman" w:hAnsi="Times New Roman"/>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1"/>
              <w:spacing w:after="0"/>
              <w:rPr>
                <w:sz w:val="20"/>
                <w:szCs w:val="20"/>
                <w:color w:val="auto"/>
              </w:rPr>
            </w:pPr>
            <w:r>
              <w:rPr>
                <w:rFonts w:ascii="Times New Roman" w:cs="Times New Roman" w:eastAsia="Times New Roman" w:hAnsi="Times New Roman"/>
                <w:sz w:val="14"/>
                <w:szCs w:val="14"/>
                <w:b w:val="1"/>
                <w:bCs w:val="1"/>
                <w:color w:val="auto"/>
              </w:rPr>
              <w:t>Total</w:t>
            </w:r>
          </w:p>
        </w:tc>
      </w:tr>
      <w:tr>
        <w:trPr>
          <w:trHeight w:val="249"/>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Money market funds</w:t>
            </w: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18,503</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gridSpan w:val="2"/>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18,503</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65,117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65,117</w:t>
            </w: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51,589</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51,589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5,290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5,290</w:t>
            </w: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127,076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127,076</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Short-term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Time deposits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150,000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150,000</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247,741</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247,741</w:t>
            </w: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6,987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6,987</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2,728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2,728</w:t>
            </w: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503,079</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503,079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Asset backed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42,255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42,255</w:t>
            </w: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896</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896</w:t>
            </w:r>
          </w:p>
        </w:tc>
      </w:tr>
      <w:tr>
        <w:trPr>
          <w:trHeight w:val="237"/>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317,833</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903,428</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top w:val="single" w:sz="8" w:color="auto"/>
            </w:tcBorders>
          </w:tcPr>
          <w:p>
            <w:pPr>
              <w:ind w:left="860"/>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1,221,261</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14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Fair Value of Debt</w:t>
      </w:r>
    </w:p>
    <w:p>
      <w:pPr>
        <w:spacing w:after="0" w:line="227" w:lineRule="exact"/>
        <w:rPr>
          <w:sz w:val="20"/>
          <w:szCs w:val="20"/>
          <w:color w:val="auto"/>
        </w:rPr>
      </w:pPr>
    </w:p>
    <w:p>
      <w:pPr>
        <w:ind w:right="20" w:firstLine="405"/>
        <w:spacing w:after="0" w:line="261" w:lineRule="auto"/>
        <w:rPr>
          <w:sz w:val="20"/>
          <w:szCs w:val="20"/>
          <w:color w:val="auto"/>
        </w:rPr>
      </w:pPr>
      <w:r>
        <w:rPr>
          <w:rFonts w:ascii="Times New Roman" w:cs="Times New Roman" w:eastAsia="Times New Roman" w:hAnsi="Times New Roman"/>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At November 3, 2018, the estimated aggregate fair value of the 2023 Notes and 2028 Notes was $987.8 million and were classified as Level 2 as there are quoted prices from less active markets for the notes.</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10. Debt</w:t>
      </w:r>
    </w:p>
    <w:p>
      <w:pPr>
        <w:spacing w:after="0" w:line="121" w:lineRule="exact"/>
        <w:rPr>
          <w:sz w:val="20"/>
          <w:szCs w:val="20"/>
          <w:color w:val="auto"/>
        </w:rPr>
      </w:pPr>
    </w:p>
    <w:p>
      <w:pPr>
        <w:ind w:right="40" w:firstLine="405"/>
        <w:spacing w:after="0" w:line="258" w:lineRule="auto"/>
        <w:rPr>
          <w:sz w:val="20"/>
          <w:szCs w:val="20"/>
          <w:color w:val="auto"/>
        </w:rPr>
      </w:pPr>
      <w:r>
        <w:rPr>
          <w:rFonts w:ascii="Times New Roman" w:cs="Times New Roman" w:eastAsia="Times New Roman" w:hAnsi="Times New Roman"/>
          <w:sz w:val="18"/>
          <w:szCs w:val="18"/>
          <w:color w:val="auto"/>
        </w:rPr>
        <w:t>On July 6, 2018, the Company completed its acquisition of Cavium. In connection with the acquisition (see "Note 3 - Business Combination"), the Company executed debt agreements in June 2018 to obtain a $900 million term loan, a $500 million revolving credit facility and $1.0 billion of senior unsecured notes. Upon completion of the offering of the senior unsecured notes in June 2018, the Company terminated an $850 million bridge loan commitment. This bridge loan commitment was provided by the underwriting bankers at the time of the Merger Agreement was executed in November 2017. The bridge loan was never drawn upon.</w:t>
      </w:r>
    </w:p>
    <w:p>
      <w:pPr>
        <w:spacing w:after="0" w:line="72" w:lineRule="exact"/>
        <w:rPr>
          <w:sz w:val="20"/>
          <w:szCs w:val="20"/>
          <w:color w:val="auto"/>
        </w:rPr>
      </w:pPr>
    </w:p>
    <w:p>
      <w:pPr>
        <w:ind w:left="500"/>
        <w:spacing w:after="0"/>
        <w:rPr>
          <w:sz w:val="20"/>
          <w:szCs w:val="20"/>
          <w:color w:val="auto"/>
        </w:rPr>
      </w:pPr>
      <w:r>
        <w:rPr>
          <w:rFonts w:ascii="Times New Roman" w:cs="Times New Roman" w:eastAsia="Times New Roman" w:hAnsi="Times New Roman"/>
          <w:sz w:val="18"/>
          <w:szCs w:val="18"/>
          <w:b w:val="1"/>
          <w:bCs w:val="1"/>
          <w:i w:val="1"/>
          <w:iCs w:val="1"/>
          <w:color w:val="auto"/>
        </w:rPr>
        <w:t>Term Loan and Revolving Credit Facility</w:t>
      </w:r>
    </w:p>
    <w:p>
      <w:pPr>
        <w:spacing w:after="0" w:line="121" w:lineRule="exact"/>
        <w:rPr>
          <w:sz w:val="20"/>
          <w:szCs w:val="20"/>
          <w:color w:val="auto"/>
        </w:rPr>
      </w:pPr>
    </w:p>
    <w:p>
      <w:pPr>
        <w:ind w:firstLine="405"/>
        <w:spacing w:after="0" w:line="255" w:lineRule="auto"/>
        <w:rPr>
          <w:sz w:val="20"/>
          <w:szCs w:val="20"/>
          <w:color w:val="auto"/>
        </w:rPr>
      </w:pPr>
      <w:r>
        <w:rPr>
          <w:rFonts w:ascii="Times New Roman" w:cs="Times New Roman" w:eastAsia="Times New Roman" w:hAnsi="Times New Roman"/>
          <w:sz w:val="18"/>
          <w:szCs w:val="18"/>
          <w:color w:val="auto"/>
        </w:rPr>
        <w:t>On June 13, 2018, the Company entered into a credit agreement (“Credit Agreement”) with certain lenders and Goldman Sachs Bank USA, as the general administrative agent and the term facility agent, and Bank of America, N.A., as the revolving facility agent. The Credit Agreement provides for borrowings of: (i) up to $500.0 million in the form of a revolving line of credit (“Revolving Credit Facility”) and (ii) $900.0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is intended for general corporate purposes of the Company and its subsidiaries, which may include, among other things, the financing of acquisitions, the refinancing of other indebtedness and the payment of transaction expenses related to the foregoing. As of November 3, 2018, the Revolving Credit Facility has not been drawn upon. Following is further detail of the terms of the various debt agreements.</w:t>
      </w:r>
    </w:p>
    <w:p>
      <w:pPr>
        <w:spacing w:after="0" w:line="2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1400"/>
          </w:cols>
          <w:pgMar w:left="240" w:top="126" w:right="259" w:bottom="1440" w:gutter="0" w:footer="0" w:header="0"/>
        </w:sectPr>
      </w:pPr>
    </w:p>
    <w:bookmarkStart w:id="21" w:name="page22"/>
    <w:bookmarkEnd w:id="21"/>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363" w:lineRule="exact"/>
        <w:rPr>
          <w:sz w:val="20"/>
          <w:szCs w:val="20"/>
          <w:color w:val="auto"/>
        </w:rPr>
      </w:pPr>
    </w:p>
    <w:p>
      <w:pPr>
        <w:ind w:right="60" w:firstLine="405"/>
        <w:spacing w:after="0" w:line="255" w:lineRule="auto"/>
        <w:rPr>
          <w:sz w:val="20"/>
          <w:szCs w:val="20"/>
          <w:color w:val="auto"/>
        </w:rPr>
      </w:pPr>
      <w:r>
        <w:rPr>
          <w:rFonts w:ascii="Times New Roman" w:cs="Times New Roman" w:eastAsia="Times New Roman" w:hAnsi="Times New Roman"/>
          <w:sz w:val="18"/>
          <w:szCs w:val="18"/>
          <w:color w:val="auto"/>
        </w:rPr>
        <w:t>The Term Loan has a three year term which matures on June 13, 2021 and has a stated floating interest rate which equates to reserve-adjusted LIBOR + 137.5 bps as of November 3, 2018. The effective interest rate for the Term Loan was 4.134% as of November 3, 2018. The Term Loan does not require any scheduled principal payments prior to final maturity but does permit the Company to make early principal payments without premium or penalty. During the three months ended November 3, 2018, the Company repaid $75 million of the principal outstanding, and wrote off $0.9 million of associated unamortized debt issuance costs. The Revolving Credit Facility has a five year term and has a stated floating interest rate which equates to reserve-adjusted LIBOR + 150.0 bps. As of November 3, 2018, the full amount of the Revolving Credit Facility of $500 million was undrawn and will be available for draw down through June 13, 2023. An unused commitment fee is payable quarterly based on unused balances at a rate that is based on the ratings of the Company's senior unsecured long-term indebtedness. This rate was initially 0.175% per year.</w:t>
      </w:r>
    </w:p>
    <w:p>
      <w:pPr>
        <w:spacing w:after="0" w:line="77" w:lineRule="exact"/>
        <w:rPr>
          <w:sz w:val="20"/>
          <w:szCs w:val="20"/>
          <w:color w:val="auto"/>
        </w:rPr>
      </w:pPr>
    </w:p>
    <w:p>
      <w:pPr>
        <w:ind w:right="520" w:firstLine="405"/>
        <w:spacing w:after="0" w:line="258" w:lineRule="auto"/>
        <w:rPr>
          <w:sz w:val="20"/>
          <w:szCs w:val="20"/>
          <w:color w:val="auto"/>
        </w:rPr>
      </w:pPr>
      <w:r>
        <w:rPr>
          <w:rFonts w:ascii="Times New Roman" w:cs="Times New Roman" w:eastAsia="Times New Roman" w:hAnsi="Times New Roman"/>
          <w:sz w:val="18"/>
          <w:szCs w:val="18"/>
          <w:color w:val="auto"/>
        </w:rPr>
        <w:t>The Credit Agreement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not to exceed 3 to 1 as of the end of any fiscal quarter. As of November 3, 2018, the Company was in compliance with all of its debt covenants.</w:t>
      </w:r>
    </w:p>
    <w:p>
      <w:pPr>
        <w:spacing w:after="0" w:line="72" w:lineRule="exact"/>
        <w:rPr>
          <w:sz w:val="20"/>
          <w:szCs w:val="20"/>
          <w:color w:val="auto"/>
        </w:rPr>
      </w:pPr>
    </w:p>
    <w:p>
      <w:pPr>
        <w:ind w:left="500"/>
        <w:spacing w:after="0"/>
        <w:rPr>
          <w:sz w:val="20"/>
          <w:szCs w:val="20"/>
          <w:color w:val="auto"/>
        </w:rPr>
      </w:pPr>
      <w:r>
        <w:rPr>
          <w:rFonts w:ascii="Times New Roman" w:cs="Times New Roman" w:eastAsia="Times New Roman" w:hAnsi="Times New Roman"/>
          <w:sz w:val="18"/>
          <w:szCs w:val="18"/>
          <w:b w:val="1"/>
          <w:bCs w:val="1"/>
          <w:i w:val="1"/>
          <w:iCs w:val="1"/>
          <w:color w:val="auto"/>
        </w:rPr>
        <w:t>Senior Unsecured Notes</w:t>
      </w:r>
    </w:p>
    <w:p>
      <w:pPr>
        <w:spacing w:after="0" w:line="121" w:lineRule="exact"/>
        <w:rPr>
          <w:sz w:val="20"/>
          <w:szCs w:val="20"/>
          <w:color w:val="auto"/>
        </w:rPr>
      </w:pPr>
    </w:p>
    <w:p>
      <w:pPr>
        <w:ind w:right="220" w:firstLine="405"/>
        <w:spacing w:after="0" w:line="266" w:lineRule="auto"/>
        <w:rPr>
          <w:sz w:val="20"/>
          <w:szCs w:val="20"/>
          <w:color w:val="auto"/>
        </w:rPr>
      </w:pPr>
      <w:r>
        <w:rPr>
          <w:rFonts w:ascii="Times New Roman" w:cs="Times New Roman" w:eastAsia="Times New Roman" w:hAnsi="Times New Roman"/>
          <w:sz w:val="18"/>
          <w:szCs w:val="18"/>
          <w:color w:val="auto"/>
        </w:rPr>
        <w:t>On June 22, 2018, the Company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68"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2023 Notes mature on June 22, 2023 and the 2028 Notes mature on June 22, 2028. The stated and effective interest rates for the 2023 Notes are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4.200% and 4.423%, respectively. The stated and effective interest rates for the 2028 Notes are 4.875% and 5.012%, respectively. The Company may redeem</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Senior Notes, in whole or in part, at any time prior to their maturity at the redemption prices set forth in Senior Notes. In addition, upon the occurrence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 change of control repurchase event (which involves the occurrence of both a change of control and a ratings event involving the Senior Notes being rated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below investment grade), the Company will be required to make an offer to repurchase the Senior Notes at a price equal to 101% of the principal amount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notes, plus accrued and unpaid interest to, but excluding, the repurchase date. The indenture governing the Senior Notes also contains certain limited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covenants restricting the Company’s ability to incur certain liens, enter into certain sale and leaseback transactions and merge or consolidate with any other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entity or convey, transfer or lease all or substantially all of the Company’s properties or assets to another person, which, in each case, are subject to certain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qualifications and exceptions.</w:t>
      </w:r>
    </w:p>
    <w:p>
      <w:pPr>
        <w:spacing w:after="0" w:line="200" w:lineRule="exact"/>
        <w:rPr>
          <w:sz w:val="20"/>
          <w:szCs w:val="20"/>
          <w:color w:val="auto"/>
        </w:rPr>
      </w:pPr>
    </w:p>
    <w:p>
      <w:pPr>
        <w:spacing w:after="0" w:line="20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Summary of Borrowings and Outstanding Debt</w:t>
      </w:r>
    </w:p>
    <w:p>
      <w:pPr>
        <w:spacing w:after="0" w:line="337"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following table summarizes the Company's outstanding debt at November 3, 2018 (in thousands):</w:t>
      </w:r>
    </w:p>
    <w:p>
      <w:pPr>
        <w:spacing w:after="0" w:line="232"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764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tcPr>
          <w:p>
            <w:pPr>
              <w:jc w:val="right"/>
              <w:ind w:right="1232"/>
              <w:spacing w:after="0"/>
              <w:rPr>
                <w:sz w:val="20"/>
                <w:szCs w:val="20"/>
                <w:color w:val="auto"/>
              </w:rPr>
            </w:pPr>
            <w:r>
              <w:rPr>
                <w:rFonts w:ascii="Times New Roman" w:cs="Times New Roman" w:eastAsia="Times New Roman" w:hAnsi="Times New Roman"/>
                <w:sz w:val="14"/>
                <w:szCs w:val="14"/>
                <w:b w:val="1"/>
                <w:bCs w:val="1"/>
                <w:color w:val="auto"/>
              </w:rPr>
              <w:t>November 3, 2018</w:t>
            </w:r>
          </w:p>
        </w:tc>
      </w:tr>
      <w:tr>
        <w:trPr>
          <w:trHeight w:val="249"/>
        </w:trPr>
        <w:tc>
          <w:tcPr>
            <w:tcW w:w="76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Face Value Outstanding:</w:t>
            </w: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spacing w:after="0"/>
              <w:rPr>
                <w:sz w:val="21"/>
                <w:szCs w:val="21"/>
                <w:color w:val="auto"/>
              </w:rPr>
            </w:pPr>
          </w:p>
        </w:tc>
      </w:tr>
      <w:tr>
        <w:trPr>
          <w:trHeight w:val="243"/>
        </w:trPr>
        <w:tc>
          <w:tcPr>
            <w:tcW w:w="7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Term Loan</w:t>
            </w:r>
          </w:p>
        </w:tc>
        <w:tc>
          <w:tcPr>
            <w:tcW w:w="720" w:type="dxa"/>
            <w:vAlign w:val="bottom"/>
          </w:tcPr>
          <w:p>
            <w:pPr>
              <w:jc w:val="right"/>
              <w:ind w:right="530"/>
              <w:spacing w:after="0"/>
              <w:rPr>
                <w:sz w:val="20"/>
                <w:szCs w:val="20"/>
                <w:color w:val="auto"/>
              </w:rPr>
            </w:pPr>
            <w:r>
              <w:rPr>
                <w:rFonts w:ascii="Times New Roman" w:cs="Times New Roman" w:eastAsia="Times New Roman" w:hAnsi="Times New Roman"/>
                <w:sz w:val="18"/>
                <w:szCs w:val="18"/>
                <w:color w:val="auto"/>
                <w:w w:val="88"/>
              </w:rPr>
              <w:t>$</w:t>
            </w:r>
          </w:p>
        </w:tc>
        <w:tc>
          <w:tcPr>
            <w:tcW w:w="30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825,000</w:t>
            </w:r>
          </w:p>
        </w:tc>
      </w:tr>
      <w:tr>
        <w:trPr>
          <w:trHeight w:val="27"/>
        </w:trPr>
        <w:tc>
          <w:tcPr>
            <w:tcW w:w="7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2023 Notes</w:t>
            </w: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500,000</w:t>
            </w:r>
          </w:p>
        </w:tc>
      </w:tr>
      <w:tr>
        <w:trPr>
          <w:trHeight w:val="243"/>
        </w:trPr>
        <w:tc>
          <w:tcPr>
            <w:tcW w:w="7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2028 Notes</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500,000</w:t>
            </w:r>
          </w:p>
        </w:tc>
      </w:tr>
      <w:tr>
        <w:trPr>
          <w:trHeight w:val="27"/>
        </w:trPr>
        <w:tc>
          <w:tcPr>
            <w:tcW w:w="76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44"/>
        </w:trPr>
        <w:tc>
          <w:tcPr>
            <w:tcW w:w="76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Total borrowings</w:t>
            </w:r>
          </w:p>
        </w:tc>
        <w:tc>
          <w:tcPr>
            <w:tcW w:w="720" w:type="dxa"/>
            <w:vAlign w:val="bottom"/>
            <w:tcBorders>
              <w:bottom w:val="single" w:sz="8" w:color="CCEEFF"/>
            </w:tcBorders>
            <w:shd w:val="clear" w:color="auto" w:fill="CCEEFF"/>
          </w:tcPr>
          <w:p>
            <w:pPr>
              <w:jc w:val="right"/>
              <w:ind w:right="530"/>
              <w:spacing w:after="0"/>
              <w:rPr>
                <w:sz w:val="20"/>
                <w:szCs w:val="20"/>
                <w:color w:val="auto"/>
              </w:rPr>
            </w:pPr>
            <w:r>
              <w:rPr>
                <w:rFonts w:ascii="Times New Roman" w:cs="Times New Roman" w:eastAsia="Times New Roman" w:hAnsi="Times New Roman"/>
                <w:sz w:val="18"/>
                <w:szCs w:val="18"/>
                <w:color w:val="auto"/>
                <w:w w:val="88"/>
              </w:rPr>
              <w:t>$</w:t>
            </w: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1,825,000</w:t>
            </w:r>
          </w:p>
        </w:tc>
      </w:tr>
      <w:tr>
        <w:trPr>
          <w:trHeight w:val="243"/>
        </w:trPr>
        <w:tc>
          <w:tcPr>
            <w:tcW w:w="7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Less: Unamortized debt discount and issuance cost</w:t>
            </w:r>
          </w:p>
        </w:tc>
        <w:tc>
          <w:tcPr>
            <w:tcW w:w="720" w:type="dxa"/>
            <w:vAlign w:val="bottom"/>
          </w:tcPr>
          <w:p>
            <w:pPr>
              <w:spacing w:after="0"/>
              <w:rPr>
                <w:sz w:val="21"/>
                <w:szCs w:val="21"/>
                <w:color w:val="auto"/>
              </w:rPr>
            </w:pPr>
          </w:p>
        </w:tc>
        <w:tc>
          <w:tcPr>
            <w:tcW w:w="3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(19,266)</w:t>
            </w:r>
          </w:p>
        </w:tc>
      </w:tr>
      <w:tr>
        <w:trPr>
          <w:trHeight w:val="27"/>
        </w:trPr>
        <w:tc>
          <w:tcPr>
            <w:tcW w:w="76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44"/>
        </w:trPr>
        <w:tc>
          <w:tcPr>
            <w:tcW w:w="76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Net carrying amount of debt</w:t>
            </w:r>
          </w:p>
        </w:tc>
        <w:tc>
          <w:tcPr>
            <w:tcW w:w="720" w:type="dxa"/>
            <w:vAlign w:val="bottom"/>
            <w:tcBorders>
              <w:bottom w:val="single" w:sz="8" w:color="CCEEFF"/>
            </w:tcBorders>
            <w:shd w:val="clear" w:color="auto" w:fill="CCEEFF"/>
          </w:tcPr>
          <w:p>
            <w:pPr>
              <w:jc w:val="right"/>
              <w:ind w:right="530"/>
              <w:spacing w:after="0"/>
              <w:rPr>
                <w:sz w:val="20"/>
                <w:szCs w:val="20"/>
                <w:color w:val="auto"/>
              </w:rPr>
            </w:pPr>
            <w:r>
              <w:rPr>
                <w:rFonts w:ascii="Times New Roman" w:cs="Times New Roman" w:eastAsia="Times New Roman" w:hAnsi="Times New Roman"/>
                <w:sz w:val="18"/>
                <w:szCs w:val="18"/>
                <w:color w:val="auto"/>
                <w:w w:val="88"/>
              </w:rPr>
              <w:t>$</w:t>
            </w: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1,805,734</w:t>
            </w:r>
          </w:p>
        </w:tc>
      </w:tr>
      <w:tr>
        <w:trPr>
          <w:trHeight w:val="243"/>
        </w:trPr>
        <w:tc>
          <w:tcPr>
            <w:tcW w:w="7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Less: Current portion</w:t>
            </w:r>
          </w:p>
        </w:tc>
        <w:tc>
          <w:tcPr>
            <w:tcW w:w="720" w:type="dxa"/>
            <w:vAlign w:val="bottom"/>
          </w:tcPr>
          <w:p>
            <w:pPr>
              <w:jc w:val="right"/>
              <w:ind w:right="530"/>
              <w:spacing w:after="0"/>
              <w:rPr>
                <w:sz w:val="20"/>
                <w:szCs w:val="20"/>
                <w:color w:val="auto"/>
              </w:rPr>
            </w:pPr>
            <w:r>
              <w:rPr>
                <w:rFonts w:ascii="Times New Roman" w:cs="Times New Roman" w:eastAsia="Times New Roman" w:hAnsi="Times New Roman"/>
                <w:sz w:val="18"/>
                <w:szCs w:val="18"/>
                <w:color w:val="auto"/>
                <w:w w:val="88"/>
              </w:rPr>
              <w:t>$</w:t>
            </w:r>
          </w:p>
        </w:tc>
        <w:tc>
          <w:tcPr>
            <w:tcW w:w="30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76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Non-current portion</w:t>
            </w:r>
          </w:p>
        </w:tc>
        <w:tc>
          <w:tcPr>
            <w:tcW w:w="720" w:type="dxa"/>
            <w:vAlign w:val="bottom"/>
            <w:tcBorders>
              <w:bottom w:val="single" w:sz="8" w:color="auto"/>
            </w:tcBorders>
            <w:shd w:val="clear" w:color="auto" w:fill="CCEEFF"/>
          </w:tcPr>
          <w:p>
            <w:pPr>
              <w:jc w:val="right"/>
              <w:ind w:right="530"/>
              <w:spacing w:after="0"/>
              <w:rPr>
                <w:sz w:val="20"/>
                <w:szCs w:val="20"/>
                <w:color w:val="auto"/>
              </w:rPr>
            </w:pPr>
            <w:r>
              <w:rPr>
                <w:rFonts w:ascii="Times New Roman" w:cs="Times New Roman" w:eastAsia="Times New Roman" w:hAnsi="Times New Roman"/>
                <w:sz w:val="18"/>
                <w:szCs w:val="18"/>
                <w:color w:val="auto"/>
                <w:w w:val="88"/>
              </w:rPr>
              <w:t>$</w:t>
            </w:r>
          </w:p>
        </w:tc>
        <w:tc>
          <w:tcPr>
            <w:tcW w:w="302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1,805,734</w:t>
            </w:r>
          </w:p>
        </w:tc>
      </w:tr>
      <w:tr>
        <w:trPr>
          <w:trHeight w:val="20"/>
        </w:trPr>
        <w:tc>
          <w:tcPr>
            <w:tcW w:w="76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020" w:type="dxa"/>
            <w:vAlign w:val="bottom"/>
            <w:tcBorders>
              <w:bottom w:val="single" w:sz="8" w:color="auto"/>
            </w:tcBorders>
          </w:tcPr>
          <w:p>
            <w:pPr>
              <w:spacing w:after="0" w:line="20" w:lineRule="exact"/>
              <w:rPr>
                <w:sz w:val="1"/>
                <w:szCs w:val="1"/>
                <w:color w:val="auto"/>
              </w:rPr>
            </w:pPr>
          </w:p>
        </w:tc>
      </w:tr>
    </w:tbl>
    <w:p>
      <w:pPr>
        <w:spacing w:after="0" w:line="306" w:lineRule="exact"/>
        <w:rPr>
          <w:sz w:val="20"/>
          <w:szCs w:val="20"/>
          <w:color w:val="auto"/>
        </w:rPr>
      </w:pPr>
    </w:p>
    <w:p>
      <w:pPr>
        <w:ind w:right="200" w:firstLine="405"/>
        <w:spacing w:after="0" w:line="266" w:lineRule="auto"/>
        <w:rPr>
          <w:sz w:val="20"/>
          <w:szCs w:val="20"/>
          <w:color w:val="auto"/>
        </w:rPr>
      </w:pPr>
      <w:r>
        <w:rPr>
          <w:rFonts w:ascii="Times New Roman" w:cs="Times New Roman" w:eastAsia="Times New Roman" w:hAnsi="Times New Roman"/>
          <w:sz w:val="18"/>
          <w:szCs w:val="18"/>
          <w:color w:val="auto"/>
        </w:rPr>
        <w:t>During the three and nine months ended November 3, 2018, the Company recognized $20.9 million and $29.8 million of interest expense in its consolidated statements of operations related to interest, amortization of debt issuance costs and accretion of discount associated with the outstanding Term Loan and Senior Notes, respectively.</w:t>
      </w:r>
    </w:p>
    <w:p>
      <w:pPr>
        <w:spacing w:after="0" w:line="20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400"/>
          </w:cols>
          <w:pgMar w:left="240" w:top="126" w:right="259" w:bottom="1440" w:gutter="0" w:footer="0" w:header="0"/>
        </w:sectPr>
      </w:pPr>
    </w:p>
    <w:bookmarkStart w:id="22" w:name="page23"/>
    <w:bookmarkEnd w:id="22"/>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363"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As of November 3, 2018, the aggregate future contractual maturities of the Company's outstanding debt, at face value, were as follows (in thousands):</w:t>
      </w:r>
    </w:p>
    <w:p>
      <w:pPr>
        <w:spacing w:after="0" w:line="340"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7640" w:type="dxa"/>
            <w:vAlign w:val="bottom"/>
            <w:gridSpan w:val="2"/>
          </w:tcPr>
          <w:p>
            <w:pPr>
              <w:ind w:left="20"/>
              <w:spacing w:after="0"/>
              <w:rPr>
                <w:sz w:val="20"/>
                <w:szCs w:val="20"/>
                <w:color w:val="auto"/>
              </w:rPr>
            </w:pPr>
            <w:r>
              <w:rPr>
                <w:rFonts w:ascii="Times New Roman" w:cs="Times New Roman" w:eastAsia="Times New Roman" w:hAnsi="Times New Roman"/>
                <w:sz w:val="14"/>
                <w:szCs w:val="14"/>
                <w:b w:val="1"/>
                <w:bCs w:val="1"/>
                <w:color w:val="auto"/>
              </w:rPr>
              <w:t>Fiscal year</w:t>
            </w:r>
          </w:p>
        </w:tc>
        <w:tc>
          <w:tcPr>
            <w:tcW w:w="860" w:type="dxa"/>
            <w:vAlign w:val="bottom"/>
          </w:tcPr>
          <w:p>
            <w:pPr>
              <w:spacing w:after="0"/>
              <w:rPr>
                <w:sz w:val="16"/>
                <w:szCs w:val="16"/>
                <w:color w:val="auto"/>
              </w:rPr>
            </w:pPr>
          </w:p>
        </w:tc>
        <w:tc>
          <w:tcPr>
            <w:tcW w:w="2880" w:type="dxa"/>
            <w:vAlign w:val="bottom"/>
          </w:tcPr>
          <w:p>
            <w:pPr>
              <w:jc w:val="right"/>
              <w:ind w:right="1533"/>
              <w:spacing w:after="0"/>
              <w:rPr>
                <w:sz w:val="20"/>
                <w:szCs w:val="20"/>
                <w:color w:val="auto"/>
              </w:rPr>
            </w:pPr>
            <w:r>
              <w:rPr>
                <w:rFonts w:ascii="Times New Roman" w:cs="Times New Roman" w:eastAsia="Times New Roman" w:hAnsi="Times New Roman"/>
                <w:sz w:val="14"/>
                <w:szCs w:val="14"/>
                <w:b w:val="1"/>
                <w:bCs w:val="1"/>
                <w:color w:val="auto"/>
              </w:rPr>
              <w:t>Amount</w:t>
            </w:r>
          </w:p>
        </w:tc>
      </w:tr>
      <w:tr>
        <w:trPr>
          <w:trHeight w:val="249"/>
        </w:trPr>
        <w:tc>
          <w:tcPr>
            <w:tcW w:w="740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2019</w:t>
            </w:r>
          </w:p>
        </w:tc>
        <w:tc>
          <w:tcPr>
            <w:tcW w:w="240" w:type="dxa"/>
            <w:vAlign w:val="bottom"/>
            <w:tcBorders>
              <w:top w:val="single" w:sz="8" w:color="CCEEFF"/>
              <w:bottom w:val="single" w:sz="8" w:color="CCEEFF"/>
            </w:tcBorders>
            <w:shd w:val="clear" w:color="auto" w:fill="CCEEFF"/>
          </w:tcPr>
          <w:p>
            <w:pPr>
              <w:spacing w:after="0"/>
              <w:rPr>
                <w:sz w:val="21"/>
                <w:szCs w:val="21"/>
                <w:color w:val="auto"/>
              </w:rPr>
            </w:pPr>
          </w:p>
        </w:tc>
        <w:tc>
          <w:tcPr>
            <w:tcW w:w="860" w:type="dxa"/>
            <w:vAlign w:val="bottom"/>
            <w:tcBorders>
              <w:top w:val="single" w:sz="8" w:color="auto"/>
              <w:bottom w:val="single" w:sz="8" w:color="CCEEFF"/>
            </w:tcBorders>
            <w:shd w:val="clear" w:color="auto" w:fill="CCEEFF"/>
          </w:tcPr>
          <w:p>
            <w:pPr>
              <w:jc w:val="right"/>
              <w:ind w:right="670"/>
              <w:spacing w:after="0"/>
              <w:rPr>
                <w:sz w:val="20"/>
                <w:szCs w:val="20"/>
                <w:color w:val="auto"/>
              </w:rPr>
            </w:pPr>
            <w:r>
              <w:rPr>
                <w:rFonts w:ascii="Times New Roman" w:cs="Times New Roman" w:eastAsia="Times New Roman" w:hAnsi="Times New Roman"/>
                <w:sz w:val="18"/>
                <w:szCs w:val="18"/>
                <w:color w:val="auto"/>
                <w:w w:val="88"/>
              </w:rPr>
              <w:t>$</w:t>
            </w:r>
          </w:p>
        </w:tc>
        <w:tc>
          <w:tcPr>
            <w:tcW w:w="288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74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2020</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2021</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74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2022</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825,000</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2023</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764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Thereafter</w:t>
            </w:r>
          </w:p>
        </w:tc>
        <w:tc>
          <w:tcPr>
            <w:tcW w:w="860" w:type="dxa"/>
            <w:vAlign w:val="bottom"/>
          </w:tcPr>
          <w:p>
            <w:pPr>
              <w:jc w:val="right"/>
              <w:ind w:right="670"/>
              <w:spacing w:after="0"/>
              <w:rPr>
                <w:sz w:val="20"/>
                <w:szCs w:val="20"/>
                <w:color w:val="auto"/>
              </w:rPr>
            </w:pPr>
            <w:r>
              <w:rPr>
                <w:rFonts w:ascii="Times New Roman" w:cs="Times New Roman" w:eastAsia="Times New Roman" w:hAnsi="Times New Roman"/>
                <w:sz w:val="18"/>
                <w:szCs w:val="18"/>
                <w:color w:val="auto"/>
                <w:w w:val="88"/>
              </w:rPr>
              <w:t>$</w:t>
            </w:r>
          </w:p>
        </w:tc>
        <w:tc>
          <w:tcPr>
            <w:tcW w:w="288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1,000,000</w:t>
            </w:r>
          </w:p>
        </w:tc>
      </w:tr>
    </w:tbl>
    <w:p>
      <w:pPr>
        <w:spacing w:after="0" w:line="32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Repayment of Debt and Termination of Credit Facility of Cavium</w:t>
      </w:r>
    </w:p>
    <w:p>
      <w:pPr>
        <w:spacing w:after="0" w:line="121" w:lineRule="exact"/>
        <w:rPr>
          <w:sz w:val="20"/>
          <w:szCs w:val="20"/>
          <w:color w:val="auto"/>
        </w:rPr>
      </w:pPr>
    </w:p>
    <w:p>
      <w:pPr>
        <w:ind w:right="20" w:firstLine="405"/>
        <w:spacing w:after="0" w:line="266" w:lineRule="auto"/>
        <w:rPr>
          <w:sz w:val="20"/>
          <w:szCs w:val="20"/>
          <w:color w:val="auto"/>
        </w:rPr>
      </w:pPr>
      <w:r>
        <w:rPr>
          <w:rFonts w:ascii="Times New Roman" w:cs="Times New Roman" w:eastAsia="Times New Roman" w:hAnsi="Times New Roman"/>
          <w:sz w:val="18"/>
          <w:szCs w:val="18"/>
          <w:color w:val="auto"/>
        </w:rPr>
        <w:t>On July 6, 2018, concurrent with completing the acquisition of Cavium as further described in “Note 3 - Business Combination,” the Company assumed and paid all of Cavium's outstanding debt and accrued interest of $606.6 million. Cavium's debt was governed under a credit agreement dated August 16, 2016, which was terminated following the repayment.</w:t>
      </w: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11. Commitments and Contingencies</w:t>
      </w:r>
    </w:p>
    <w:p>
      <w:pPr>
        <w:spacing w:after="0" w:line="90"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Purchase Commitments</w:t>
      </w:r>
    </w:p>
    <w:p>
      <w:pPr>
        <w:spacing w:after="0" w:line="94" w:lineRule="exact"/>
        <w:rPr>
          <w:sz w:val="20"/>
          <w:szCs w:val="20"/>
          <w:color w:val="auto"/>
        </w:rPr>
      </w:pPr>
    </w:p>
    <w:p>
      <w:pPr>
        <w:ind w:right="340" w:firstLine="405"/>
        <w:spacing w:after="0" w:line="266" w:lineRule="auto"/>
        <w:rPr>
          <w:sz w:val="20"/>
          <w:szCs w:val="20"/>
          <w:color w:val="auto"/>
        </w:rPr>
      </w:pPr>
      <w:r>
        <w:rPr>
          <w:rFonts w:ascii="Times New Roman" w:cs="Times New Roman" w:eastAsia="Times New Roman" w:hAnsi="Times New Roman"/>
          <w:sz w:val="18"/>
          <w:szCs w:val="18"/>
          <w:color w:val="auto"/>
        </w:rPr>
        <w:t>Under the Company’s manufacturing relationships with its foundry partners, cancellation of outstanding purchase orders is allowed but requires payment of all costs and expenses incurred through the date of cancellation. As of November 3, 2018, these foundries had incurred approximately $149.1 million of manufacturing costs and expenses relating to the Company’s outstanding purchase orders.</w:t>
      </w:r>
    </w:p>
    <w:p>
      <w:pPr>
        <w:spacing w:after="0" w:line="118"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Intellectual Property Indemnification</w:t>
      </w:r>
    </w:p>
    <w:p>
      <w:pPr>
        <w:spacing w:after="0" w:line="121" w:lineRule="exact"/>
        <w:rPr>
          <w:sz w:val="20"/>
          <w:szCs w:val="20"/>
          <w:color w:val="auto"/>
        </w:rPr>
      </w:pPr>
    </w:p>
    <w:p>
      <w:pPr>
        <w:ind w:firstLine="432"/>
        <w:spacing w:after="0" w:line="254" w:lineRule="auto"/>
        <w:rPr>
          <w:sz w:val="20"/>
          <w:szCs w:val="20"/>
          <w:color w:val="auto"/>
        </w:rPr>
      </w:pPr>
      <w:r>
        <w:rPr>
          <w:rFonts w:ascii="Times New Roman" w:cs="Times New Roman" w:eastAsia="Times New Roman" w:hAnsi="Times New Roman"/>
          <w:sz w:val="18"/>
          <w:szCs w:val="18"/>
          <w:color w:val="auto"/>
        </w:rPr>
        <w:t>The Company has agreed to indemnify certain customers for claims made against the Company’s products where such claims allege infringement or misappropriation of third-party intellectual property rights, including, but not limited to, patents, registered trademarks, copyrights and/or trade secrets. Under the aforementioned indemnification clauses, the Company may be obligated to defend customers and pay for the damages awarded against the customer under an infringement or misappropriation claim, as well as customers' attorneys’ fees and costs. The Company’s indemnification obligations generally do not expire after termination or expiration of the agreement containing the indemnification obligation. However, there are typically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12"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Contingencies and Legal Proceedings</w:t>
      </w:r>
    </w:p>
    <w:p>
      <w:pPr>
        <w:spacing w:after="0" w:line="121" w:lineRule="exact"/>
        <w:rPr>
          <w:sz w:val="20"/>
          <w:szCs w:val="20"/>
          <w:color w:val="auto"/>
        </w:rPr>
      </w:pPr>
    </w:p>
    <w:p>
      <w:pPr>
        <w:ind w:right="260" w:firstLine="432"/>
        <w:spacing w:after="0" w:line="255" w:lineRule="auto"/>
        <w:rPr>
          <w:sz w:val="20"/>
          <w:szCs w:val="20"/>
          <w:color w:val="auto"/>
        </w:rPr>
      </w:pPr>
      <w:r>
        <w:rPr>
          <w:rFonts w:ascii="Times New Roman" w:cs="Times New Roman" w:eastAsia="Times New Roman" w:hAnsi="Times New Roman"/>
          <w:sz w:val="18"/>
          <w:szCs w:val="18"/>
          <w:color w:val="auto"/>
        </w:rPr>
        <w:t>The Company and certain of its subsidiaries are engaged in legal proceedings and claims which arise in the ordinary course of its business. The Company is currently unable to predict the final outcome of these matters and, therefore, cannot determine the likelihood of loss or estimate a range of possible loss, except with respect to amounts where it has determined a loss is both probable and estimable and where it has made an accrual. Litigation is subject to inherent uncertainties and unfavorable rulings could occur. An unfavorable ruling in litigation, particularly patent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There can be no assurance that these matters will be resolved in a manner that is not adverse to the Company’s business, financial condition, results of operations or cash flows.</w:t>
      </w:r>
    </w:p>
    <w:p>
      <w:pPr>
        <w:spacing w:after="0" w:line="2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1400"/>
          </w:cols>
          <w:pgMar w:left="240" w:top="126" w:right="259" w:bottom="1440" w:gutter="0" w:footer="0" w:header="0"/>
        </w:sectPr>
      </w:pPr>
    </w:p>
    <w:bookmarkStart w:id="23" w:name="page24"/>
    <w:bookmarkEnd w:id="23"/>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Indemnities, Commitments and Guarantees</w:t>
      </w:r>
    </w:p>
    <w:p>
      <w:pPr>
        <w:spacing w:after="0" w:line="121" w:lineRule="exact"/>
        <w:rPr>
          <w:sz w:val="20"/>
          <w:szCs w:val="20"/>
          <w:color w:val="auto"/>
        </w:rPr>
      </w:pPr>
    </w:p>
    <w:p>
      <w:pPr>
        <w:ind w:firstLine="432"/>
        <w:spacing w:after="0" w:line="253" w:lineRule="auto"/>
        <w:rPr>
          <w:sz w:val="20"/>
          <w:szCs w:val="20"/>
          <w:color w:val="auto"/>
        </w:rPr>
      </w:pPr>
      <w:r>
        <w:rPr>
          <w:rFonts w:ascii="Times New Roman" w:cs="Times New Roman" w:eastAsia="Times New Roman" w:hAnsi="Times New Roman"/>
          <w:sz w:val="18"/>
          <w:szCs w:val="18"/>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that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the loss is both estimable and probable.</w:t>
      </w:r>
    </w:p>
    <w:p>
      <w:pPr>
        <w:spacing w:after="0" w:line="3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12. Revenue</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i w:val="1"/>
          <w:iCs w:val="1"/>
          <w:color w:val="auto"/>
        </w:rPr>
        <w:t>Effect of the Adoption of the New Revenue Standard</w:t>
      </w:r>
    </w:p>
    <w:p>
      <w:pPr>
        <w:spacing w:after="0" w:line="189" w:lineRule="exact"/>
        <w:rPr>
          <w:sz w:val="20"/>
          <w:szCs w:val="20"/>
          <w:color w:val="auto"/>
        </w:rPr>
      </w:pPr>
    </w:p>
    <w:p>
      <w:pPr>
        <w:ind w:right="40" w:firstLine="378"/>
        <w:spacing w:after="0" w:line="254" w:lineRule="auto"/>
        <w:rPr>
          <w:sz w:val="20"/>
          <w:szCs w:val="20"/>
          <w:color w:val="auto"/>
        </w:rPr>
      </w:pPr>
      <w:r>
        <w:rPr>
          <w:rFonts w:ascii="Times New Roman" w:cs="Times New Roman" w:eastAsia="Times New Roman" w:hAnsi="Times New Roman"/>
          <w:sz w:val="18"/>
          <w:szCs w:val="18"/>
          <w:color w:val="auto"/>
        </w:rPr>
        <w:t>At the beginning of fiscal year 2019, the Company adopted the new revenue recognition standard on a modified retrospective basis, with the cumulative effect recognized in retained earnings at the date of adoption. The Company elected to apply the new revenue standard retrospectively to all contracts that are not completed contracts at the date of the initial adoption. Based on the Company’s assessment of this new accounting standard, a change in revenue recognition timing on its component sales made to distributors was made in the first quarter of fiscal year 2019 and the Company started to recognize revenue when the Company transfers control to the distributor rather than deferring recognition until the distributor sells the components. In addition, the Company established accruals for the variable consideration aspect of sales, estimated based on historical experience, which include estimates for price discounts, price protection, rebates, returns and stock rotation programs. On the date of initial adoption, the Company removed the deferred income on component sales made to distributors and recorded estimates of the accruals for variable consideration through a cumulative adjustment to retained earnings. The net impact to the opening balance of retained earnings related to the adoption of the new standard was an increase of $34.2 million.</w:t>
      </w:r>
    </w:p>
    <w:p>
      <w:pPr>
        <w:spacing w:after="0" w:line="189" w:lineRule="exact"/>
        <w:rPr>
          <w:sz w:val="20"/>
          <w:szCs w:val="20"/>
          <w:color w:val="auto"/>
        </w:rPr>
      </w:pPr>
    </w:p>
    <w:p>
      <w:pPr>
        <w:ind w:right="280" w:firstLine="378"/>
        <w:spacing w:after="0" w:line="282" w:lineRule="auto"/>
        <w:rPr>
          <w:sz w:val="20"/>
          <w:szCs w:val="20"/>
          <w:color w:val="auto"/>
        </w:rPr>
      </w:pPr>
      <w:r>
        <w:rPr>
          <w:rFonts w:ascii="Times New Roman" w:cs="Times New Roman" w:eastAsia="Times New Roman" w:hAnsi="Times New Roman"/>
          <w:sz w:val="18"/>
          <w:szCs w:val="18"/>
          <w:color w:val="auto"/>
        </w:rPr>
        <w:t>The following table summarizes the effects of adopting the new revenue standard on the Company's financial statements for the fiscal year beginning February 4, 2018 as an adjustment to the opening balance. Such adjustments were of a non-cash 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62865</wp:posOffset>
            </wp:positionV>
            <wp:extent cx="33274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80" w:type="dxa"/>
            <w:vAlign w:val="bottom"/>
          </w:tcPr>
          <w:p>
            <w:pPr>
              <w:spacing w:after="0"/>
              <w:rPr>
                <w:sz w:val="13"/>
                <w:szCs w:val="13"/>
                <w:color w:val="auto"/>
              </w:rPr>
            </w:pPr>
          </w:p>
        </w:tc>
        <w:tc>
          <w:tcPr>
            <w:tcW w:w="3600" w:type="dxa"/>
            <w:vAlign w:val="bottom"/>
            <w:gridSpan w:val="2"/>
          </w:tcPr>
          <w:p>
            <w:pPr>
              <w:jc w:val="right"/>
              <w:ind w:right="93"/>
              <w:spacing w:after="0"/>
              <w:rPr>
                <w:sz w:val="20"/>
                <w:szCs w:val="20"/>
                <w:color w:val="auto"/>
              </w:rPr>
            </w:pPr>
            <w:r>
              <w:rPr>
                <w:rFonts w:ascii="Times New Roman" w:cs="Times New Roman" w:eastAsia="Times New Roman" w:hAnsi="Times New Roman"/>
                <w:sz w:val="14"/>
                <w:szCs w:val="14"/>
                <w:b w:val="1"/>
                <w:bCs w:val="1"/>
                <w:color w:val="auto"/>
              </w:rPr>
              <w:t>Balance as of February</w:t>
            </w:r>
          </w:p>
        </w:tc>
        <w:tc>
          <w:tcPr>
            <w:tcW w:w="400" w:type="dxa"/>
            <w:vAlign w:val="bottom"/>
          </w:tcPr>
          <w:p>
            <w:pPr>
              <w:spacing w:after="0"/>
              <w:rPr>
                <w:sz w:val="13"/>
                <w:szCs w:val="13"/>
                <w:color w:val="auto"/>
              </w:rPr>
            </w:pPr>
          </w:p>
        </w:tc>
        <w:tc>
          <w:tcPr>
            <w:tcW w:w="1420" w:type="dxa"/>
            <w:vAlign w:val="bottom"/>
            <w:vMerge w:val="restart"/>
          </w:tcPr>
          <w:p>
            <w:pPr>
              <w:jc w:val="right"/>
              <w:ind w:right="413"/>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1720" w:type="dxa"/>
            <w:vAlign w:val="bottom"/>
            <w:gridSpan w:val="2"/>
          </w:tcPr>
          <w:p>
            <w:pPr>
              <w:jc w:val="right"/>
              <w:ind w:right="33"/>
              <w:spacing w:after="0"/>
              <w:rPr>
                <w:sz w:val="20"/>
                <w:szCs w:val="20"/>
                <w:color w:val="auto"/>
              </w:rPr>
            </w:pPr>
            <w:r>
              <w:rPr>
                <w:rFonts w:ascii="Times New Roman" w:cs="Times New Roman" w:eastAsia="Times New Roman" w:hAnsi="Times New Roman"/>
                <w:sz w:val="14"/>
                <w:szCs w:val="14"/>
                <w:b w:val="1"/>
                <w:bCs w:val="1"/>
                <w:color w:val="auto"/>
              </w:rPr>
              <w:t>Opening Balance as of</w:t>
            </w:r>
          </w:p>
        </w:tc>
        <w:tc>
          <w:tcPr>
            <w:tcW w:w="0" w:type="dxa"/>
            <w:vAlign w:val="bottom"/>
          </w:tcPr>
          <w:p>
            <w:pPr>
              <w:spacing w:after="0"/>
              <w:rPr>
                <w:sz w:val="1"/>
                <w:szCs w:val="1"/>
                <w:color w:val="auto"/>
              </w:rPr>
            </w:pPr>
          </w:p>
        </w:tc>
      </w:tr>
      <w:tr>
        <w:trPr>
          <w:trHeight w:val="109"/>
        </w:trPr>
        <w:tc>
          <w:tcPr>
            <w:tcW w:w="4280" w:type="dxa"/>
            <w:vAlign w:val="bottom"/>
            <w:vMerge w:val="restart"/>
          </w:tcPr>
          <w:p>
            <w:pPr>
              <w:ind w:left="40"/>
              <w:spacing w:after="0"/>
              <w:rPr>
                <w:sz w:val="20"/>
                <w:szCs w:val="20"/>
                <w:color w:val="auto"/>
              </w:rPr>
            </w:pPr>
            <w:r>
              <w:rPr>
                <w:rFonts w:ascii="Times New Roman" w:cs="Times New Roman" w:eastAsia="Times New Roman" w:hAnsi="Times New Roman"/>
                <w:sz w:val="14"/>
                <w:szCs w:val="14"/>
                <w:color w:val="auto"/>
              </w:rPr>
              <w:t>(In thousands)</w:t>
            </w:r>
          </w:p>
        </w:tc>
        <w:tc>
          <w:tcPr>
            <w:tcW w:w="2260" w:type="dxa"/>
            <w:vAlign w:val="bottom"/>
          </w:tcPr>
          <w:p>
            <w:pPr>
              <w:spacing w:after="0"/>
              <w:rPr>
                <w:sz w:val="9"/>
                <w:szCs w:val="9"/>
                <w:color w:val="auto"/>
              </w:rPr>
            </w:pPr>
          </w:p>
        </w:tc>
        <w:tc>
          <w:tcPr>
            <w:tcW w:w="1340" w:type="dxa"/>
            <w:vAlign w:val="bottom"/>
            <w:vMerge w:val="restart"/>
          </w:tcPr>
          <w:p>
            <w:pPr>
              <w:jc w:val="right"/>
              <w:ind w:right="593"/>
              <w:spacing w:after="0"/>
              <w:rPr>
                <w:sz w:val="20"/>
                <w:szCs w:val="20"/>
                <w:color w:val="auto"/>
              </w:rPr>
            </w:pPr>
            <w:r>
              <w:rPr>
                <w:rFonts w:ascii="Times New Roman" w:cs="Times New Roman" w:eastAsia="Times New Roman" w:hAnsi="Times New Roman"/>
                <w:sz w:val="14"/>
                <w:szCs w:val="14"/>
                <w:b w:val="1"/>
                <w:bCs w:val="1"/>
                <w:color w:val="auto"/>
              </w:rPr>
              <w:t>3, 2018</w:t>
            </w:r>
          </w:p>
        </w:tc>
        <w:tc>
          <w:tcPr>
            <w:tcW w:w="400" w:type="dxa"/>
            <w:vAlign w:val="bottom"/>
          </w:tcPr>
          <w:p>
            <w:pPr>
              <w:spacing w:after="0"/>
              <w:rPr>
                <w:sz w:val="9"/>
                <w:szCs w:val="9"/>
                <w:color w:val="auto"/>
              </w:rPr>
            </w:pPr>
          </w:p>
        </w:tc>
        <w:tc>
          <w:tcPr>
            <w:tcW w:w="142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vMerge w:val="restart"/>
          </w:tcPr>
          <w:p>
            <w:pPr>
              <w:jc w:val="right"/>
              <w:ind w:right="193"/>
              <w:spacing w:after="0"/>
              <w:rPr>
                <w:sz w:val="20"/>
                <w:szCs w:val="20"/>
                <w:color w:val="auto"/>
              </w:rPr>
            </w:pPr>
            <w:r>
              <w:rPr>
                <w:rFonts w:ascii="Times New Roman" w:cs="Times New Roman" w:eastAsia="Times New Roman" w:hAnsi="Times New Roman"/>
                <w:sz w:val="14"/>
                <w:szCs w:val="14"/>
                <w:b w:val="1"/>
                <w:bCs w:val="1"/>
                <w:color w:val="auto"/>
              </w:rPr>
              <w:t>February 4, 2018</w:t>
            </w:r>
          </w:p>
        </w:tc>
        <w:tc>
          <w:tcPr>
            <w:tcW w:w="0" w:type="dxa"/>
            <w:vAlign w:val="bottom"/>
          </w:tcPr>
          <w:p>
            <w:pPr>
              <w:spacing w:after="0"/>
              <w:rPr>
                <w:sz w:val="1"/>
                <w:szCs w:val="1"/>
                <w:color w:val="auto"/>
              </w:rPr>
            </w:pPr>
          </w:p>
        </w:tc>
      </w:tr>
      <w:tr>
        <w:trPr>
          <w:trHeight w:val="86"/>
        </w:trPr>
        <w:tc>
          <w:tcPr>
            <w:tcW w:w="4280" w:type="dxa"/>
            <w:vAlign w:val="bottom"/>
            <w:tcBorders>
              <w:bottom w:val="single" w:sz="8" w:color="auto"/>
            </w:tcBorders>
            <w:vMerge w:val="continue"/>
          </w:tcPr>
          <w:p>
            <w:pPr>
              <w:spacing w:after="0"/>
              <w:rPr>
                <w:sz w:val="7"/>
                <w:szCs w:val="7"/>
                <w:color w:val="auto"/>
              </w:rPr>
            </w:pPr>
          </w:p>
        </w:tc>
        <w:tc>
          <w:tcPr>
            <w:tcW w:w="2260" w:type="dxa"/>
            <w:vAlign w:val="bottom"/>
            <w:tcBorders>
              <w:bottom w:val="single" w:sz="8" w:color="auto"/>
            </w:tcBorders>
          </w:tcPr>
          <w:p>
            <w:pPr>
              <w:spacing w:after="0"/>
              <w:rPr>
                <w:sz w:val="7"/>
                <w:szCs w:val="7"/>
                <w:color w:val="auto"/>
              </w:rPr>
            </w:pPr>
          </w:p>
        </w:tc>
        <w:tc>
          <w:tcPr>
            <w:tcW w:w="1340" w:type="dxa"/>
            <w:vAlign w:val="bottom"/>
            <w:tcBorders>
              <w:bottom w:val="single" w:sz="8" w:color="auto"/>
            </w:tcBorders>
            <w:vMerge w:val="continue"/>
          </w:tcPr>
          <w:p>
            <w:pPr>
              <w:spacing w:after="0"/>
              <w:rPr>
                <w:sz w:val="7"/>
                <w:szCs w:val="7"/>
                <w:color w:val="auto"/>
              </w:rPr>
            </w:pPr>
          </w:p>
        </w:tc>
        <w:tc>
          <w:tcPr>
            <w:tcW w:w="400" w:type="dxa"/>
            <w:vAlign w:val="bottom"/>
            <w:tcBorders>
              <w:bottom w:val="single" w:sz="8" w:color="auto"/>
            </w:tcBorders>
          </w:tcPr>
          <w:p>
            <w:pPr>
              <w:spacing w:after="0"/>
              <w:rPr>
                <w:sz w:val="7"/>
                <w:szCs w:val="7"/>
                <w:color w:val="auto"/>
              </w:rPr>
            </w:pPr>
          </w:p>
        </w:tc>
        <w:tc>
          <w:tcPr>
            <w:tcW w:w="1420" w:type="dxa"/>
            <w:vAlign w:val="bottom"/>
            <w:tcBorders>
              <w:bottom w:val="single" w:sz="8" w:color="auto"/>
            </w:tcBorders>
          </w:tcPr>
          <w:p>
            <w:pPr>
              <w:spacing w:after="0"/>
              <w:rPr>
                <w:sz w:val="7"/>
                <w:szCs w:val="7"/>
                <w:color w:val="auto"/>
              </w:rPr>
            </w:pPr>
          </w:p>
        </w:tc>
        <w:tc>
          <w:tcPr>
            <w:tcW w:w="320" w:type="dxa"/>
            <w:vAlign w:val="bottom"/>
            <w:tcBorders>
              <w:bottom w:val="single" w:sz="8" w:color="auto"/>
            </w:tcBorders>
          </w:tcPr>
          <w:p>
            <w:pPr>
              <w:spacing w:after="0"/>
              <w:rPr>
                <w:sz w:val="7"/>
                <w:szCs w:val="7"/>
                <w:color w:val="auto"/>
              </w:rPr>
            </w:pPr>
          </w:p>
        </w:tc>
        <w:tc>
          <w:tcPr>
            <w:tcW w:w="140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9"/>
        </w:trPr>
        <w:tc>
          <w:tcPr>
            <w:tcW w:w="42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Consolidated balance sheet:</w:t>
            </w:r>
          </w:p>
        </w:tc>
        <w:tc>
          <w:tcPr>
            <w:tcW w:w="22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280" w:type="dxa"/>
            <w:vAlign w:val="bottom"/>
          </w:tcPr>
          <w:p>
            <w:pPr>
              <w:ind w:left="18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226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4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280" w:type="dxa"/>
            <w:vAlign w:val="bottom"/>
          </w:tcPr>
          <w:p>
            <w:pPr>
              <w:spacing w:after="0"/>
              <w:rPr>
                <w:sz w:val="2"/>
                <w:szCs w:val="2"/>
                <w:color w:val="auto"/>
              </w:rPr>
            </w:pPr>
          </w:p>
        </w:tc>
        <w:tc>
          <w:tcPr>
            <w:tcW w:w="22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28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Accounts receivable, net</w:t>
            </w:r>
          </w:p>
        </w:tc>
        <w:tc>
          <w:tcPr>
            <w:tcW w:w="226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ind w:right="93"/>
              <w:spacing w:after="0"/>
              <w:rPr>
                <w:sz w:val="20"/>
                <w:szCs w:val="20"/>
                <w:color w:val="auto"/>
              </w:rPr>
            </w:pPr>
            <w:r>
              <w:rPr>
                <w:rFonts w:ascii="Times New Roman" w:cs="Times New Roman" w:eastAsia="Times New Roman" w:hAnsi="Times New Roman"/>
                <w:sz w:val="18"/>
                <w:szCs w:val="18"/>
                <w:color w:val="auto"/>
              </w:rPr>
              <w:t>280,395</w:t>
            </w:r>
          </w:p>
        </w:tc>
        <w:tc>
          <w:tcPr>
            <w:tcW w:w="40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420" w:type="dxa"/>
            <w:vAlign w:val="bottom"/>
            <w:tcBorders>
              <w:bottom w:val="single" w:sz="8" w:color="CCEEFF"/>
            </w:tcBorders>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1,862</w:t>
            </w:r>
          </w:p>
        </w:tc>
        <w:tc>
          <w:tcPr>
            <w:tcW w:w="3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282,257</w:t>
            </w:r>
          </w:p>
        </w:tc>
        <w:tc>
          <w:tcPr>
            <w:tcW w:w="0" w:type="dxa"/>
            <w:vAlign w:val="bottom"/>
          </w:tcPr>
          <w:p>
            <w:pPr>
              <w:spacing w:after="0"/>
              <w:rPr>
                <w:sz w:val="1"/>
                <w:szCs w:val="1"/>
                <w:color w:val="auto"/>
              </w:rPr>
            </w:pPr>
          </w:p>
        </w:tc>
      </w:tr>
      <w:tr>
        <w:trPr>
          <w:trHeight w:val="243"/>
        </w:trPr>
        <w:tc>
          <w:tcPr>
            <w:tcW w:w="428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Inventory</w:t>
            </w:r>
          </w:p>
        </w:tc>
        <w:tc>
          <w:tcPr>
            <w:tcW w:w="2260" w:type="dxa"/>
            <w:vAlign w:val="bottom"/>
          </w:tcPr>
          <w:p>
            <w:pPr>
              <w:spacing w:after="0"/>
              <w:rPr>
                <w:sz w:val="21"/>
                <w:szCs w:val="21"/>
                <w:color w:val="auto"/>
              </w:rPr>
            </w:pPr>
          </w:p>
        </w:tc>
        <w:tc>
          <w:tcPr>
            <w:tcW w:w="134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170,039</w:t>
            </w:r>
          </w:p>
        </w:tc>
        <w:tc>
          <w:tcPr>
            <w:tcW w:w="400" w:type="dxa"/>
            <w:vAlign w:val="bottom"/>
          </w:tcPr>
          <w:p>
            <w:pPr>
              <w:spacing w:after="0"/>
              <w:rPr>
                <w:sz w:val="21"/>
                <w:szCs w:val="21"/>
                <w:color w:val="auto"/>
              </w:rPr>
            </w:pPr>
          </w:p>
        </w:tc>
        <w:tc>
          <w:tcPr>
            <w:tcW w:w="1420" w:type="dxa"/>
            <w:vAlign w:val="bottom"/>
          </w:tcPr>
          <w:p>
            <w:pPr>
              <w:jc w:val="right"/>
              <w:ind w:right="113"/>
              <w:spacing w:after="0"/>
              <w:rPr>
                <w:sz w:val="20"/>
                <w:szCs w:val="20"/>
                <w:color w:val="auto"/>
              </w:rPr>
            </w:pPr>
            <w:r>
              <w:rPr>
                <w:rFonts w:ascii="Times New Roman" w:cs="Times New Roman" w:eastAsia="Times New Roman" w:hAnsi="Times New Roman"/>
                <w:sz w:val="18"/>
                <w:szCs w:val="18"/>
                <w:color w:val="auto"/>
              </w:rPr>
              <w:t>2,016</w:t>
            </w:r>
          </w:p>
        </w:tc>
        <w:tc>
          <w:tcPr>
            <w:tcW w:w="320" w:type="dxa"/>
            <w:vAlign w:val="bottom"/>
          </w:tcPr>
          <w:p>
            <w:pPr>
              <w:spacing w:after="0"/>
              <w:rPr>
                <w:sz w:val="21"/>
                <w:szCs w:val="21"/>
                <w:color w:val="auto"/>
              </w:rPr>
            </w:pPr>
          </w:p>
        </w:tc>
        <w:tc>
          <w:tcPr>
            <w:tcW w:w="140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172,055</w:t>
            </w:r>
          </w:p>
        </w:tc>
        <w:tc>
          <w:tcPr>
            <w:tcW w:w="0" w:type="dxa"/>
            <w:vAlign w:val="bottom"/>
          </w:tcPr>
          <w:p>
            <w:pPr>
              <w:spacing w:after="0"/>
              <w:rPr>
                <w:sz w:val="1"/>
                <w:szCs w:val="1"/>
                <w:color w:val="auto"/>
              </w:rPr>
            </w:pPr>
          </w:p>
        </w:tc>
      </w:tr>
      <w:tr>
        <w:trPr>
          <w:trHeight w:val="27"/>
        </w:trPr>
        <w:tc>
          <w:tcPr>
            <w:tcW w:w="4280" w:type="dxa"/>
            <w:vAlign w:val="bottom"/>
          </w:tcPr>
          <w:p>
            <w:pPr>
              <w:spacing w:after="0"/>
              <w:rPr>
                <w:sz w:val="2"/>
                <w:szCs w:val="2"/>
                <w:color w:val="auto"/>
              </w:rPr>
            </w:pPr>
          </w:p>
        </w:tc>
        <w:tc>
          <w:tcPr>
            <w:tcW w:w="22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28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Other non-current assets</w:t>
            </w:r>
          </w:p>
        </w:tc>
        <w:tc>
          <w:tcPr>
            <w:tcW w:w="22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93"/>
              <w:spacing w:after="0"/>
              <w:rPr>
                <w:sz w:val="20"/>
                <w:szCs w:val="20"/>
                <w:color w:val="auto"/>
              </w:rPr>
            </w:pPr>
            <w:r>
              <w:rPr>
                <w:rFonts w:ascii="Times New Roman" w:cs="Times New Roman" w:eastAsia="Times New Roman" w:hAnsi="Times New Roman"/>
                <w:sz w:val="18"/>
                <w:szCs w:val="18"/>
                <w:color w:val="auto"/>
              </w:rPr>
              <w:t>148,800</w:t>
            </w:r>
          </w:p>
        </w:tc>
        <w:tc>
          <w:tcPr>
            <w:tcW w:w="4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42,116</w:t>
            </w:r>
          </w:p>
        </w:tc>
        <w:tc>
          <w:tcPr>
            <w:tcW w:w="3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190,916</w:t>
            </w:r>
          </w:p>
        </w:tc>
        <w:tc>
          <w:tcPr>
            <w:tcW w:w="0" w:type="dxa"/>
            <w:vAlign w:val="bottom"/>
          </w:tcPr>
          <w:p>
            <w:pPr>
              <w:spacing w:after="0"/>
              <w:rPr>
                <w:sz w:val="1"/>
                <w:szCs w:val="1"/>
                <w:color w:val="auto"/>
              </w:rPr>
            </w:pPr>
          </w:p>
        </w:tc>
      </w:tr>
      <w:tr>
        <w:trPr>
          <w:trHeight w:val="243"/>
        </w:trPr>
        <w:tc>
          <w:tcPr>
            <w:tcW w:w="4280" w:type="dxa"/>
            <w:vAlign w:val="bottom"/>
          </w:tcPr>
          <w:p>
            <w:pPr>
              <w:ind w:left="18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226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4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280" w:type="dxa"/>
            <w:vAlign w:val="bottom"/>
          </w:tcPr>
          <w:p>
            <w:pPr>
              <w:spacing w:after="0"/>
              <w:rPr>
                <w:sz w:val="2"/>
                <w:szCs w:val="2"/>
                <w:color w:val="auto"/>
              </w:rPr>
            </w:pPr>
          </w:p>
        </w:tc>
        <w:tc>
          <w:tcPr>
            <w:tcW w:w="22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28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Accrued liabilities</w:t>
            </w:r>
          </w:p>
        </w:tc>
        <w:tc>
          <w:tcPr>
            <w:tcW w:w="22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93"/>
              <w:spacing w:after="0"/>
              <w:rPr>
                <w:sz w:val="20"/>
                <w:szCs w:val="20"/>
                <w:color w:val="auto"/>
              </w:rPr>
            </w:pPr>
            <w:r>
              <w:rPr>
                <w:rFonts w:ascii="Times New Roman" w:cs="Times New Roman" w:eastAsia="Times New Roman" w:hAnsi="Times New Roman"/>
                <w:sz w:val="18"/>
                <w:szCs w:val="18"/>
                <w:color w:val="auto"/>
              </w:rPr>
              <w:t>86,958</w:t>
            </w:r>
          </w:p>
        </w:tc>
        <w:tc>
          <w:tcPr>
            <w:tcW w:w="4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70,336</w:t>
            </w:r>
          </w:p>
        </w:tc>
        <w:tc>
          <w:tcPr>
            <w:tcW w:w="3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157,294</w:t>
            </w:r>
          </w:p>
        </w:tc>
        <w:tc>
          <w:tcPr>
            <w:tcW w:w="0" w:type="dxa"/>
            <w:vAlign w:val="bottom"/>
          </w:tcPr>
          <w:p>
            <w:pPr>
              <w:spacing w:after="0"/>
              <w:rPr>
                <w:sz w:val="1"/>
                <w:szCs w:val="1"/>
                <w:color w:val="auto"/>
              </w:rPr>
            </w:pPr>
          </w:p>
        </w:tc>
      </w:tr>
      <w:tr>
        <w:trPr>
          <w:trHeight w:val="243"/>
        </w:trPr>
        <w:tc>
          <w:tcPr>
            <w:tcW w:w="428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Deferred income</w:t>
            </w:r>
          </w:p>
        </w:tc>
        <w:tc>
          <w:tcPr>
            <w:tcW w:w="2260" w:type="dxa"/>
            <w:vAlign w:val="bottom"/>
          </w:tcPr>
          <w:p>
            <w:pPr>
              <w:spacing w:after="0"/>
              <w:rPr>
                <w:sz w:val="21"/>
                <w:szCs w:val="21"/>
                <w:color w:val="auto"/>
              </w:rPr>
            </w:pPr>
          </w:p>
        </w:tc>
        <w:tc>
          <w:tcPr>
            <w:tcW w:w="134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61,237</w:t>
            </w:r>
          </w:p>
        </w:tc>
        <w:tc>
          <w:tcPr>
            <w:tcW w:w="400" w:type="dxa"/>
            <w:vAlign w:val="bottom"/>
          </w:tcPr>
          <w:p>
            <w:pPr>
              <w:spacing w:after="0"/>
              <w:rPr>
                <w:sz w:val="21"/>
                <w:szCs w:val="21"/>
                <w:color w:val="auto"/>
              </w:rPr>
            </w:pPr>
          </w:p>
        </w:tc>
        <w:tc>
          <w:tcPr>
            <w:tcW w:w="1420" w:type="dxa"/>
            <w:vAlign w:val="bottom"/>
          </w:tcPr>
          <w:p>
            <w:pPr>
              <w:jc w:val="right"/>
              <w:ind w:right="53"/>
              <w:spacing w:after="0"/>
              <w:rPr>
                <w:sz w:val="20"/>
                <w:szCs w:val="20"/>
                <w:color w:val="auto"/>
              </w:rPr>
            </w:pPr>
            <w:r>
              <w:rPr>
                <w:rFonts w:ascii="Times New Roman" w:cs="Times New Roman" w:eastAsia="Times New Roman" w:hAnsi="Times New Roman"/>
                <w:sz w:val="18"/>
                <w:szCs w:val="18"/>
                <w:color w:val="auto"/>
              </w:rPr>
              <w:t>(58,560)</w:t>
            </w:r>
          </w:p>
        </w:tc>
        <w:tc>
          <w:tcPr>
            <w:tcW w:w="320" w:type="dxa"/>
            <w:vAlign w:val="bottom"/>
          </w:tcPr>
          <w:p>
            <w:pPr>
              <w:spacing w:after="0"/>
              <w:rPr>
                <w:sz w:val="21"/>
                <w:szCs w:val="21"/>
                <w:color w:val="auto"/>
              </w:rPr>
            </w:pPr>
          </w:p>
        </w:tc>
        <w:tc>
          <w:tcPr>
            <w:tcW w:w="140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2,677</w:t>
            </w:r>
          </w:p>
        </w:tc>
        <w:tc>
          <w:tcPr>
            <w:tcW w:w="0" w:type="dxa"/>
            <w:vAlign w:val="bottom"/>
          </w:tcPr>
          <w:p>
            <w:pPr>
              <w:spacing w:after="0"/>
              <w:rPr>
                <w:sz w:val="1"/>
                <w:szCs w:val="1"/>
                <w:color w:val="auto"/>
              </w:rPr>
            </w:pPr>
          </w:p>
        </w:tc>
      </w:tr>
      <w:tr>
        <w:trPr>
          <w:trHeight w:val="27"/>
        </w:trPr>
        <w:tc>
          <w:tcPr>
            <w:tcW w:w="4280" w:type="dxa"/>
            <w:vAlign w:val="bottom"/>
          </w:tcPr>
          <w:p>
            <w:pPr>
              <w:spacing w:after="0"/>
              <w:rPr>
                <w:sz w:val="2"/>
                <w:szCs w:val="2"/>
                <w:color w:val="auto"/>
              </w:rPr>
            </w:pPr>
          </w:p>
        </w:tc>
        <w:tc>
          <w:tcPr>
            <w:tcW w:w="226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28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Retained earnings</w:t>
            </w:r>
          </w:p>
        </w:tc>
        <w:tc>
          <w:tcPr>
            <w:tcW w:w="2260" w:type="dxa"/>
            <w:vAlign w:val="bottom"/>
            <w:tcBorders>
              <w:bottom w:val="single" w:sz="8" w:color="CCEEFF"/>
            </w:tcBorders>
            <w:shd w:val="clear" w:color="auto" w:fill="CCEEFF"/>
          </w:tcPr>
          <w:p>
            <w:pPr>
              <w:jc w:val="right"/>
              <w:ind w:right="154"/>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shd w:val="clear" w:color="auto" w:fill="CCEEFF"/>
          </w:tcPr>
          <w:p>
            <w:pPr>
              <w:jc w:val="right"/>
              <w:ind w:right="93"/>
              <w:spacing w:after="0"/>
              <w:rPr>
                <w:sz w:val="20"/>
                <w:szCs w:val="20"/>
                <w:color w:val="auto"/>
              </w:rPr>
            </w:pPr>
            <w:r>
              <w:rPr>
                <w:rFonts w:ascii="Times New Roman" w:cs="Times New Roman" w:eastAsia="Times New Roman" w:hAnsi="Times New Roman"/>
                <w:sz w:val="18"/>
                <w:szCs w:val="18"/>
                <w:color w:val="auto"/>
              </w:rPr>
              <w:t>1,409,452</w:t>
            </w:r>
          </w:p>
        </w:tc>
        <w:tc>
          <w:tcPr>
            <w:tcW w:w="40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420" w:type="dxa"/>
            <w:vAlign w:val="bottom"/>
            <w:tcBorders>
              <w:bottom w:val="single" w:sz="8" w:color="CCEEFF"/>
            </w:tcBorders>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34,218</w:t>
            </w:r>
          </w:p>
        </w:tc>
        <w:tc>
          <w:tcPr>
            <w:tcW w:w="3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1,443,670</w:t>
            </w:r>
          </w:p>
        </w:tc>
        <w:tc>
          <w:tcPr>
            <w:tcW w:w="0" w:type="dxa"/>
            <w:vAlign w:val="bottom"/>
          </w:tcPr>
          <w:p>
            <w:pPr>
              <w:spacing w:after="0"/>
              <w:rPr>
                <w:sz w:val="1"/>
                <w:szCs w:val="1"/>
                <w:color w:val="auto"/>
              </w:rPr>
            </w:pPr>
          </w:p>
        </w:tc>
      </w:tr>
      <w:tr>
        <w:trPr>
          <w:trHeight w:val="459"/>
        </w:trPr>
        <w:tc>
          <w:tcPr>
            <w:tcW w:w="4280" w:type="dxa"/>
            <w:vAlign w:val="bottom"/>
          </w:tcPr>
          <w:p>
            <w:pPr>
              <w:spacing w:after="0"/>
              <w:rPr>
                <w:sz w:val="24"/>
                <w:szCs w:val="24"/>
                <w:color w:val="auto"/>
              </w:rPr>
            </w:pPr>
          </w:p>
        </w:tc>
        <w:tc>
          <w:tcPr>
            <w:tcW w:w="2260" w:type="dxa"/>
            <w:vAlign w:val="bottom"/>
          </w:tcPr>
          <w:p>
            <w:pPr>
              <w:jc w:val="right"/>
              <w:ind w:right="654"/>
              <w:spacing w:after="0"/>
              <w:rPr>
                <w:sz w:val="20"/>
                <w:szCs w:val="20"/>
                <w:color w:val="auto"/>
              </w:rPr>
            </w:pPr>
            <w:r>
              <w:rPr>
                <w:rFonts w:ascii="Times New Roman" w:cs="Times New Roman" w:eastAsia="Times New Roman" w:hAnsi="Times New Roman"/>
                <w:sz w:val="18"/>
                <w:szCs w:val="18"/>
                <w:color w:val="auto"/>
              </w:rPr>
              <w:t>22</w:t>
            </w:r>
          </w:p>
        </w:tc>
        <w:tc>
          <w:tcPr>
            <w:tcW w:w="1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6" w:right="239" w:bottom="1440" w:gutter="0" w:footer="0" w:header="0"/>
        </w:sectPr>
      </w:pPr>
    </w:p>
    <w:bookmarkStart w:id="24" w:name="page25"/>
    <w:bookmarkEnd w:id="24"/>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jc w:val="both"/>
        <w:ind w:right="360" w:firstLine="405"/>
        <w:spacing w:after="0" w:line="266" w:lineRule="auto"/>
        <w:rPr>
          <w:sz w:val="20"/>
          <w:szCs w:val="20"/>
          <w:color w:val="auto"/>
        </w:rPr>
      </w:pPr>
      <w:r>
        <w:rPr>
          <w:rFonts w:ascii="Times New Roman" w:cs="Times New Roman" w:eastAsia="Times New Roman" w:hAnsi="Times New Roman"/>
          <w:sz w:val="18"/>
          <w:szCs w:val="18"/>
          <w:color w:val="auto"/>
        </w:rPr>
        <w:t>The following tables summarize financial statement line items that are affected in the current reporting period by the application of the new revenue recognition policy as compared with the previous revenue recognition policy which was in effect in prior periods in accordance with ASC 605, Revenue Recognition:</w:t>
      </w:r>
    </w:p>
    <w:p>
      <w:pPr>
        <w:spacing w:after="0" w:line="200" w:lineRule="exact"/>
        <w:rPr>
          <w:sz w:val="20"/>
          <w:szCs w:val="20"/>
          <w:color w:val="auto"/>
        </w:rPr>
      </w:pPr>
    </w:p>
    <w:p>
      <w:pPr>
        <w:spacing w:after="0" w:line="226"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20" w:type="dxa"/>
            <w:vAlign w:val="bottom"/>
          </w:tcPr>
          <w:p>
            <w:pPr>
              <w:spacing w:after="0"/>
              <w:rPr>
                <w:sz w:val="16"/>
                <w:szCs w:val="16"/>
                <w:color w:val="auto"/>
              </w:rPr>
            </w:pPr>
          </w:p>
        </w:tc>
        <w:tc>
          <w:tcPr>
            <w:tcW w:w="42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540" w:type="dxa"/>
            <w:vAlign w:val="bottom"/>
            <w:tcBorders>
              <w:bottom w:val="single" w:sz="8" w:color="auto"/>
            </w:tcBorders>
            <w:gridSpan w:val="2"/>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8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20" w:type="dxa"/>
            <w:vAlign w:val="bottom"/>
            <w:gridSpan w:val="4"/>
            <w:vMerge w:val="restart"/>
          </w:tcPr>
          <w:p>
            <w:pPr>
              <w:ind w:left="140"/>
              <w:spacing w:after="0"/>
              <w:rPr>
                <w:sz w:val="20"/>
                <w:szCs w:val="20"/>
                <w:color w:val="auto"/>
              </w:rPr>
            </w:pPr>
            <w:r>
              <w:rPr>
                <w:rFonts w:ascii="Times New Roman" w:cs="Times New Roman" w:eastAsia="Times New Roman" w:hAnsi="Times New Roman"/>
                <w:sz w:val="14"/>
                <w:szCs w:val="14"/>
                <w:b w:val="1"/>
                <w:bCs w:val="1"/>
                <w:color w:val="auto"/>
              </w:rPr>
              <w:t>As currently reported</w:t>
            </w:r>
          </w:p>
        </w:tc>
        <w:tc>
          <w:tcPr>
            <w:tcW w:w="160" w:type="dxa"/>
            <w:vAlign w:val="bottom"/>
          </w:tcPr>
          <w:p>
            <w:pPr>
              <w:spacing w:after="0"/>
              <w:rPr>
                <w:sz w:val="12"/>
                <w:szCs w:val="12"/>
                <w:color w:val="auto"/>
              </w:rPr>
            </w:pPr>
          </w:p>
        </w:tc>
        <w:tc>
          <w:tcPr>
            <w:tcW w:w="1540" w:type="dxa"/>
            <w:vAlign w:val="bottom"/>
            <w:gridSpan w:val="2"/>
            <w:vMerge w:val="restart"/>
          </w:tcPr>
          <w:p>
            <w:pPr>
              <w:jc w:val="right"/>
              <w:ind w:right="212"/>
              <w:spacing w:after="0"/>
              <w:rPr>
                <w:sz w:val="20"/>
                <w:szCs w:val="20"/>
                <w:color w:val="auto"/>
              </w:rPr>
            </w:pPr>
            <w:r>
              <w:rPr>
                <w:rFonts w:ascii="Times New Roman" w:cs="Times New Roman" w:eastAsia="Times New Roman" w:hAnsi="Times New Roman"/>
                <w:sz w:val="14"/>
                <w:szCs w:val="14"/>
                <w:b w:val="1"/>
                <w:bCs w:val="1"/>
                <w:color w:val="auto"/>
              </w:rPr>
              <w:t>Adjustments</w:t>
            </w:r>
          </w:p>
        </w:tc>
        <w:tc>
          <w:tcPr>
            <w:tcW w:w="80" w:type="dxa"/>
            <w:vAlign w:val="bottom"/>
          </w:tcPr>
          <w:p>
            <w:pPr>
              <w:spacing w:after="0"/>
              <w:rPr>
                <w:sz w:val="12"/>
                <w:szCs w:val="12"/>
                <w:color w:val="auto"/>
              </w:rPr>
            </w:pPr>
          </w:p>
        </w:tc>
        <w:tc>
          <w:tcPr>
            <w:tcW w:w="1840" w:type="dxa"/>
            <w:vAlign w:val="bottom"/>
            <w:gridSpan w:val="3"/>
          </w:tcPr>
          <w:p>
            <w:pPr>
              <w:jc w:val="center"/>
              <w:ind w:left="155"/>
              <w:spacing w:after="0" w:line="149" w:lineRule="exact"/>
              <w:rPr>
                <w:sz w:val="20"/>
                <w:szCs w:val="20"/>
                <w:color w:val="auto"/>
              </w:rPr>
            </w:pPr>
            <w:r>
              <w:rPr>
                <w:rFonts w:ascii="Times New Roman" w:cs="Times New Roman" w:eastAsia="Times New Roman" w:hAnsi="Times New Roman"/>
                <w:sz w:val="14"/>
                <w:szCs w:val="14"/>
                <w:b w:val="1"/>
                <w:bCs w:val="1"/>
                <w:color w:val="auto"/>
              </w:rPr>
              <w:t>Balances without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vMerge w:val="restart"/>
          </w:tcPr>
          <w:p>
            <w:pPr>
              <w:ind w:left="20"/>
              <w:spacing w:after="0"/>
              <w:rPr>
                <w:sz w:val="20"/>
                <w:szCs w:val="20"/>
                <w:color w:val="auto"/>
              </w:rPr>
            </w:pPr>
            <w:r>
              <w:rPr>
                <w:rFonts w:ascii="Times New Roman" w:cs="Times New Roman" w:eastAsia="Times New Roman" w:hAnsi="Times New Roman"/>
                <w:sz w:val="14"/>
                <w:szCs w:val="14"/>
                <w:color w:val="auto"/>
              </w:rPr>
              <w:t>(In thousands)</w:t>
            </w: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20" w:type="dxa"/>
            <w:vAlign w:val="bottom"/>
            <w:gridSpan w:val="4"/>
            <w:vMerge w:val="continue"/>
          </w:tcPr>
          <w:p>
            <w:pPr>
              <w:spacing w:after="0"/>
              <w:rPr>
                <w:sz w:val="12"/>
                <w:szCs w:val="12"/>
                <w:color w:val="auto"/>
              </w:rPr>
            </w:pPr>
          </w:p>
        </w:tc>
        <w:tc>
          <w:tcPr>
            <w:tcW w:w="160" w:type="dxa"/>
            <w:vAlign w:val="bottom"/>
          </w:tcPr>
          <w:p>
            <w:pPr>
              <w:spacing w:after="0"/>
              <w:rPr>
                <w:sz w:val="12"/>
                <w:szCs w:val="12"/>
                <w:color w:val="auto"/>
              </w:rPr>
            </w:pPr>
          </w:p>
        </w:tc>
        <w:tc>
          <w:tcPr>
            <w:tcW w:w="154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840" w:type="dxa"/>
            <w:vAlign w:val="bottom"/>
            <w:gridSpan w:val="3"/>
          </w:tcPr>
          <w:p>
            <w:pPr>
              <w:jc w:val="center"/>
              <w:ind w:left="135"/>
              <w:spacing w:after="0" w:line="149" w:lineRule="exact"/>
              <w:rPr>
                <w:sz w:val="20"/>
                <w:szCs w:val="20"/>
                <w:color w:val="auto"/>
              </w:rPr>
            </w:pPr>
            <w:r>
              <w:rPr>
                <w:rFonts w:ascii="Times New Roman" w:cs="Times New Roman" w:eastAsia="Times New Roman" w:hAnsi="Times New Roman"/>
                <w:sz w:val="14"/>
                <w:szCs w:val="14"/>
                <w:b w:val="1"/>
                <w:bCs w:val="1"/>
                <w:color w:val="auto"/>
              </w:rPr>
              <w:t>adoption of new revenue</w:t>
            </w: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422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620" w:type="dxa"/>
            <w:vAlign w:val="bottom"/>
            <w:tcBorders>
              <w:bottom w:val="single" w:sz="8" w:color="auto"/>
            </w:tcBorders>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660" w:type="dxa"/>
            <w:vAlign w:val="bottom"/>
            <w:tcBorders>
              <w:bottom w:val="single" w:sz="8" w:color="auto"/>
            </w:tcBorders>
          </w:tcPr>
          <w:p>
            <w:pPr>
              <w:spacing w:after="0"/>
              <w:rPr>
                <w:sz w:val="16"/>
                <w:szCs w:val="16"/>
                <w:color w:val="auto"/>
              </w:rPr>
            </w:pPr>
          </w:p>
        </w:tc>
        <w:tc>
          <w:tcPr>
            <w:tcW w:w="80" w:type="dxa"/>
            <w:vAlign w:val="bottom"/>
            <w:tcBorders>
              <w:bottom w:val="single" w:sz="8" w:color="auto"/>
            </w:tcBorders>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gridSpan w:val="2"/>
          </w:tcPr>
          <w:p>
            <w:pPr>
              <w:jc w:val="center"/>
              <w:ind w:right="310"/>
              <w:spacing w:after="0"/>
              <w:rPr>
                <w:sz w:val="20"/>
                <w:szCs w:val="20"/>
                <w:color w:val="auto"/>
              </w:rPr>
            </w:pPr>
            <w:r>
              <w:rPr>
                <w:rFonts w:ascii="Times New Roman" w:cs="Times New Roman" w:eastAsia="Times New Roman" w:hAnsi="Times New Roman"/>
                <w:sz w:val="14"/>
                <w:szCs w:val="14"/>
                <w:b w:val="1"/>
                <w:bCs w:val="1"/>
                <w:color w:val="auto"/>
              </w:rPr>
              <w:t>standard</w:t>
            </w:r>
          </w:p>
        </w:tc>
        <w:tc>
          <w:tcPr>
            <w:tcW w:w="0" w:type="dxa"/>
            <w:vAlign w:val="bottom"/>
          </w:tcPr>
          <w:p>
            <w:pPr>
              <w:spacing w:after="0"/>
              <w:rPr>
                <w:sz w:val="1"/>
                <w:szCs w:val="1"/>
                <w:color w:val="auto"/>
              </w:rPr>
            </w:pPr>
          </w:p>
        </w:tc>
      </w:tr>
      <w:tr>
        <w:trPr>
          <w:trHeight w:val="249"/>
        </w:trPr>
        <w:tc>
          <w:tcPr>
            <w:tcW w:w="20" w:type="dxa"/>
            <w:vAlign w:val="bottom"/>
          </w:tcPr>
          <w:p>
            <w:pPr>
              <w:spacing w:after="0"/>
              <w:rPr>
                <w:sz w:val="21"/>
                <w:szCs w:val="21"/>
                <w:color w:val="auto"/>
              </w:rPr>
            </w:pPr>
          </w:p>
        </w:tc>
        <w:tc>
          <w:tcPr>
            <w:tcW w:w="42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b w:val="1"/>
                <w:bCs w:val="1"/>
                <w:color w:val="auto"/>
              </w:rPr>
              <w:t>Consolidated balance sheet:</w:t>
            </w:r>
          </w:p>
        </w:tc>
        <w:tc>
          <w:tcPr>
            <w:tcW w:w="1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620" w:type="dxa"/>
            <w:vAlign w:val="bottom"/>
            <w:tcBorders>
              <w:bottom w:val="single" w:sz="8" w:color="CCEEFF"/>
            </w:tcBorders>
            <w:shd w:val="clear" w:color="auto" w:fill="CCEEFF"/>
          </w:tcPr>
          <w:p>
            <w:pPr>
              <w:spacing w:after="0"/>
              <w:rPr>
                <w:sz w:val="21"/>
                <w:szCs w:val="21"/>
                <w:color w:val="auto"/>
              </w:rPr>
            </w:pPr>
          </w:p>
        </w:tc>
        <w:tc>
          <w:tcPr>
            <w:tcW w:w="4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6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6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4220" w:type="dxa"/>
            <w:vAlign w:val="bottom"/>
          </w:tcPr>
          <w:p>
            <w:pPr>
              <w:ind w:left="16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1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62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0" w:type="dxa"/>
            <w:vAlign w:val="bottom"/>
          </w:tcPr>
          <w:p>
            <w:pPr>
              <w:spacing w:after="0"/>
              <w:rPr>
                <w:sz w:val="21"/>
                <w:szCs w:val="21"/>
                <w:color w:val="auto"/>
              </w:rPr>
            </w:pPr>
          </w:p>
        </w:tc>
        <w:tc>
          <w:tcPr>
            <w:tcW w:w="4220" w:type="dxa"/>
            <w:vAlign w:val="bottom"/>
            <w:tcBorders>
              <w:bottom w:val="single" w:sz="8" w:color="CCEEFF"/>
            </w:tcBorders>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Accounts receivable, net</w:t>
            </w:r>
          </w:p>
        </w:tc>
        <w:tc>
          <w:tcPr>
            <w:tcW w:w="1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8"/>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453,775</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637"/>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Borders>
              <w:bottom w:val="single" w:sz="8" w:color="CCEEFF"/>
            </w:tcBorders>
            <w:shd w:val="clear" w:color="auto" w:fill="CCEEFF"/>
          </w:tcPr>
          <w:p>
            <w:pPr>
              <w:spacing w:after="0"/>
              <w:rPr>
                <w:sz w:val="21"/>
                <w:szCs w:val="21"/>
                <w:color w:val="auto"/>
              </w:rPr>
            </w:pPr>
          </w:p>
        </w:tc>
        <w:tc>
          <w:tcPr>
            <w:tcW w:w="640" w:type="dxa"/>
            <w:vAlign w:val="bottom"/>
            <w:tcBorders>
              <w:bottom w:val="single" w:sz="8" w:color="CCEEFF"/>
            </w:tcBorders>
            <w:shd w:val="clear" w:color="auto" w:fill="CCEEFF"/>
          </w:tcPr>
          <w:p>
            <w:pPr>
              <w:jc w:val="right"/>
              <w:ind w:right="195"/>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453,775</w:t>
            </w: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422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Inventories</w:t>
            </w:r>
          </w:p>
        </w:tc>
        <w:tc>
          <w:tcPr>
            <w:tcW w:w="1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376,210</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7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(1,015)</w:t>
            </w:r>
          </w:p>
        </w:tc>
        <w:tc>
          <w:tcPr>
            <w:tcW w:w="6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375,195</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62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80" w:type="dxa"/>
            <w:vAlign w:val="bottom"/>
          </w:tcPr>
          <w:p>
            <w:pPr>
              <w:spacing w:after="0"/>
              <w:rPr>
                <w:sz w:val="2"/>
                <w:szCs w:val="2"/>
                <w:color w:val="auto"/>
              </w:rPr>
            </w:pPr>
          </w:p>
        </w:tc>
        <w:tc>
          <w:tcPr>
            <w:tcW w:w="740" w:type="dxa"/>
            <w:vAlign w:val="bottom"/>
            <w:gridSpan w:val="2"/>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0" w:type="dxa"/>
            <w:vAlign w:val="bottom"/>
          </w:tcPr>
          <w:p>
            <w:pPr>
              <w:spacing w:after="0"/>
              <w:rPr>
                <w:sz w:val="21"/>
                <w:szCs w:val="21"/>
                <w:color w:val="auto"/>
              </w:rPr>
            </w:pPr>
          </w:p>
        </w:tc>
        <w:tc>
          <w:tcPr>
            <w:tcW w:w="4220" w:type="dxa"/>
            <w:vAlign w:val="bottom"/>
            <w:tcBorders>
              <w:bottom w:val="single" w:sz="8" w:color="CCEEFF"/>
            </w:tcBorders>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Other non-current assets</w:t>
            </w:r>
          </w:p>
        </w:tc>
        <w:tc>
          <w:tcPr>
            <w:tcW w:w="1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620" w:type="dxa"/>
            <w:vAlign w:val="bottom"/>
            <w:tcBorders>
              <w:bottom w:val="single" w:sz="8" w:color="CCEEFF"/>
            </w:tcBorders>
            <w:shd w:val="clear" w:color="auto" w:fill="CCEEFF"/>
          </w:tcPr>
          <w:p>
            <w:pPr>
              <w:spacing w:after="0"/>
              <w:rPr>
                <w:sz w:val="21"/>
                <w:szCs w:val="21"/>
                <w:color w:val="auto"/>
              </w:rPr>
            </w:pPr>
          </w:p>
        </w:tc>
        <w:tc>
          <w:tcPr>
            <w:tcW w:w="4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260,176</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(68,263)</w:t>
            </w:r>
          </w:p>
        </w:tc>
        <w:tc>
          <w:tcPr>
            <w:tcW w:w="6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191,913</w:t>
            </w: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4220" w:type="dxa"/>
            <w:vAlign w:val="bottom"/>
          </w:tcPr>
          <w:p>
            <w:pPr>
              <w:ind w:left="16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1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62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80" w:type="dxa"/>
            <w:vAlign w:val="bottom"/>
          </w:tcPr>
          <w:p>
            <w:pPr>
              <w:spacing w:after="0"/>
              <w:rPr>
                <w:sz w:val="2"/>
                <w:szCs w:val="2"/>
                <w:color w:val="auto"/>
              </w:rPr>
            </w:pPr>
          </w:p>
        </w:tc>
        <w:tc>
          <w:tcPr>
            <w:tcW w:w="740" w:type="dxa"/>
            <w:vAlign w:val="bottom"/>
            <w:gridSpan w:val="2"/>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0" w:type="dxa"/>
            <w:vAlign w:val="bottom"/>
          </w:tcPr>
          <w:p>
            <w:pPr>
              <w:spacing w:after="0"/>
              <w:rPr>
                <w:sz w:val="21"/>
                <w:szCs w:val="21"/>
                <w:color w:val="auto"/>
              </w:rPr>
            </w:pPr>
          </w:p>
        </w:tc>
        <w:tc>
          <w:tcPr>
            <w:tcW w:w="4220" w:type="dxa"/>
            <w:vAlign w:val="bottom"/>
            <w:tcBorders>
              <w:bottom w:val="single" w:sz="8" w:color="CCEEFF"/>
            </w:tcBorders>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Accrued liabilities</w:t>
            </w:r>
          </w:p>
        </w:tc>
        <w:tc>
          <w:tcPr>
            <w:tcW w:w="1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620" w:type="dxa"/>
            <w:vAlign w:val="bottom"/>
            <w:tcBorders>
              <w:bottom w:val="single" w:sz="8" w:color="CCEEFF"/>
            </w:tcBorders>
            <w:shd w:val="clear" w:color="auto" w:fill="CCEEFF"/>
          </w:tcPr>
          <w:p>
            <w:pPr>
              <w:spacing w:after="0"/>
              <w:rPr>
                <w:sz w:val="21"/>
                <w:szCs w:val="21"/>
                <w:color w:val="auto"/>
              </w:rPr>
            </w:pPr>
          </w:p>
        </w:tc>
        <w:tc>
          <w:tcPr>
            <w:tcW w:w="4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302,095</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(106,572)</w:t>
            </w:r>
          </w:p>
        </w:tc>
        <w:tc>
          <w:tcPr>
            <w:tcW w:w="6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195,523</w:t>
            </w: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422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Deferred income</w:t>
            </w:r>
          </w:p>
        </w:tc>
        <w:tc>
          <w:tcPr>
            <w:tcW w:w="12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2,947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101,957</w:t>
            </w:r>
          </w:p>
        </w:tc>
        <w:tc>
          <w:tcPr>
            <w:tcW w:w="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104,904</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62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80" w:type="dxa"/>
            <w:vAlign w:val="bottom"/>
          </w:tcPr>
          <w:p>
            <w:pPr>
              <w:spacing w:after="0"/>
              <w:rPr>
                <w:sz w:val="2"/>
                <w:szCs w:val="2"/>
                <w:color w:val="auto"/>
              </w:rPr>
            </w:pPr>
          </w:p>
        </w:tc>
        <w:tc>
          <w:tcPr>
            <w:tcW w:w="740" w:type="dxa"/>
            <w:vAlign w:val="bottom"/>
            <w:gridSpan w:val="2"/>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0" w:type="dxa"/>
            <w:vAlign w:val="bottom"/>
          </w:tcPr>
          <w:p>
            <w:pPr>
              <w:spacing w:after="0"/>
              <w:rPr>
                <w:sz w:val="21"/>
                <w:szCs w:val="21"/>
                <w:color w:val="auto"/>
              </w:rPr>
            </w:pPr>
          </w:p>
        </w:tc>
        <w:tc>
          <w:tcPr>
            <w:tcW w:w="4220" w:type="dxa"/>
            <w:vAlign w:val="bottom"/>
            <w:tcBorders>
              <w:bottom w:val="single" w:sz="8" w:color="CCEEFF"/>
            </w:tcBorders>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Retained earnings</w:t>
            </w:r>
          </w:p>
        </w:tc>
        <w:tc>
          <w:tcPr>
            <w:tcW w:w="1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228"/>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1,416,682</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637"/>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(64,663)</w:t>
            </w:r>
          </w:p>
        </w:tc>
        <w:tc>
          <w:tcPr>
            <w:tcW w:w="640" w:type="dxa"/>
            <w:vAlign w:val="bottom"/>
            <w:tcBorders>
              <w:bottom w:val="single" w:sz="8" w:color="CCEEFF"/>
            </w:tcBorders>
            <w:shd w:val="clear" w:color="auto" w:fill="CCEEFF"/>
          </w:tcPr>
          <w:p>
            <w:pPr>
              <w:jc w:val="right"/>
              <w:ind w:right="195"/>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1,352,019</w:t>
            </w:r>
          </w:p>
        </w:tc>
        <w:tc>
          <w:tcPr>
            <w:tcW w:w="0" w:type="dxa"/>
            <w:vAlign w:val="bottom"/>
          </w:tcPr>
          <w:p>
            <w:pPr>
              <w:spacing w:after="0"/>
              <w:rPr>
                <w:sz w:val="1"/>
                <w:szCs w:val="1"/>
                <w:color w:val="auto"/>
              </w:rPr>
            </w:pPr>
          </w:p>
        </w:tc>
      </w:tr>
      <w:tr>
        <w:trPr>
          <w:trHeight w:val="643"/>
        </w:trPr>
        <w:tc>
          <w:tcPr>
            <w:tcW w:w="20" w:type="dxa"/>
            <w:vAlign w:val="bottom"/>
          </w:tcPr>
          <w:p>
            <w:pPr>
              <w:spacing w:after="0"/>
              <w:rPr>
                <w:sz w:val="24"/>
                <w:szCs w:val="24"/>
                <w:color w:val="auto"/>
              </w:rPr>
            </w:pPr>
          </w:p>
        </w:tc>
        <w:tc>
          <w:tcPr>
            <w:tcW w:w="422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340" w:type="dxa"/>
            <w:vAlign w:val="bottom"/>
            <w:tcBorders>
              <w:bottom w:val="single" w:sz="8" w:color="auto"/>
            </w:tcBorders>
            <w:gridSpan w:val="6"/>
          </w:tcPr>
          <w:p>
            <w:pPr>
              <w:jc w:val="right"/>
              <w:ind w:right="416"/>
              <w:spacing w:after="0"/>
              <w:rPr>
                <w:sz w:val="20"/>
                <w:szCs w:val="20"/>
                <w:color w:val="auto"/>
              </w:rPr>
            </w:pPr>
            <w:r>
              <w:rPr>
                <w:rFonts w:ascii="Times New Roman" w:cs="Times New Roman" w:eastAsia="Times New Roman" w:hAnsi="Times New Roman"/>
                <w:sz w:val="14"/>
                <w:szCs w:val="14"/>
                <w:b w:val="1"/>
                <w:bCs w:val="1"/>
                <w:color w:val="auto"/>
              </w:rPr>
              <w:t>Three Months Ended November 3, 2018</w:t>
            </w:r>
          </w:p>
        </w:tc>
        <w:tc>
          <w:tcPr>
            <w:tcW w:w="10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3460" w:type="dxa"/>
            <w:vAlign w:val="bottom"/>
            <w:tcBorders>
              <w:bottom w:val="single" w:sz="8" w:color="auto"/>
            </w:tcBorders>
            <w:gridSpan w:val="6"/>
          </w:tcPr>
          <w:p>
            <w:pPr>
              <w:jc w:val="right"/>
              <w:ind w:right="510"/>
              <w:spacing w:after="0"/>
              <w:rPr>
                <w:sz w:val="20"/>
                <w:szCs w:val="20"/>
                <w:color w:val="auto"/>
              </w:rPr>
            </w:pPr>
            <w:r>
              <w:rPr>
                <w:rFonts w:ascii="Times New Roman" w:cs="Times New Roman" w:eastAsia="Times New Roman" w:hAnsi="Times New Roman"/>
                <w:sz w:val="14"/>
                <w:szCs w:val="14"/>
                <w:b w:val="1"/>
                <w:bCs w:val="1"/>
                <w:color w:val="auto"/>
              </w:rPr>
              <w:t>Nine Months Ended November 3, 2018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20" w:type="dxa"/>
            <w:vAlign w:val="bottom"/>
            <w:gridSpan w:val="2"/>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Balances</w:t>
            </w:r>
          </w:p>
        </w:tc>
        <w:tc>
          <w:tcPr>
            <w:tcW w:w="1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0" w:type="dxa"/>
            <w:vAlign w:val="bottom"/>
            <w:gridSpan w:val="2"/>
            <w:vMerge w:val="restart"/>
          </w:tcPr>
          <w:p>
            <w:pPr>
              <w:ind w:left="100"/>
              <w:spacing w:after="0"/>
              <w:rPr>
                <w:sz w:val="20"/>
                <w:szCs w:val="20"/>
                <w:color w:val="auto"/>
              </w:rPr>
            </w:pPr>
            <w:r>
              <w:rPr>
                <w:rFonts w:ascii="Times New Roman" w:cs="Times New Roman" w:eastAsia="Times New Roman" w:hAnsi="Times New Roman"/>
                <w:sz w:val="14"/>
                <w:szCs w:val="14"/>
                <w:b w:val="1"/>
                <w:bCs w:val="1"/>
                <w:color w:val="auto"/>
              </w:rPr>
              <w:t>Balances without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vMerge w:val="restart"/>
          </w:tcPr>
          <w:p>
            <w:pPr>
              <w:jc w:val="right"/>
              <w:ind w:right="97"/>
              <w:spacing w:after="0"/>
              <w:rPr>
                <w:sz w:val="20"/>
                <w:szCs w:val="20"/>
                <w:color w:val="auto"/>
              </w:rPr>
            </w:pPr>
            <w:r>
              <w:rPr>
                <w:rFonts w:ascii="Times New Roman" w:cs="Times New Roman" w:eastAsia="Times New Roman" w:hAnsi="Times New Roman"/>
                <w:sz w:val="14"/>
                <w:szCs w:val="14"/>
                <w:b w:val="1"/>
                <w:bCs w:val="1"/>
                <w:color w:val="auto"/>
              </w:rPr>
              <w:t>As currently</w:t>
            </w:r>
          </w:p>
        </w:tc>
        <w:tc>
          <w:tcPr>
            <w:tcW w:w="2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20" w:type="dxa"/>
            <w:vAlign w:val="bottom"/>
            <w:gridSpan w:val="2"/>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without</w:t>
            </w:r>
          </w:p>
        </w:tc>
        <w:tc>
          <w:tcPr>
            <w:tcW w:w="160" w:type="dxa"/>
            <w:vAlign w:val="bottom"/>
          </w:tcPr>
          <w:p>
            <w:pPr>
              <w:spacing w:after="0"/>
              <w:rPr>
                <w:sz w:val="12"/>
                <w:szCs w:val="12"/>
                <w:color w:val="auto"/>
              </w:rPr>
            </w:pPr>
          </w:p>
        </w:tc>
        <w:tc>
          <w:tcPr>
            <w:tcW w:w="880" w:type="dxa"/>
            <w:vAlign w:val="bottom"/>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As currently</w:t>
            </w:r>
          </w:p>
        </w:tc>
        <w:tc>
          <w:tcPr>
            <w:tcW w:w="6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20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4220" w:type="dxa"/>
            <w:vAlign w:val="bottom"/>
          </w:tcPr>
          <w:p>
            <w:pPr>
              <w:spacing w:after="0"/>
              <w:rPr>
                <w:sz w:val="5"/>
                <w:szCs w:val="5"/>
                <w:color w:val="auto"/>
              </w:rPr>
            </w:pPr>
          </w:p>
        </w:tc>
        <w:tc>
          <w:tcPr>
            <w:tcW w:w="120" w:type="dxa"/>
            <w:vAlign w:val="bottom"/>
          </w:tcPr>
          <w:p>
            <w:pPr>
              <w:spacing w:after="0"/>
              <w:rPr>
                <w:sz w:val="5"/>
                <w:szCs w:val="5"/>
                <w:color w:val="auto"/>
              </w:rPr>
            </w:pPr>
          </w:p>
        </w:tc>
        <w:tc>
          <w:tcPr>
            <w:tcW w:w="98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1040" w:type="dxa"/>
            <w:vAlign w:val="bottom"/>
            <w:gridSpan w:val="2"/>
            <w:vMerge w:val="restart"/>
          </w:tcPr>
          <w:p>
            <w:pPr>
              <w:jc w:val="right"/>
              <w:ind w:right="148"/>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180" w:type="dxa"/>
            <w:vAlign w:val="bottom"/>
          </w:tcPr>
          <w:p>
            <w:pPr>
              <w:spacing w:after="0"/>
              <w:rPr>
                <w:sz w:val="5"/>
                <w:szCs w:val="5"/>
                <w:color w:val="auto"/>
              </w:rPr>
            </w:pPr>
          </w:p>
        </w:tc>
        <w:tc>
          <w:tcPr>
            <w:tcW w:w="1020" w:type="dxa"/>
            <w:vAlign w:val="bottom"/>
            <w:gridSpan w:val="2"/>
            <w:vMerge w:val="restart"/>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adoption of</w:t>
            </w:r>
          </w:p>
        </w:tc>
        <w:tc>
          <w:tcPr>
            <w:tcW w:w="160" w:type="dxa"/>
            <w:vAlign w:val="bottom"/>
          </w:tcPr>
          <w:p>
            <w:pPr>
              <w:spacing w:after="0"/>
              <w:rPr>
                <w:sz w:val="5"/>
                <w:szCs w:val="5"/>
                <w:color w:val="auto"/>
              </w:rPr>
            </w:pPr>
          </w:p>
        </w:tc>
        <w:tc>
          <w:tcPr>
            <w:tcW w:w="880" w:type="dxa"/>
            <w:vAlign w:val="bottom"/>
            <w:vMerge w:val="continue"/>
          </w:tcPr>
          <w:p>
            <w:pPr>
              <w:spacing w:after="0"/>
              <w:rPr>
                <w:sz w:val="5"/>
                <w:szCs w:val="5"/>
                <w:color w:val="auto"/>
              </w:rPr>
            </w:pPr>
          </w:p>
        </w:tc>
        <w:tc>
          <w:tcPr>
            <w:tcW w:w="1380" w:type="dxa"/>
            <w:vAlign w:val="bottom"/>
            <w:gridSpan w:val="3"/>
            <w:vMerge w:val="restart"/>
          </w:tcPr>
          <w:p>
            <w:pPr>
              <w:jc w:val="right"/>
              <w:ind w:right="135"/>
              <w:spacing w:after="0" w:line="149" w:lineRule="exact"/>
              <w:rPr>
                <w:sz w:val="20"/>
                <w:szCs w:val="20"/>
                <w:color w:val="auto"/>
              </w:rPr>
            </w:pPr>
            <w:r>
              <w:rPr>
                <w:rFonts w:ascii="Times New Roman" w:cs="Times New Roman" w:eastAsia="Times New Roman" w:hAnsi="Times New Roman"/>
                <w:sz w:val="14"/>
                <w:szCs w:val="14"/>
                <w:b w:val="1"/>
                <w:bCs w:val="1"/>
                <w:color w:val="auto"/>
              </w:rPr>
              <w:t>Adjustments</w:t>
            </w:r>
          </w:p>
        </w:tc>
        <w:tc>
          <w:tcPr>
            <w:tcW w:w="1200" w:type="dxa"/>
            <w:vAlign w:val="bottom"/>
            <w:gridSpan w:val="2"/>
            <w:vMerge w:val="restart"/>
          </w:tcPr>
          <w:p>
            <w:pPr>
              <w:jc w:val="right"/>
              <w:spacing w:after="0" w:line="149" w:lineRule="exact"/>
              <w:rPr>
                <w:sz w:val="20"/>
                <w:szCs w:val="20"/>
                <w:color w:val="auto"/>
              </w:rPr>
            </w:pPr>
            <w:r>
              <w:rPr>
                <w:rFonts w:ascii="Times New Roman" w:cs="Times New Roman" w:eastAsia="Times New Roman" w:hAnsi="Times New Roman"/>
                <w:sz w:val="14"/>
                <w:szCs w:val="14"/>
                <w:b w:val="1"/>
                <w:bCs w:val="1"/>
                <w:color w:val="auto"/>
              </w:rPr>
              <w:t>adoption of new</w:t>
            </w: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4220" w:type="dxa"/>
            <w:vAlign w:val="bottom"/>
          </w:tcPr>
          <w:p>
            <w:pPr>
              <w:spacing w:after="0"/>
              <w:rPr>
                <w:sz w:val="7"/>
                <w:szCs w:val="7"/>
                <w:color w:val="auto"/>
              </w:rPr>
            </w:pPr>
          </w:p>
        </w:tc>
        <w:tc>
          <w:tcPr>
            <w:tcW w:w="120" w:type="dxa"/>
            <w:vAlign w:val="bottom"/>
          </w:tcPr>
          <w:p>
            <w:pPr>
              <w:spacing w:after="0"/>
              <w:rPr>
                <w:sz w:val="7"/>
                <w:szCs w:val="7"/>
                <w:color w:val="auto"/>
              </w:rPr>
            </w:pPr>
          </w:p>
        </w:tc>
        <w:tc>
          <w:tcPr>
            <w:tcW w:w="980" w:type="dxa"/>
            <w:vAlign w:val="bottom"/>
            <w:vMerge w:val="restart"/>
          </w:tcPr>
          <w:p>
            <w:pPr>
              <w:jc w:val="right"/>
              <w:ind w:right="217"/>
              <w:spacing w:after="0"/>
              <w:rPr>
                <w:sz w:val="20"/>
                <w:szCs w:val="20"/>
                <w:color w:val="auto"/>
              </w:rPr>
            </w:pPr>
            <w:r>
              <w:rPr>
                <w:rFonts w:ascii="Times New Roman" w:cs="Times New Roman" w:eastAsia="Times New Roman" w:hAnsi="Times New Roman"/>
                <w:sz w:val="14"/>
                <w:szCs w:val="14"/>
                <w:b w:val="1"/>
                <w:bCs w:val="1"/>
                <w:color w:val="auto"/>
              </w:rPr>
              <w:t>reported</w:t>
            </w:r>
          </w:p>
        </w:tc>
        <w:tc>
          <w:tcPr>
            <w:tcW w:w="220" w:type="dxa"/>
            <w:vAlign w:val="bottom"/>
          </w:tcPr>
          <w:p>
            <w:pPr>
              <w:spacing w:after="0"/>
              <w:rPr>
                <w:sz w:val="7"/>
                <w:szCs w:val="7"/>
                <w:color w:val="auto"/>
              </w:rPr>
            </w:pPr>
          </w:p>
        </w:tc>
        <w:tc>
          <w:tcPr>
            <w:tcW w:w="1040" w:type="dxa"/>
            <w:vAlign w:val="bottom"/>
            <w:gridSpan w:val="2"/>
            <w:vMerge w:val="continue"/>
          </w:tcPr>
          <w:p>
            <w:pPr>
              <w:spacing w:after="0"/>
              <w:rPr>
                <w:sz w:val="7"/>
                <w:szCs w:val="7"/>
                <w:color w:val="auto"/>
              </w:rPr>
            </w:pPr>
          </w:p>
        </w:tc>
        <w:tc>
          <w:tcPr>
            <w:tcW w:w="180" w:type="dxa"/>
            <w:vAlign w:val="bottom"/>
          </w:tcPr>
          <w:p>
            <w:pPr>
              <w:spacing w:after="0"/>
              <w:rPr>
                <w:sz w:val="7"/>
                <w:szCs w:val="7"/>
                <w:color w:val="auto"/>
              </w:rPr>
            </w:pPr>
          </w:p>
        </w:tc>
        <w:tc>
          <w:tcPr>
            <w:tcW w:w="1020" w:type="dxa"/>
            <w:vAlign w:val="bottom"/>
            <w:gridSpan w:val="2"/>
            <w:vMerge w:val="continue"/>
          </w:tcPr>
          <w:p>
            <w:pPr>
              <w:spacing w:after="0"/>
              <w:rPr>
                <w:sz w:val="7"/>
                <w:szCs w:val="7"/>
                <w:color w:val="auto"/>
              </w:rPr>
            </w:pPr>
          </w:p>
        </w:tc>
        <w:tc>
          <w:tcPr>
            <w:tcW w:w="160" w:type="dxa"/>
            <w:vAlign w:val="bottom"/>
          </w:tcPr>
          <w:p>
            <w:pPr>
              <w:spacing w:after="0"/>
              <w:rPr>
                <w:sz w:val="7"/>
                <w:szCs w:val="7"/>
                <w:color w:val="auto"/>
              </w:rPr>
            </w:pPr>
          </w:p>
        </w:tc>
        <w:tc>
          <w:tcPr>
            <w:tcW w:w="880" w:type="dxa"/>
            <w:vAlign w:val="bottom"/>
            <w:vMerge w:val="restart"/>
          </w:tcPr>
          <w:p>
            <w:pPr>
              <w:jc w:val="right"/>
              <w:ind w:right="117"/>
              <w:spacing w:after="0"/>
              <w:rPr>
                <w:sz w:val="20"/>
                <w:szCs w:val="20"/>
                <w:color w:val="auto"/>
              </w:rPr>
            </w:pPr>
            <w:r>
              <w:rPr>
                <w:rFonts w:ascii="Times New Roman" w:cs="Times New Roman" w:eastAsia="Times New Roman" w:hAnsi="Times New Roman"/>
                <w:sz w:val="14"/>
                <w:szCs w:val="14"/>
                <w:b w:val="1"/>
                <w:bCs w:val="1"/>
                <w:color w:val="auto"/>
              </w:rPr>
              <w:t>reported</w:t>
            </w:r>
          </w:p>
        </w:tc>
        <w:tc>
          <w:tcPr>
            <w:tcW w:w="1380" w:type="dxa"/>
            <w:vAlign w:val="bottom"/>
            <w:gridSpan w:val="3"/>
            <w:vMerge w:val="continue"/>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4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98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620" w:type="dxa"/>
            <w:vAlign w:val="bottom"/>
          </w:tcPr>
          <w:p>
            <w:pPr>
              <w:spacing w:after="0"/>
              <w:rPr>
                <w:sz w:val="9"/>
                <w:szCs w:val="9"/>
                <w:color w:val="auto"/>
              </w:rPr>
            </w:pPr>
          </w:p>
        </w:tc>
        <w:tc>
          <w:tcPr>
            <w:tcW w:w="4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20" w:type="dxa"/>
            <w:vAlign w:val="bottom"/>
            <w:gridSpan w:val="2"/>
            <w:vMerge w:val="restart"/>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rPr>
              <w:t>new revenue</w:t>
            </w:r>
          </w:p>
        </w:tc>
        <w:tc>
          <w:tcPr>
            <w:tcW w:w="160" w:type="dxa"/>
            <w:vAlign w:val="bottom"/>
          </w:tcPr>
          <w:p>
            <w:pPr>
              <w:spacing w:after="0"/>
              <w:rPr>
                <w:sz w:val="9"/>
                <w:szCs w:val="9"/>
                <w:color w:val="auto"/>
              </w:rPr>
            </w:pPr>
          </w:p>
        </w:tc>
        <w:tc>
          <w:tcPr>
            <w:tcW w:w="880" w:type="dxa"/>
            <w:vAlign w:val="bottom"/>
            <w:vMerge w:val="continue"/>
          </w:tcPr>
          <w:p>
            <w:pPr>
              <w:spacing w:after="0"/>
              <w:rPr>
                <w:sz w:val="9"/>
                <w:szCs w:val="9"/>
                <w:color w:val="auto"/>
              </w:rPr>
            </w:pPr>
          </w:p>
        </w:tc>
        <w:tc>
          <w:tcPr>
            <w:tcW w:w="660" w:type="dxa"/>
            <w:vAlign w:val="bottom"/>
          </w:tcPr>
          <w:p>
            <w:pPr>
              <w:spacing w:after="0"/>
              <w:rPr>
                <w:sz w:val="9"/>
                <w:szCs w:val="9"/>
                <w:color w:val="auto"/>
              </w:rPr>
            </w:pPr>
          </w:p>
        </w:tc>
        <w:tc>
          <w:tcPr>
            <w:tcW w:w="80" w:type="dxa"/>
            <w:vAlign w:val="bottom"/>
          </w:tcPr>
          <w:p>
            <w:pPr>
              <w:spacing w:after="0"/>
              <w:rPr>
                <w:sz w:val="9"/>
                <w:szCs w:val="9"/>
                <w:color w:val="auto"/>
              </w:rPr>
            </w:pPr>
          </w:p>
        </w:tc>
        <w:tc>
          <w:tcPr>
            <w:tcW w:w="640" w:type="dxa"/>
            <w:vAlign w:val="bottom"/>
          </w:tcPr>
          <w:p>
            <w:pPr>
              <w:spacing w:after="0"/>
              <w:rPr>
                <w:sz w:val="9"/>
                <w:szCs w:val="9"/>
                <w:color w:val="auto"/>
              </w:rPr>
            </w:pPr>
          </w:p>
        </w:tc>
        <w:tc>
          <w:tcPr>
            <w:tcW w:w="1200" w:type="dxa"/>
            <w:vAlign w:val="bottom"/>
            <w:gridSpan w:val="2"/>
            <w:vMerge w:val="restart"/>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revenue standard</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4220" w:type="dxa"/>
            <w:vAlign w:val="bottom"/>
            <w:vMerge w:val="restart"/>
          </w:tcPr>
          <w:p>
            <w:pPr>
              <w:ind w:left="20"/>
              <w:spacing w:after="0"/>
              <w:rPr>
                <w:sz w:val="20"/>
                <w:szCs w:val="20"/>
                <w:color w:val="auto"/>
              </w:rPr>
            </w:pPr>
            <w:r>
              <w:rPr>
                <w:rFonts w:ascii="Times New Roman" w:cs="Times New Roman" w:eastAsia="Times New Roman" w:hAnsi="Times New Roman"/>
                <w:sz w:val="14"/>
                <w:szCs w:val="14"/>
                <w:color w:val="auto"/>
              </w:rPr>
              <w:t>(In thousands, except per share amounts)</w:t>
            </w:r>
          </w:p>
        </w:tc>
        <w:tc>
          <w:tcPr>
            <w:tcW w:w="120" w:type="dxa"/>
            <w:vAlign w:val="bottom"/>
          </w:tcPr>
          <w:p>
            <w:pPr>
              <w:spacing w:after="0"/>
              <w:rPr>
                <w:sz w:val="3"/>
                <w:szCs w:val="3"/>
                <w:color w:val="auto"/>
              </w:rPr>
            </w:pPr>
          </w:p>
        </w:tc>
        <w:tc>
          <w:tcPr>
            <w:tcW w:w="980" w:type="dxa"/>
            <w:vAlign w:val="bottom"/>
          </w:tcPr>
          <w:p>
            <w:pPr>
              <w:spacing w:after="0"/>
              <w:rPr>
                <w:sz w:val="3"/>
                <w:szCs w:val="3"/>
                <w:color w:val="auto"/>
              </w:rPr>
            </w:pPr>
          </w:p>
        </w:tc>
        <w:tc>
          <w:tcPr>
            <w:tcW w:w="220" w:type="dxa"/>
            <w:vAlign w:val="bottom"/>
          </w:tcPr>
          <w:p>
            <w:pPr>
              <w:spacing w:after="0"/>
              <w:rPr>
                <w:sz w:val="3"/>
                <w:szCs w:val="3"/>
                <w:color w:val="auto"/>
              </w:rPr>
            </w:pPr>
          </w:p>
        </w:tc>
        <w:tc>
          <w:tcPr>
            <w:tcW w:w="620" w:type="dxa"/>
            <w:vAlign w:val="bottom"/>
          </w:tcPr>
          <w:p>
            <w:pPr>
              <w:spacing w:after="0"/>
              <w:rPr>
                <w:sz w:val="3"/>
                <w:szCs w:val="3"/>
                <w:color w:val="auto"/>
              </w:rPr>
            </w:pPr>
          </w:p>
        </w:tc>
        <w:tc>
          <w:tcPr>
            <w:tcW w:w="4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20" w:type="dxa"/>
            <w:vAlign w:val="bottom"/>
            <w:gridSpan w:val="2"/>
            <w:vMerge w:val="continue"/>
          </w:tcPr>
          <w:p>
            <w:pPr>
              <w:spacing w:after="0"/>
              <w:rPr>
                <w:sz w:val="3"/>
                <w:szCs w:val="3"/>
                <w:color w:val="auto"/>
              </w:rPr>
            </w:pPr>
          </w:p>
        </w:tc>
        <w:tc>
          <w:tcPr>
            <w:tcW w:w="160" w:type="dxa"/>
            <w:vAlign w:val="bottom"/>
          </w:tcPr>
          <w:p>
            <w:pPr>
              <w:spacing w:after="0"/>
              <w:rPr>
                <w:sz w:val="3"/>
                <w:szCs w:val="3"/>
                <w:color w:val="auto"/>
              </w:rPr>
            </w:pPr>
          </w:p>
        </w:tc>
        <w:tc>
          <w:tcPr>
            <w:tcW w:w="8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95"/>
        </w:trPr>
        <w:tc>
          <w:tcPr>
            <w:tcW w:w="20" w:type="dxa"/>
            <w:vAlign w:val="bottom"/>
          </w:tcPr>
          <w:p>
            <w:pPr>
              <w:spacing w:after="0"/>
              <w:rPr>
                <w:sz w:val="16"/>
                <w:szCs w:val="16"/>
                <w:color w:val="auto"/>
              </w:rPr>
            </w:pPr>
          </w:p>
        </w:tc>
        <w:tc>
          <w:tcPr>
            <w:tcW w:w="4220" w:type="dxa"/>
            <w:vAlign w:val="bottom"/>
            <w:vMerge w:val="continue"/>
          </w:tcPr>
          <w:p>
            <w:pPr>
              <w:spacing w:after="0"/>
              <w:rPr>
                <w:sz w:val="16"/>
                <w:szCs w:val="16"/>
                <w:color w:val="auto"/>
              </w:rPr>
            </w:pPr>
          </w:p>
        </w:tc>
        <w:tc>
          <w:tcPr>
            <w:tcW w:w="12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2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standard</w:t>
            </w:r>
          </w:p>
        </w:tc>
        <w:tc>
          <w:tcPr>
            <w:tcW w:w="1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auto"/>
              <w:bottom w:val="single" w:sz="8" w:color="CCEEFF"/>
            </w:tcBorders>
            <w:shd w:val="clear" w:color="auto" w:fill="CCEEFF"/>
          </w:tcPr>
          <w:p>
            <w:pPr>
              <w:spacing w:after="0"/>
              <w:rPr>
                <w:sz w:val="21"/>
                <w:szCs w:val="21"/>
                <w:color w:val="auto"/>
              </w:rPr>
            </w:pPr>
          </w:p>
        </w:tc>
        <w:tc>
          <w:tcPr>
            <w:tcW w:w="4220" w:type="dxa"/>
            <w:vAlign w:val="bottom"/>
            <w:tcBorders>
              <w:top w:val="single" w:sz="8" w:color="auto"/>
              <w:bottom w:val="single" w:sz="8" w:color="CCEEFF"/>
            </w:tcBorders>
            <w:shd w:val="clear" w:color="auto" w:fill="CCEEFF"/>
          </w:tcPr>
          <w:p>
            <w:pPr>
              <w:ind w:left="160"/>
              <w:spacing w:after="0"/>
              <w:rPr>
                <w:sz w:val="20"/>
                <w:szCs w:val="20"/>
                <w:color w:val="auto"/>
              </w:rPr>
            </w:pPr>
            <w:r>
              <w:rPr>
                <w:rFonts w:ascii="Times New Roman" w:cs="Times New Roman" w:eastAsia="Times New Roman" w:hAnsi="Times New Roman"/>
                <w:sz w:val="18"/>
                <w:szCs w:val="18"/>
                <w:b w:val="1"/>
                <w:bCs w:val="1"/>
                <w:color w:val="auto"/>
              </w:rPr>
              <w:t>Consolidated statement of operation:</w:t>
            </w:r>
          </w:p>
        </w:tc>
        <w:tc>
          <w:tcPr>
            <w:tcW w:w="120" w:type="dxa"/>
            <w:vAlign w:val="bottom"/>
            <w:tcBorders>
              <w:top w:val="single" w:sz="8" w:color="auto"/>
              <w:bottom w:val="single" w:sz="8" w:color="CCEEFF"/>
            </w:tcBorders>
            <w:shd w:val="clear" w:color="auto" w:fill="CCEEFF"/>
          </w:tcPr>
          <w:p>
            <w:pPr>
              <w:spacing w:after="0"/>
              <w:rPr>
                <w:sz w:val="21"/>
                <w:szCs w:val="21"/>
                <w:color w:val="auto"/>
              </w:rPr>
            </w:pPr>
          </w:p>
        </w:tc>
        <w:tc>
          <w:tcPr>
            <w:tcW w:w="98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CCEEFF"/>
            </w:tcBorders>
            <w:shd w:val="clear" w:color="auto" w:fill="CCEEFF"/>
          </w:tcPr>
          <w:p>
            <w:pPr>
              <w:spacing w:after="0"/>
              <w:rPr>
                <w:sz w:val="21"/>
                <w:szCs w:val="21"/>
                <w:color w:val="auto"/>
              </w:rPr>
            </w:pPr>
          </w:p>
        </w:tc>
        <w:tc>
          <w:tcPr>
            <w:tcW w:w="620" w:type="dxa"/>
            <w:vAlign w:val="bottom"/>
            <w:tcBorders>
              <w:top w:val="single" w:sz="8" w:color="auto"/>
              <w:bottom w:val="single" w:sz="8" w:color="CCEEFF"/>
            </w:tcBorders>
            <w:shd w:val="clear" w:color="auto" w:fill="CCEEFF"/>
          </w:tcPr>
          <w:p>
            <w:pPr>
              <w:spacing w:after="0"/>
              <w:rPr>
                <w:sz w:val="21"/>
                <w:szCs w:val="21"/>
                <w:color w:val="auto"/>
              </w:rPr>
            </w:pPr>
          </w:p>
        </w:tc>
        <w:tc>
          <w:tcPr>
            <w:tcW w:w="420" w:type="dxa"/>
            <w:vAlign w:val="bottom"/>
            <w:tcBorders>
              <w:top w:val="single" w:sz="8" w:color="auto"/>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spacing w:after="0"/>
              <w:rPr>
                <w:sz w:val="21"/>
                <w:szCs w:val="21"/>
                <w:color w:val="auto"/>
              </w:rPr>
            </w:pPr>
          </w:p>
        </w:tc>
        <w:tc>
          <w:tcPr>
            <w:tcW w:w="880" w:type="dxa"/>
            <w:vAlign w:val="bottom"/>
            <w:tcBorders>
              <w:top w:val="single" w:sz="8" w:color="auto"/>
              <w:bottom w:val="single" w:sz="8" w:color="CCEEFF"/>
            </w:tcBorders>
            <w:shd w:val="clear" w:color="auto" w:fill="CCEEFF"/>
          </w:tcPr>
          <w:p>
            <w:pPr>
              <w:spacing w:after="0"/>
              <w:rPr>
                <w:sz w:val="21"/>
                <w:szCs w:val="21"/>
                <w:color w:val="auto"/>
              </w:rPr>
            </w:pPr>
          </w:p>
        </w:tc>
        <w:tc>
          <w:tcPr>
            <w:tcW w:w="660" w:type="dxa"/>
            <w:vAlign w:val="bottom"/>
            <w:tcBorders>
              <w:top w:val="single" w:sz="8" w:color="auto"/>
              <w:bottom w:val="single" w:sz="8" w:color="CCEEFF"/>
            </w:tcBorders>
            <w:shd w:val="clear" w:color="auto" w:fill="CCEEFF"/>
          </w:tcPr>
          <w:p>
            <w:pPr>
              <w:spacing w:after="0"/>
              <w:rPr>
                <w:sz w:val="21"/>
                <w:szCs w:val="21"/>
                <w:color w:val="auto"/>
              </w:rPr>
            </w:pPr>
          </w:p>
        </w:tc>
        <w:tc>
          <w:tcPr>
            <w:tcW w:w="80" w:type="dxa"/>
            <w:vAlign w:val="bottom"/>
            <w:tcBorders>
              <w:top w:val="single" w:sz="8" w:color="auto"/>
              <w:bottom w:val="single" w:sz="8" w:color="CCEEFF"/>
            </w:tcBorders>
            <w:shd w:val="clear" w:color="auto" w:fill="CCEEFF"/>
          </w:tcPr>
          <w:p>
            <w:pPr>
              <w:spacing w:after="0"/>
              <w:rPr>
                <w:sz w:val="21"/>
                <w:szCs w:val="21"/>
                <w:color w:val="auto"/>
              </w:rPr>
            </w:pPr>
          </w:p>
        </w:tc>
        <w:tc>
          <w:tcPr>
            <w:tcW w:w="640" w:type="dxa"/>
            <w:vAlign w:val="bottom"/>
            <w:tcBorders>
              <w:top w:val="single" w:sz="8" w:color="auto"/>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422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Net revenue</w:t>
            </w:r>
          </w:p>
        </w:tc>
        <w:tc>
          <w:tcPr>
            <w:tcW w:w="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Pr>
          <w:p>
            <w:pPr>
              <w:jc w:val="right"/>
              <w:ind w:right="77"/>
              <w:spacing w:after="0"/>
              <w:rPr>
                <w:sz w:val="20"/>
                <w:szCs w:val="20"/>
                <w:color w:val="auto"/>
              </w:rPr>
            </w:pPr>
            <w:r>
              <w:rPr>
                <w:rFonts w:ascii="Times New Roman" w:cs="Times New Roman" w:eastAsia="Times New Roman" w:hAnsi="Times New Roman"/>
                <w:sz w:val="18"/>
                <w:szCs w:val="18"/>
                <w:color w:val="auto"/>
              </w:rPr>
              <w:t>851,051</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tcPr>
          <w:p>
            <w:pPr>
              <w:jc w:val="right"/>
              <w:ind w:right="8"/>
              <w:spacing w:after="0"/>
              <w:rPr>
                <w:sz w:val="20"/>
                <w:szCs w:val="20"/>
                <w:color w:val="auto"/>
              </w:rPr>
            </w:pPr>
            <w:r>
              <w:rPr>
                <w:rFonts w:ascii="Times New Roman" w:cs="Times New Roman" w:eastAsia="Times New Roman" w:hAnsi="Times New Roman"/>
                <w:sz w:val="18"/>
                <w:szCs w:val="18"/>
                <w:color w:val="auto"/>
              </w:rPr>
              <w:t>(22,340)</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ind w:right="36"/>
              <w:spacing w:after="0"/>
              <w:rPr>
                <w:sz w:val="20"/>
                <w:szCs w:val="20"/>
                <w:color w:val="auto"/>
              </w:rPr>
            </w:pPr>
            <w:r>
              <w:rPr>
                <w:rFonts w:ascii="Times New Roman" w:cs="Times New Roman" w:eastAsia="Times New Roman" w:hAnsi="Times New Roman"/>
                <w:sz w:val="18"/>
                <w:szCs w:val="18"/>
                <w:color w:val="auto"/>
              </w:rPr>
              <w:t>828,711</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2,120,992</w:t>
            </w:r>
          </w:p>
        </w:tc>
        <w:tc>
          <w:tcPr>
            <w:tcW w:w="66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gridSpan w:val="2"/>
          </w:tcPr>
          <w:p>
            <w:pPr>
              <w:jc w:val="right"/>
              <w:ind w:right="15"/>
              <w:spacing w:after="0"/>
              <w:rPr>
                <w:sz w:val="20"/>
                <w:szCs w:val="20"/>
                <w:color w:val="auto"/>
              </w:rPr>
            </w:pPr>
            <w:r>
              <w:rPr>
                <w:rFonts w:ascii="Times New Roman" w:cs="Times New Roman" w:eastAsia="Times New Roman" w:hAnsi="Times New Roman"/>
                <w:sz w:val="18"/>
                <w:szCs w:val="18"/>
                <w:color w:val="auto"/>
                <w:w w:val="97"/>
              </w:rPr>
              <w:t>(39,871)</w:t>
            </w:r>
          </w:p>
        </w:tc>
        <w:tc>
          <w:tcPr>
            <w:tcW w:w="28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2,081,121</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0" w:type="dxa"/>
            <w:vAlign w:val="bottom"/>
            <w:tcBorders>
              <w:bottom w:val="single" w:sz="8" w:color="CCEEFF"/>
            </w:tcBorders>
            <w:shd w:val="clear" w:color="auto" w:fill="CCEEFF"/>
          </w:tcPr>
          <w:p>
            <w:pPr>
              <w:spacing w:after="0"/>
              <w:rPr>
                <w:sz w:val="21"/>
                <w:szCs w:val="21"/>
                <w:color w:val="auto"/>
              </w:rPr>
            </w:pPr>
          </w:p>
        </w:tc>
        <w:tc>
          <w:tcPr>
            <w:tcW w:w="4220" w:type="dxa"/>
            <w:vAlign w:val="bottom"/>
            <w:tcBorders>
              <w:bottom w:val="single" w:sz="8" w:color="CCEEFF"/>
            </w:tcBorders>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Cost of goods sold</w:t>
            </w:r>
          </w:p>
        </w:tc>
        <w:tc>
          <w:tcPr>
            <w:tcW w:w="1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77"/>
              <w:spacing w:after="0"/>
              <w:rPr>
                <w:sz w:val="20"/>
                <w:szCs w:val="20"/>
                <w:color w:val="auto"/>
              </w:rPr>
            </w:pPr>
            <w:r>
              <w:rPr>
                <w:rFonts w:ascii="Times New Roman" w:cs="Times New Roman" w:eastAsia="Times New Roman" w:hAnsi="Times New Roman"/>
                <w:sz w:val="18"/>
                <w:szCs w:val="18"/>
                <w:color w:val="auto"/>
              </w:rPr>
              <w:t>467,464</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8"/>
              <w:spacing w:after="0"/>
              <w:rPr>
                <w:sz w:val="20"/>
                <w:szCs w:val="20"/>
                <w:color w:val="auto"/>
              </w:rPr>
            </w:pPr>
            <w:r>
              <w:rPr>
                <w:rFonts w:ascii="Times New Roman" w:cs="Times New Roman" w:eastAsia="Times New Roman" w:hAnsi="Times New Roman"/>
                <w:sz w:val="18"/>
                <w:szCs w:val="18"/>
                <w:color w:val="auto"/>
              </w:rPr>
              <w:t>(3,931)</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463,533</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984,602</w:t>
            </w:r>
          </w:p>
        </w:tc>
        <w:tc>
          <w:tcPr>
            <w:tcW w:w="6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640" w:type="dxa"/>
            <w:vAlign w:val="bottom"/>
            <w:tcBorders>
              <w:bottom w:val="single" w:sz="8" w:color="CCEEFF"/>
            </w:tcBorders>
            <w:shd w:val="clear" w:color="auto" w:fill="CCEEFF"/>
          </w:tcPr>
          <w:p>
            <w:pPr>
              <w:jc w:val="right"/>
              <w:ind w:right="15"/>
              <w:spacing w:after="0"/>
              <w:rPr>
                <w:sz w:val="20"/>
                <w:szCs w:val="20"/>
                <w:color w:val="auto"/>
              </w:rPr>
            </w:pPr>
            <w:r>
              <w:rPr>
                <w:rFonts w:ascii="Times New Roman" w:cs="Times New Roman" w:eastAsia="Times New Roman" w:hAnsi="Times New Roman"/>
                <w:sz w:val="18"/>
                <w:szCs w:val="18"/>
                <w:color w:val="auto"/>
                <w:w w:val="98"/>
              </w:rPr>
              <w:t>(9,426)</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975,176</w:t>
            </w: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422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Net income (loss)</w:t>
            </w:r>
          </w:p>
        </w:tc>
        <w:tc>
          <w:tcPr>
            <w:tcW w:w="120" w:type="dxa"/>
            <w:vAlign w:val="bottom"/>
          </w:tcPr>
          <w:p>
            <w:pPr>
              <w:spacing w:after="0"/>
              <w:rPr>
                <w:sz w:val="21"/>
                <w:szCs w:val="21"/>
                <w:color w:val="auto"/>
              </w:rPr>
            </w:pPr>
          </w:p>
        </w:tc>
        <w:tc>
          <w:tcPr>
            <w:tcW w:w="98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(53,767)</w:t>
            </w:r>
          </w:p>
        </w:tc>
        <w:tc>
          <w:tcPr>
            <w:tcW w:w="220" w:type="dxa"/>
            <w:vAlign w:val="bottom"/>
          </w:tcPr>
          <w:p>
            <w:pPr>
              <w:spacing w:after="0"/>
              <w:rPr>
                <w:sz w:val="21"/>
                <w:szCs w:val="21"/>
                <w:color w:val="auto"/>
              </w:rPr>
            </w:pPr>
          </w:p>
        </w:tc>
        <w:tc>
          <w:tcPr>
            <w:tcW w:w="1040" w:type="dxa"/>
            <w:vAlign w:val="bottom"/>
            <w:gridSpan w:val="2"/>
          </w:tcPr>
          <w:p>
            <w:pPr>
              <w:jc w:val="right"/>
              <w:ind w:right="8"/>
              <w:spacing w:after="0"/>
              <w:rPr>
                <w:sz w:val="20"/>
                <w:szCs w:val="20"/>
                <w:color w:val="auto"/>
              </w:rPr>
            </w:pPr>
            <w:r>
              <w:rPr>
                <w:rFonts w:ascii="Times New Roman" w:cs="Times New Roman" w:eastAsia="Times New Roman" w:hAnsi="Times New Roman"/>
                <w:sz w:val="18"/>
                <w:szCs w:val="18"/>
                <w:color w:val="auto"/>
              </w:rPr>
              <w:t>(18,409)</w:t>
            </w:r>
          </w:p>
        </w:tc>
        <w:tc>
          <w:tcPr>
            <w:tcW w:w="1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(72,176)</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81,604</w:t>
            </w:r>
          </w:p>
        </w:tc>
        <w:tc>
          <w:tcPr>
            <w:tcW w:w="660" w:type="dxa"/>
            <w:vAlign w:val="bottom"/>
          </w:tcPr>
          <w:p>
            <w:pPr>
              <w:spacing w:after="0"/>
              <w:rPr>
                <w:sz w:val="21"/>
                <w:szCs w:val="21"/>
                <w:color w:val="auto"/>
              </w:rPr>
            </w:pPr>
          </w:p>
        </w:tc>
        <w:tc>
          <w:tcPr>
            <w:tcW w:w="720" w:type="dxa"/>
            <w:vAlign w:val="bottom"/>
            <w:gridSpan w:val="2"/>
          </w:tcPr>
          <w:p>
            <w:pPr>
              <w:jc w:val="right"/>
              <w:ind w:right="15"/>
              <w:spacing w:after="0"/>
              <w:rPr>
                <w:sz w:val="20"/>
                <w:szCs w:val="20"/>
                <w:color w:val="auto"/>
              </w:rPr>
            </w:pPr>
            <w:r>
              <w:rPr>
                <w:rFonts w:ascii="Times New Roman" w:cs="Times New Roman" w:eastAsia="Times New Roman" w:hAnsi="Times New Roman"/>
                <w:sz w:val="18"/>
                <w:szCs w:val="18"/>
                <w:color w:val="auto"/>
                <w:w w:val="97"/>
              </w:rPr>
              <w:t>(30,445)</w:t>
            </w:r>
          </w:p>
        </w:tc>
        <w:tc>
          <w:tcPr>
            <w:tcW w:w="28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51,159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0" w:type="dxa"/>
            <w:vAlign w:val="bottom"/>
            <w:tcBorders>
              <w:bottom w:val="single" w:sz="8" w:color="CCEEFF"/>
            </w:tcBorders>
            <w:shd w:val="clear" w:color="auto" w:fill="CCEEFF"/>
          </w:tcPr>
          <w:p>
            <w:pPr>
              <w:spacing w:after="0"/>
              <w:rPr>
                <w:sz w:val="21"/>
                <w:szCs w:val="21"/>
                <w:color w:val="auto"/>
              </w:rPr>
            </w:pPr>
          </w:p>
        </w:tc>
        <w:tc>
          <w:tcPr>
            <w:tcW w:w="4220" w:type="dxa"/>
            <w:vAlign w:val="bottom"/>
            <w:tcBorders>
              <w:bottom w:val="single" w:sz="8" w:color="CCEEFF"/>
            </w:tcBorders>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Net income (loss) per share - Basic</w:t>
            </w:r>
          </w:p>
        </w:tc>
        <w:tc>
          <w:tcPr>
            <w:tcW w:w="1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(0.08)</w:t>
            </w: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gridSpan w:val="2"/>
            <w:shd w:val="clear" w:color="auto" w:fill="CCEEFF"/>
          </w:tcPr>
          <w:p>
            <w:pPr>
              <w:jc w:val="right"/>
              <w:ind w:right="8"/>
              <w:spacing w:after="0"/>
              <w:rPr>
                <w:sz w:val="20"/>
                <w:szCs w:val="20"/>
                <w:color w:val="auto"/>
              </w:rPr>
            </w:pPr>
            <w:r>
              <w:rPr>
                <w:rFonts w:ascii="Times New Roman" w:cs="Times New Roman" w:eastAsia="Times New Roman" w:hAnsi="Times New Roman"/>
                <w:sz w:val="18"/>
                <w:szCs w:val="18"/>
                <w:color w:val="auto"/>
              </w:rPr>
              <w:t>(0.03)</w:t>
            </w:r>
          </w:p>
        </w:tc>
        <w:tc>
          <w:tcPr>
            <w:tcW w:w="1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0.14</w:t>
            </w:r>
          </w:p>
        </w:tc>
        <w:tc>
          <w:tcPr>
            <w:tcW w:w="6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640" w:type="dxa"/>
            <w:vAlign w:val="bottom"/>
            <w:tcBorders>
              <w:bottom w:val="single" w:sz="8" w:color="CCEEFF"/>
            </w:tcBorders>
            <w:shd w:val="clear" w:color="auto" w:fill="CCEEFF"/>
          </w:tcPr>
          <w:p>
            <w:pPr>
              <w:jc w:val="right"/>
              <w:ind w:right="15"/>
              <w:spacing w:after="0"/>
              <w:rPr>
                <w:sz w:val="20"/>
                <w:szCs w:val="20"/>
                <w:color w:val="auto"/>
              </w:rPr>
            </w:pPr>
            <w:r>
              <w:rPr>
                <w:rFonts w:ascii="Times New Roman" w:cs="Times New Roman" w:eastAsia="Times New Roman" w:hAnsi="Times New Roman"/>
                <w:sz w:val="18"/>
                <w:szCs w:val="18"/>
                <w:color w:val="auto"/>
              </w:rPr>
              <w:t>(0.05)</w:t>
            </w: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0.09</w:t>
            </w: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4220" w:type="dxa"/>
            <w:vAlign w:val="bottom"/>
          </w:tcPr>
          <w:p>
            <w:pPr>
              <w:ind w:left="480"/>
              <w:spacing w:after="0"/>
              <w:rPr>
                <w:sz w:val="20"/>
                <w:szCs w:val="20"/>
                <w:color w:val="auto"/>
              </w:rPr>
            </w:pPr>
            <w:r>
              <w:rPr>
                <w:rFonts w:ascii="Times New Roman" w:cs="Times New Roman" w:eastAsia="Times New Roman" w:hAnsi="Times New Roman"/>
                <w:sz w:val="18"/>
                <w:szCs w:val="18"/>
                <w:color w:val="auto"/>
              </w:rPr>
              <w:t>Net income (loss) per share - Diluted</w:t>
            </w:r>
          </w:p>
        </w:tc>
        <w:tc>
          <w:tcPr>
            <w:tcW w:w="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(0.08)</w:t>
            </w:r>
          </w:p>
        </w:tc>
        <w:tc>
          <w:tcPr>
            <w:tcW w:w="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tcPr>
          <w:p>
            <w:pPr>
              <w:jc w:val="right"/>
              <w:ind w:right="8"/>
              <w:spacing w:after="0"/>
              <w:rPr>
                <w:sz w:val="20"/>
                <w:szCs w:val="20"/>
                <w:color w:val="auto"/>
              </w:rPr>
            </w:pPr>
            <w:r>
              <w:rPr>
                <w:rFonts w:ascii="Times New Roman" w:cs="Times New Roman" w:eastAsia="Times New Roman" w:hAnsi="Times New Roman"/>
                <w:sz w:val="18"/>
                <w:szCs w:val="18"/>
                <w:color w:val="auto"/>
              </w:rPr>
              <w:t>(0.03)</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(0.11)</w:t>
            </w:r>
          </w:p>
        </w:tc>
        <w:tc>
          <w:tcPr>
            <w:tcW w:w="10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0.14</w:t>
            </w:r>
          </w:p>
        </w:tc>
        <w:tc>
          <w:tcPr>
            <w:tcW w:w="660" w:type="dxa"/>
            <w:vAlign w:val="bottom"/>
          </w:tcPr>
          <w:p>
            <w:pPr>
              <w:jc w:val="right"/>
              <w:ind w:right="252"/>
              <w:spacing w:after="0"/>
              <w:rPr>
                <w:sz w:val="20"/>
                <w:szCs w:val="20"/>
                <w:color w:val="auto"/>
              </w:rPr>
            </w:pPr>
            <w:r>
              <w:rPr>
                <w:rFonts w:ascii="Times New Roman" w:cs="Times New Roman" w:eastAsia="Times New Roman" w:hAnsi="Times New Roman"/>
                <w:sz w:val="18"/>
                <w:szCs w:val="18"/>
                <w:color w:val="auto"/>
              </w:rPr>
              <w:t>$</w:t>
            </w:r>
          </w:p>
        </w:tc>
        <w:tc>
          <w:tcPr>
            <w:tcW w:w="80" w:type="dxa"/>
            <w:vAlign w:val="bottom"/>
          </w:tcPr>
          <w:p>
            <w:pPr>
              <w:spacing w:after="0"/>
              <w:rPr>
                <w:sz w:val="21"/>
                <w:szCs w:val="21"/>
                <w:color w:val="auto"/>
              </w:rPr>
            </w:pPr>
          </w:p>
        </w:tc>
        <w:tc>
          <w:tcPr>
            <w:tcW w:w="640" w:type="dxa"/>
            <w:vAlign w:val="bottom"/>
          </w:tcPr>
          <w:p>
            <w:pPr>
              <w:jc w:val="right"/>
              <w:ind w:right="15"/>
              <w:spacing w:after="0"/>
              <w:rPr>
                <w:sz w:val="20"/>
                <w:szCs w:val="20"/>
                <w:color w:val="auto"/>
              </w:rPr>
            </w:pPr>
            <w:r>
              <w:rPr>
                <w:rFonts w:ascii="Times New Roman" w:cs="Times New Roman" w:eastAsia="Times New Roman" w:hAnsi="Times New Roman"/>
                <w:sz w:val="18"/>
                <w:szCs w:val="18"/>
                <w:color w:val="auto"/>
              </w:rPr>
              <w:t>(0.05)</w:t>
            </w:r>
          </w:p>
        </w:tc>
        <w:tc>
          <w:tcPr>
            <w:tcW w:w="28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0.09</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right="140" w:firstLine="378"/>
        <w:spacing w:after="0" w:line="282" w:lineRule="auto"/>
        <w:rPr>
          <w:sz w:val="20"/>
          <w:szCs w:val="20"/>
          <w:color w:val="auto"/>
        </w:rPr>
      </w:pPr>
      <w:r>
        <w:rPr>
          <w:rFonts w:ascii="Times New Roman" w:cs="Times New Roman" w:eastAsia="Times New Roman" w:hAnsi="Times New Roman"/>
          <w:sz w:val="18"/>
          <w:szCs w:val="18"/>
          <w:color w:val="auto"/>
        </w:rPr>
        <w:t>Adoption of the new revenue standard had no impact to cash from or used in operating, financing, or investing activities on the condensed consolidated statements of cash flow.</w:t>
      </w:r>
    </w:p>
    <w:p>
      <w:pPr>
        <w:spacing w:after="0" w:line="104"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i w:val="1"/>
          <w:iCs w:val="1"/>
          <w:color w:val="auto"/>
        </w:rPr>
        <w:t>New Revenue Recognition Policy Including Significant Judgments and Estimates</w:t>
      </w:r>
    </w:p>
    <w:p>
      <w:pPr>
        <w:spacing w:after="0" w:line="189" w:lineRule="exact"/>
        <w:rPr>
          <w:sz w:val="20"/>
          <w:szCs w:val="20"/>
          <w:color w:val="auto"/>
        </w:rPr>
      </w:pPr>
    </w:p>
    <w:p>
      <w:pPr>
        <w:ind w:right="140" w:firstLine="378"/>
        <w:spacing w:after="0" w:line="261" w:lineRule="auto"/>
        <w:rPr>
          <w:sz w:val="20"/>
          <w:szCs w:val="20"/>
          <w:color w:val="auto"/>
        </w:rPr>
      </w:pPr>
      <w:r>
        <w:rPr>
          <w:rFonts w:ascii="Times New Roman" w:cs="Times New Roman" w:eastAsia="Times New Roman" w:hAnsi="Times New Roman"/>
          <w:sz w:val="18"/>
          <w:szCs w:val="18"/>
          <w:color w:val="auto"/>
        </w:rPr>
        <w:t>Through the fiscal year ended February 3, 2018, in accordance with ASC 605, Revenue Recognition, the Company recognized revenue when there was persuasive evidence of an arrangement, delivery had occurred, the fee was fixed or determinable, and collection was reasonably assured. If the Company granted extended payment terms greater than its standard terms for a customer such that collectability was not assured, the revenue was deferred upon shipment and would be recognized when the payment became due provided all other revenue recognition criteria had been satisfied.</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420"/>
          </w:cols>
          <w:pgMar w:left="240" w:top="126" w:right="239" w:bottom="1440" w:gutter="0" w:footer="0" w:header="0"/>
        </w:sectPr>
      </w:pPr>
    </w:p>
    <w:bookmarkStart w:id="25" w:name="page26"/>
    <w:bookmarkEnd w:id="25"/>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55" w:lineRule="exact"/>
        <w:rPr>
          <w:sz w:val="20"/>
          <w:szCs w:val="20"/>
          <w:color w:val="auto"/>
        </w:rPr>
      </w:pPr>
    </w:p>
    <w:p>
      <w:pPr>
        <w:ind w:right="40" w:firstLine="378"/>
        <w:spacing w:after="0" w:line="256" w:lineRule="auto"/>
        <w:rPr>
          <w:sz w:val="20"/>
          <w:szCs w:val="20"/>
          <w:color w:val="auto"/>
        </w:rPr>
      </w:pPr>
      <w:r>
        <w:rPr>
          <w:rFonts w:ascii="Times New Roman" w:cs="Times New Roman" w:eastAsia="Times New Roman" w:hAnsi="Times New Roman"/>
          <w:sz w:val="18"/>
          <w:szCs w:val="18"/>
          <w:color w:val="auto"/>
        </w:rPr>
        <w:t>Product revenue was generally recognized upon shipment of product to customers, net of accruals for estimated sales returns and rebates. However, some of the Company’s sales were made through distributors under agreements allowing for price protection and limited rights of stock rotation on products unsold by the distributors. Product revenue on sales made through distributors were deferred until the distributors sold the product to end customers. Deferred revenue less the related cost of the inventories was reported as deferred income. The Company did not believe that there was any significant exposure related to impairment of deferred cost of sales, as its historical returns had been minimal and inventory turnover for its distributors generally ranged from 60 to 90 days. The Company’s sales to direct customers were made primarily pursuant to standard purchase orders for delivery of products.</w:t>
      </w:r>
    </w:p>
    <w:p>
      <w:pPr>
        <w:spacing w:after="0" w:line="188" w:lineRule="exact"/>
        <w:rPr>
          <w:sz w:val="20"/>
          <w:szCs w:val="20"/>
          <w:color w:val="auto"/>
        </w:rPr>
      </w:pPr>
    </w:p>
    <w:p>
      <w:pPr>
        <w:ind w:firstLine="378"/>
        <w:spacing w:after="0" w:line="256" w:lineRule="auto"/>
        <w:rPr>
          <w:sz w:val="20"/>
          <w:szCs w:val="20"/>
          <w:color w:val="auto"/>
        </w:rPr>
      </w:pPr>
      <w:r>
        <w:rPr>
          <w:rFonts w:ascii="Times New Roman" w:cs="Times New Roman" w:eastAsia="Times New Roman" w:hAnsi="Times New Roman"/>
          <w:sz w:val="18"/>
          <w:szCs w:val="18"/>
          <w:color w:val="auto"/>
        </w:rPr>
        <w:t>As a result of the adoption of the new revenue standard on February 4, 2018, at the beginning of the first quarter of fiscal year 2019, the Company revised its revenue recognition policy. The Company now recognizes revenue upon transfer of control of promised products or services to customers in an amount that reflects the consideration the Company expects to receive in exchange for those products or services. Under the new revenue recognition standard, the Company applies the following five step approach: (1) identify the contract with a customer, (2) identify the performance obligations in the contract, (3) determine the transaction price, (4) allocate the transaction price to the performance obligations in the contract, and (5) recognize revenue when a performance obligation is satisfied.</w:t>
      </w:r>
    </w:p>
    <w:p>
      <w:pPr>
        <w:spacing w:after="0" w:line="188" w:lineRule="exact"/>
        <w:rPr>
          <w:sz w:val="20"/>
          <w:szCs w:val="20"/>
          <w:color w:val="auto"/>
        </w:rPr>
      </w:pPr>
    </w:p>
    <w:p>
      <w:pPr>
        <w:ind w:right="40" w:firstLine="378"/>
        <w:spacing w:after="0" w:line="252" w:lineRule="auto"/>
        <w:rPr>
          <w:sz w:val="20"/>
          <w:szCs w:val="20"/>
          <w:color w:val="auto"/>
        </w:rPr>
      </w:pPr>
      <w:r>
        <w:rPr>
          <w:rFonts w:ascii="Times New Roman" w:cs="Times New Roman" w:eastAsia="Times New Roman" w:hAnsi="Times New Roman"/>
          <w:sz w:val="18"/>
          <w:szCs w:val="18"/>
          <w:color w:val="auto"/>
        </w:rPr>
        <w:t>The Company enters into contracts that may include various combinations of products and services that are capable of being distinct and accounted for as separate performance obligations. To date, the majority of the revenue has been generated by sales associated with storage and networking products. Revenue from services has been insignificant. Performance obligations associated with product sales transactions are generally satisfied when control passes to customers upon shipment. Accordingly, product revenue is recognized at a point in time when control of the asset is transferred to the customer. The Company recognizes revenue when it satisfies a performance obligation by transferring control of a product to a customer in an amount that reflects the consideration to which the entity expects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of credit memo data and other known factors. Actual returns could differ from these estimates. The Company accounts for rebates by recording reductions to revenue for rebates in the same period that the related revenue is recorded. The amount of these reductions is based upon the terms agreed to with the customer. Some of the Company’s sales are made to distributors under agreements allowing for price protection, price discounts and limited rights of stock rotation on products unsold by the distributors. Control passes to the distributor upon shipment, and terms and payment by the Company’s distributors is not contingent on resale of the product. Product revenue on sales made to distributors with price protection and stock rotation rights is recognized upon shipment to distributors, with an accrual for the variable consideration aspect of sales to distributors, estimated based on historical experience, including estimates for price discounts, price protection, rebates, and stock rotation programs.</w:t>
      </w:r>
    </w:p>
    <w:p>
      <w:pPr>
        <w:spacing w:after="0" w:line="199" w:lineRule="exact"/>
        <w:rPr>
          <w:sz w:val="20"/>
          <w:szCs w:val="20"/>
          <w:color w:val="auto"/>
        </w:rPr>
      </w:pPr>
    </w:p>
    <w:p>
      <w:pPr>
        <w:ind w:right="60" w:firstLine="378"/>
        <w:spacing w:after="0" w:line="258" w:lineRule="auto"/>
        <w:rPr>
          <w:sz w:val="20"/>
          <w:szCs w:val="20"/>
          <w:color w:val="auto"/>
        </w:rPr>
      </w:pPr>
      <w:r>
        <w:rPr>
          <w:rFonts w:ascii="Times New Roman" w:cs="Times New Roman" w:eastAsia="Times New Roman" w:hAnsi="Times New Roman"/>
          <w:sz w:val="18"/>
          <w:szCs w:val="18"/>
          <w:color w:val="auto"/>
        </w:rPr>
        <w:t>The Company’s products are generally subject to warranty, which provides for the estimated future costs of replacement upon shipment of the product. The Company’s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the Company will have to replace products subject to a claim. From time to time, the Company becomes aware of specific warranty situations, and it records specific accruals to cover these exposures. Warranty expenses were not material for the periods presented.</w:t>
      </w:r>
    </w:p>
    <w:p>
      <w:pPr>
        <w:spacing w:after="0" w:line="126"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Disaggregation of Revenue</w:t>
      </w:r>
    </w:p>
    <w:p>
      <w:pPr>
        <w:spacing w:after="0" w:line="189"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The majority of the Company's revenue is generated from sales of the Company’s products.</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1420"/>
          </w:cols>
          <w:pgMar w:left="240" w:top="126" w:right="239" w:bottom="1440" w:gutter="0" w:footer="0" w:header="0"/>
        </w:sectPr>
      </w:pPr>
    </w:p>
    <w:bookmarkStart w:id="26" w:name="page27"/>
    <w:bookmarkEnd w:id="26"/>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55"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The following table summarizes net revenue disaggregated by product group (in thousands, except percentages):</w:t>
      </w:r>
    </w:p>
    <w:p>
      <w:pPr>
        <w:spacing w:after="0" w:line="200" w:lineRule="exact"/>
        <w:rPr>
          <w:sz w:val="20"/>
          <w:szCs w:val="20"/>
          <w:color w:val="auto"/>
        </w:rPr>
      </w:pPr>
    </w:p>
    <w:p>
      <w:pPr>
        <w:spacing w:after="0" w:line="2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58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3"/>
          </w:tcPr>
          <w:p>
            <w:pPr>
              <w:jc w:val="right"/>
              <w:ind w:right="588"/>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400" w:type="dxa"/>
            <w:vAlign w:val="bottom"/>
            <w:tcBorders>
              <w:bottom w:val="single" w:sz="8" w:color="auto"/>
            </w:tcBorders>
            <w:gridSpan w:val="3"/>
          </w:tcPr>
          <w:p>
            <w:pPr>
              <w:jc w:val="right"/>
              <w:ind w:right="628"/>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264"/>
        </w:trPr>
        <w:tc>
          <w:tcPr>
            <w:tcW w:w="5860" w:type="dxa"/>
            <w:vAlign w:val="bottom"/>
          </w:tcPr>
          <w:p>
            <w:pPr>
              <w:spacing w:after="0"/>
              <w:rPr>
                <w:sz w:val="22"/>
                <w:szCs w:val="22"/>
                <w:color w:val="auto"/>
              </w:rPr>
            </w:pPr>
          </w:p>
        </w:tc>
        <w:tc>
          <w:tcPr>
            <w:tcW w:w="124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20" w:type="dxa"/>
            <w:vAlign w:val="bottom"/>
          </w:tcPr>
          <w:p>
            <w:pPr>
              <w:spacing w:after="0"/>
              <w:rPr>
                <w:sz w:val="22"/>
                <w:szCs w:val="22"/>
                <w:color w:val="auto"/>
              </w:rPr>
            </w:pPr>
          </w:p>
        </w:tc>
        <w:tc>
          <w:tcPr>
            <w:tcW w:w="1420" w:type="dxa"/>
            <w:vAlign w:val="bottom"/>
            <w:gridSpan w:val="2"/>
          </w:tcPr>
          <w:p>
            <w:pPr>
              <w:ind w:left="280"/>
              <w:spacing w:after="0"/>
              <w:rPr>
                <w:sz w:val="20"/>
                <w:szCs w:val="20"/>
                <w:color w:val="auto"/>
              </w:rPr>
            </w:pPr>
            <w:r>
              <w:rPr>
                <w:rFonts w:ascii="Times New Roman" w:cs="Times New Roman" w:eastAsia="Times New Roman" w:hAnsi="Times New Roman"/>
                <w:sz w:val="14"/>
                <w:szCs w:val="14"/>
                <w:b w:val="1"/>
                <w:bCs w:val="1"/>
                <w:color w:val="auto"/>
              </w:rPr>
              <w:t>% of Total</w:t>
            </w:r>
          </w:p>
        </w:tc>
        <w:tc>
          <w:tcPr>
            <w:tcW w:w="124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20" w:type="dxa"/>
            <w:vAlign w:val="bottom"/>
          </w:tcPr>
          <w:p>
            <w:pPr>
              <w:spacing w:after="0"/>
              <w:rPr>
                <w:sz w:val="22"/>
                <w:szCs w:val="22"/>
                <w:color w:val="auto"/>
              </w:rPr>
            </w:pPr>
          </w:p>
        </w:tc>
        <w:tc>
          <w:tcPr>
            <w:tcW w:w="1200" w:type="dxa"/>
            <w:vAlign w:val="bottom"/>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 of Total</w:t>
            </w:r>
          </w:p>
        </w:tc>
      </w:tr>
      <w:tr>
        <w:trPr>
          <w:trHeight w:val="249"/>
        </w:trPr>
        <w:tc>
          <w:tcPr>
            <w:tcW w:w="586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Times New Roman" w:cs="Times New Roman" w:eastAsia="Times New Roman" w:hAnsi="Times New Roman"/>
                <w:sz w:val="18"/>
                <w:szCs w:val="18"/>
                <w:b w:val="1"/>
                <w:bCs w:val="1"/>
                <w:color w:val="auto"/>
              </w:rPr>
              <w:t>Net revenue by product group:</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98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8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Storage (1)</w:t>
            </w:r>
          </w:p>
        </w:tc>
        <w:tc>
          <w:tcPr>
            <w:tcW w:w="320" w:type="dxa"/>
            <w:vAlign w:val="bottom"/>
          </w:tcPr>
          <w:p>
            <w:pPr>
              <w:jc w:val="right"/>
              <w:ind w:right="116"/>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406,822</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48%</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1,059,655</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50%</w:t>
            </w:r>
          </w:p>
        </w:tc>
      </w:tr>
      <w:tr>
        <w:trPr>
          <w:trHeight w:val="27"/>
        </w:trPr>
        <w:tc>
          <w:tcPr>
            <w:tcW w:w="58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8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Networking (2)</w:t>
            </w:r>
          </w:p>
        </w:tc>
        <w:tc>
          <w:tcPr>
            <w:tcW w:w="3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398,424</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925,982</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43"/>
        </w:trPr>
        <w:tc>
          <w:tcPr>
            <w:tcW w:w="58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Other (3)</w:t>
            </w:r>
          </w:p>
        </w:tc>
        <w:tc>
          <w:tcPr>
            <w:tcW w:w="320" w:type="dxa"/>
            <w:vAlign w:val="bottom"/>
          </w:tcPr>
          <w:p>
            <w:pPr>
              <w:spacing w:after="0"/>
              <w:rPr>
                <w:sz w:val="21"/>
                <w:szCs w:val="21"/>
                <w:color w:val="auto"/>
              </w:rPr>
            </w:pPr>
          </w:p>
        </w:tc>
        <w:tc>
          <w:tcPr>
            <w:tcW w:w="9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45,805</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135,355</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7"/>
        </w:trPr>
        <w:tc>
          <w:tcPr>
            <w:tcW w:w="58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0" w:type="dxa"/>
            <w:vAlign w:val="bottom"/>
            <w:tcBorders>
              <w:bottom w:val="single" w:sz="8" w:color="CCEEFF"/>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0" w:type="dxa"/>
            <w:vAlign w:val="bottom"/>
            <w:tcBorders>
              <w:bottom w:val="single" w:sz="8" w:color="CCEEFF"/>
            </w:tcBorders>
          </w:tcPr>
          <w:p>
            <w:pPr>
              <w:spacing w:after="0"/>
              <w:rPr>
                <w:sz w:val="2"/>
                <w:szCs w:val="2"/>
                <w:color w:val="auto"/>
              </w:rPr>
            </w:pPr>
          </w:p>
        </w:tc>
      </w:tr>
      <w:tr>
        <w:trPr>
          <w:trHeight w:val="269"/>
        </w:trPr>
        <w:tc>
          <w:tcPr>
            <w:tcW w:w="586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851,051</w:t>
            </w:r>
          </w:p>
        </w:tc>
        <w:tc>
          <w:tcPr>
            <w:tcW w:w="22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79"/>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2,120,992</w:t>
            </w:r>
          </w:p>
        </w:tc>
        <w:tc>
          <w:tcPr>
            <w:tcW w:w="22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spacing w:after="0"/>
              <w:rPr>
                <w:sz w:val="22"/>
                <w:szCs w:val="22"/>
                <w:color w:val="auto"/>
              </w:rPr>
            </w:pPr>
          </w:p>
        </w:tc>
      </w:tr>
      <w:tr>
        <w:trPr>
          <w:trHeight w:val="20"/>
        </w:trPr>
        <w:tc>
          <w:tcPr>
            <w:tcW w:w="58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0" w:type="dxa"/>
            <w:vAlign w:val="bottom"/>
            <w:tcBorders>
              <w:top w:val="single" w:sz="8" w:color="CCEEFF"/>
            </w:tcBorders>
          </w:tcPr>
          <w:p>
            <w:pPr>
              <w:spacing w:after="0" w:line="20" w:lineRule="exact"/>
              <w:rPr>
                <w:sz w:val="1"/>
                <w:szCs w:val="1"/>
                <w:color w:val="auto"/>
              </w:rPr>
            </w:pPr>
          </w:p>
        </w:tc>
      </w:tr>
    </w:tbl>
    <w:p>
      <w:pPr>
        <w:spacing w:after="0" w:line="360" w:lineRule="exact"/>
        <w:rPr>
          <w:sz w:val="20"/>
          <w:szCs w:val="20"/>
          <w:color w:val="auto"/>
        </w:rPr>
      </w:pPr>
    </w:p>
    <w:p>
      <w:pPr>
        <w:ind w:left="1140" w:hanging="322"/>
        <w:spacing w:after="0"/>
        <w:tabs>
          <w:tab w:leader="none" w:pos="11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Storage products are comprised primarily of HDD, SSD Controllers, Fibre Channel Adapters and Data Center Storage Solutions.</w:t>
      </w:r>
    </w:p>
    <w:p>
      <w:pPr>
        <w:spacing w:after="0" w:line="27" w:lineRule="exact"/>
        <w:rPr>
          <w:rFonts w:ascii="Times New Roman" w:cs="Times New Roman" w:eastAsia="Times New Roman" w:hAnsi="Times New Roman"/>
          <w:sz w:val="18"/>
          <w:szCs w:val="18"/>
          <w:color w:val="auto"/>
        </w:rPr>
      </w:pPr>
    </w:p>
    <w:p>
      <w:pPr>
        <w:jc w:val="both"/>
        <w:ind w:left="1140" w:hanging="322"/>
        <w:spacing w:after="0" w:line="250" w:lineRule="auto"/>
        <w:tabs>
          <w:tab w:leader="none" w:pos="11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Networking products are comprised primarily of Ethernet Switches, Ethernet Transceivers, Ethernet NICs, Embedded Communications and Infrastructure Processors, Automotive Ethernet, Security Adapters and Processors as well as Connectivity products. In addition, this grouping includes a few legacy product lines in which the Company no longer invests, but will generate revenue for several years.</w:t>
      </w:r>
    </w:p>
    <w:p>
      <w:pPr>
        <w:spacing w:after="0" w:line="1" w:lineRule="exact"/>
        <w:rPr>
          <w:rFonts w:ascii="Times New Roman" w:cs="Times New Roman" w:eastAsia="Times New Roman" w:hAnsi="Times New Roman"/>
          <w:sz w:val="18"/>
          <w:szCs w:val="18"/>
          <w:color w:val="auto"/>
        </w:rPr>
      </w:pPr>
    </w:p>
    <w:p>
      <w:pPr>
        <w:ind w:left="1140" w:hanging="322"/>
        <w:spacing w:after="0"/>
        <w:tabs>
          <w:tab w:leader="none" w:pos="11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products are comprised of primarily Printer Solutions, Application Processors and others.</w:t>
      </w:r>
    </w:p>
    <w:p>
      <w:pPr>
        <w:spacing w:after="0" w:line="207"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The following table summarizes net revenue disaggregated by primary geographical market (in thousands, except percentages):</w:t>
      </w:r>
    </w:p>
    <w:p>
      <w:pPr>
        <w:spacing w:after="0" w:line="200" w:lineRule="exact"/>
        <w:rPr>
          <w:sz w:val="20"/>
          <w:szCs w:val="20"/>
          <w:color w:val="auto"/>
        </w:rPr>
      </w:pPr>
    </w:p>
    <w:p>
      <w:pPr>
        <w:spacing w:after="0" w:line="2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58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3"/>
          </w:tcPr>
          <w:p>
            <w:pPr>
              <w:jc w:val="right"/>
              <w:ind w:right="588"/>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400" w:type="dxa"/>
            <w:vAlign w:val="bottom"/>
            <w:tcBorders>
              <w:bottom w:val="single" w:sz="8" w:color="auto"/>
            </w:tcBorders>
            <w:gridSpan w:val="3"/>
          </w:tcPr>
          <w:p>
            <w:pPr>
              <w:jc w:val="right"/>
              <w:ind w:right="628"/>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264"/>
        </w:trPr>
        <w:tc>
          <w:tcPr>
            <w:tcW w:w="5860" w:type="dxa"/>
            <w:vAlign w:val="bottom"/>
          </w:tcPr>
          <w:p>
            <w:pPr>
              <w:spacing w:after="0"/>
              <w:rPr>
                <w:sz w:val="22"/>
                <w:szCs w:val="22"/>
                <w:color w:val="auto"/>
              </w:rPr>
            </w:pPr>
          </w:p>
        </w:tc>
        <w:tc>
          <w:tcPr>
            <w:tcW w:w="124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20" w:type="dxa"/>
            <w:vAlign w:val="bottom"/>
          </w:tcPr>
          <w:p>
            <w:pPr>
              <w:spacing w:after="0"/>
              <w:rPr>
                <w:sz w:val="22"/>
                <w:szCs w:val="22"/>
                <w:color w:val="auto"/>
              </w:rPr>
            </w:pPr>
          </w:p>
        </w:tc>
        <w:tc>
          <w:tcPr>
            <w:tcW w:w="1420" w:type="dxa"/>
            <w:vAlign w:val="bottom"/>
            <w:gridSpan w:val="2"/>
          </w:tcPr>
          <w:p>
            <w:pPr>
              <w:ind w:left="280"/>
              <w:spacing w:after="0"/>
              <w:rPr>
                <w:sz w:val="20"/>
                <w:szCs w:val="20"/>
                <w:color w:val="auto"/>
              </w:rPr>
            </w:pPr>
            <w:r>
              <w:rPr>
                <w:rFonts w:ascii="Times New Roman" w:cs="Times New Roman" w:eastAsia="Times New Roman" w:hAnsi="Times New Roman"/>
                <w:sz w:val="14"/>
                <w:szCs w:val="14"/>
                <w:b w:val="1"/>
                <w:bCs w:val="1"/>
                <w:color w:val="auto"/>
              </w:rPr>
              <w:t>% of Total</w:t>
            </w:r>
          </w:p>
        </w:tc>
        <w:tc>
          <w:tcPr>
            <w:tcW w:w="124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20" w:type="dxa"/>
            <w:vAlign w:val="bottom"/>
          </w:tcPr>
          <w:p>
            <w:pPr>
              <w:spacing w:after="0"/>
              <w:rPr>
                <w:sz w:val="22"/>
                <w:szCs w:val="22"/>
                <w:color w:val="auto"/>
              </w:rPr>
            </w:pPr>
          </w:p>
        </w:tc>
        <w:tc>
          <w:tcPr>
            <w:tcW w:w="1200" w:type="dxa"/>
            <w:vAlign w:val="bottom"/>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 of Total</w:t>
            </w:r>
          </w:p>
        </w:tc>
      </w:tr>
      <w:tr>
        <w:trPr>
          <w:trHeight w:val="249"/>
        </w:trPr>
        <w:tc>
          <w:tcPr>
            <w:tcW w:w="586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Times New Roman" w:cs="Times New Roman" w:eastAsia="Times New Roman" w:hAnsi="Times New Roman"/>
                <w:sz w:val="18"/>
                <w:szCs w:val="18"/>
                <w:b w:val="1"/>
                <w:bCs w:val="1"/>
                <w:color w:val="auto"/>
              </w:rPr>
              <w:t>Net revenue based on destination of shipment:</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98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8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China</w:t>
            </w:r>
          </w:p>
        </w:tc>
        <w:tc>
          <w:tcPr>
            <w:tcW w:w="320" w:type="dxa"/>
            <w:vAlign w:val="bottom"/>
          </w:tcPr>
          <w:p>
            <w:pPr>
              <w:jc w:val="right"/>
              <w:ind w:right="116"/>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332,011</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w:t>
            </w:r>
          </w:p>
        </w:tc>
        <w:tc>
          <w:tcPr>
            <w:tcW w:w="220" w:type="dxa"/>
            <w:vAlign w:val="bottom"/>
          </w:tcPr>
          <w:p>
            <w:pPr>
              <w:spacing w:after="0"/>
              <w:rPr>
                <w:sz w:val="21"/>
                <w:szCs w:val="21"/>
                <w:color w:val="auto"/>
              </w:rPr>
            </w:pPr>
          </w:p>
        </w:tc>
        <w:tc>
          <w:tcPr>
            <w:tcW w:w="260" w:type="dxa"/>
            <w:vAlign w:val="bottom"/>
          </w:tcPr>
          <w:p>
            <w:pPr>
              <w:jc w:val="right"/>
              <w:ind w:right="76"/>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907,630</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43%</w:t>
            </w:r>
          </w:p>
        </w:tc>
      </w:tr>
      <w:tr>
        <w:trPr>
          <w:trHeight w:val="27"/>
        </w:trPr>
        <w:tc>
          <w:tcPr>
            <w:tcW w:w="58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8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Malaysia</w:t>
            </w:r>
          </w:p>
        </w:tc>
        <w:tc>
          <w:tcPr>
            <w:tcW w:w="3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105,857</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293,778</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w:t>
            </w:r>
          </w:p>
        </w:tc>
      </w:tr>
      <w:tr>
        <w:trPr>
          <w:trHeight w:val="243"/>
        </w:trPr>
        <w:tc>
          <w:tcPr>
            <w:tcW w:w="58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Philippines</w:t>
            </w:r>
          </w:p>
        </w:tc>
        <w:tc>
          <w:tcPr>
            <w:tcW w:w="320" w:type="dxa"/>
            <w:vAlign w:val="bottom"/>
          </w:tcPr>
          <w:p>
            <w:pPr>
              <w:spacing w:after="0"/>
              <w:rPr>
                <w:sz w:val="21"/>
                <w:szCs w:val="21"/>
                <w:color w:val="auto"/>
              </w:rPr>
            </w:pPr>
          </w:p>
        </w:tc>
        <w:tc>
          <w:tcPr>
            <w:tcW w:w="9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62,272</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7%</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175,455</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27"/>
        </w:trPr>
        <w:tc>
          <w:tcPr>
            <w:tcW w:w="58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8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United States</w:t>
            </w:r>
          </w:p>
        </w:tc>
        <w:tc>
          <w:tcPr>
            <w:tcW w:w="3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94,742</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142,694</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43"/>
        </w:trPr>
        <w:tc>
          <w:tcPr>
            <w:tcW w:w="58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Thailand</w:t>
            </w:r>
          </w:p>
        </w:tc>
        <w:tc>
          <w:tcPr>
            <w:tcW w:w="320" w:type="dxa"/>
            <w:vAlign w:val="bottom"/>
          </w:tcPr>
          <w:p>
            <w:pPr>
              <w:spacing w:after="0"/>
              <w:rPr>
                <w:sz w:val="21"/>
                <w:szCs w:val="21"/>
                <w:color w:val="auto"/>
              </w:rPr>
            </w:pPr>
          </w:p>
        </w:tc>
        <w:tc>
          <w:tcPr>
            <w:tcW w:w="9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44,439</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126,439</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w:t>
            </w:r>
          </w:p>
        </w:tc>
      </w:tr>
      <w:tr>
        <w:trPr>
          <w:trHeight w:val="27"/>
        </w:trPr>
        <w:tc>
          <w:tcPr>
            <w:tcW w:w="58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58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Other</w:t>
            </w:r>
          </w:p>
        </w:tc>
        <w:tc>
          <w:tcPr>
            <w:tcW w:w="3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211,730</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w:t>
            </w:r>
          </w:p>
        </w:tc>
        <w:tc>
          <w:tcPr>
            <w:tcW w:w="2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474,996</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37"/>
        </w:trPr>
        <w:tc>
          <w:tcPr>
            <w:tcW w:w="5860" w:type="dxa"/>
            <w:vAlign w:val="bottom"/>
          </w:tcPr>
          <w:p>
            <w:pPr>
              <w:spacing w:after="0"/>
              <w:rPr>
                <w:sz w:val="20"/>
                <w:szCs w:val="20"/>
                <w:color w:val="auto"/>
              </w:rPr>
            </w:pPr>
          </w:p>
        </w:tc>
        <w:tc>
          <w:tcPr>
            <w:tcW w:w="320" w:type="dxa"/>
            <w:vAlign w:val="bottom"/>
            <w:tcBorders>
              <w:top w:val="single" w:sz="8" w:color="auto"/>
            </w:tcBorders>
          </w:tcPr>
          <w:p>
            <w:pPr>
              <w:jc w:val="right"/>
              <w:ind w:right="116"/>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top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851,051</w:t>
            </w: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60" w:type="dxa"/>
            <w:vAlign w:val="bottom"/>
            <w:tcBorders>
              <w:top w:val="single" w:sz="8" w:color="auto"/>
            </w:tcBorders>
          </w:tcPr>
          <w:p>
            <w:pPr>
              <w:jc w:val="right"/>
              <w:ind w:right="76"/>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2,120,992</w:t>
            </w: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r>
      <w:tr>
        <w:trPr>
          <w:trHeight w:val="27"/>
        </w:trPr>
        <w:tc>
          <w:tcPr>
            <w:tcW w:w="586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0"/>
        </w:trPr>
        <w:tc>
          <w:tcPr>
            <w:tcW w:w="586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r>
    </w:tbl>
    <w:p>
      <w:pPr>
        <w:spacing w:after="0" w:line="198"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The following table summarizes net revenue disaggregated by customer type (in thousands, except percentages):</w:t>
      </w:r>
    </w:p>
    <w:p>
      <w:pPr>
        <w:spacing w:after="0" w:line="200" w:lineRule="exact"/>
        <w:rPr>
          <w:sz w:val="20"/>
          <w:szCs w:val="20"/>
          <w:color w:val="auto"/>
        </w:rPr>
      </w:pPr>
    </w:p>
    <w:p>
      <w:pPr>
        <w:spacing w:after="0" w:line="2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4060" w:type="dxa"/>
            <w:vAlign w:val="bottom"/>
          </w:tcPr>
          <w:p>
            <w:pPr>
              <w:spacing w:after="0"/>
              <w:rPr>
                <w:sz w:val="16"/>
                <w:szCs w:val="16"/>
                <w:color w:val="auto"/>
              </w:rPr>
            </w:pPr>
          </w:p>
        </w:tc>
        <w:tc>
          <w:tcPr>
            <w:tcW w:w="180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3"/>
          </w:tcPr>
          <w:p>
            <w:pPr>
              <w:jc w:val="right"/>
              <w:ind w:right="588"/>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400" w:type="dxa"/>
            <w:vAlign w:val="bottom"/>
            <w:tcBorders>
              <w:bottom w:val="single" w:sz="8" w:color="auto"/>
            </w:tcBorders>
            <w:gridSpan w:val="3"/>
          </w:tcPr>
          <w:p>
            <w:pPr>
              <w:jc w:val="right"/>
              <w:ind w:right="628"/>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264"/>
        </w:trPr>
        <w:tc>
          <w:tcPr>
            <w:tcW w:w="4060" w:type="dxa"/>
            <w:vAlign w:val="bottom"/>
          </w:tcPr>
          <w:p>
            <w:pPr>
              <w:spacing w:after="0"/>
              <w:rPr>
                <w:sz w:val="22"/>
                <w:szCs w:val="22"/>
                <w:color w:val="auto"/>
              </w:rPr>
            </w:pPr>
          </w:p>
        </w:tc>
        <w:tc>
          <w:tcPr>
            <w:tcW w:w="1800" w:type="dxa"/>
            <w:vAlign w:val="bottom"/>
          </w:tcPr>
          <w:p>
            <w:pPr>
              <w:spacing w:after="0"/>
              <w:rPr>
                <w:sz w:val="22"/>
                <w:szCs w:val="22"/>
                <w:color w:val="auto"/>
              </w:rPr>
            </w:pPr>
          </w:p>
        </w:tc>
        <w:tc>
          <w:tcPr>
            <w:tcW w:w="124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20" w:type="dxa"/>
            <w:vAlign w:val="bottom"/>
          </w:tcPr>
          <w:p>
            <w:pPr>
              <w:spacing w:after="0"/>
              <w:rPr>
                <w:sz w:val="22"/>
                <w:szCs w:val="22"/>
                <w:color w:val="auto"/>
              </w:rPr>
            </w:pPr>
          </w:p>
        </w:tc>
        <w:tc>
          <w:tcPr>
            <w:tcW w:w="1420" w:type="dxa"/>
            <w:vAlign w:val="bottom"/>
            <w:gridSpan w:val="2"/>
          </w:tcPr>
          <w:p>
            <w:pPr>
              <w:ind w:left="280"/>
              <w:spacing w:after="0"/>
              <w:rPr>
                <w:sz w:val="20"/>
                <w:szCs w:val="20"/>
                <w:color w:val="auto"/>
              </w:rPr>
            </w:pPr>
            <w:r>
              <w:rPr>
                <w:rFonts w:ascii="Times New Roman" w:cs="Times New Roman" w:eastAsia="Times New Roman" w:hAnsi="Times New Roman"/>
                <w:sz w:val="14"/>
                <w:szCs w:val="14"/>
                <w:b w:val="1"/>
                <w:bCs w:val="1"/>
                <w:color w:val="auto"/>
              </w:rPr>
              <w:t>% of Total</w:t>
            </w:r>
          </w:p>
        </w:tc>
        <w:tc>
          <w:tcPr>
            <w:tcW w:w="124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20" w:type="dxa"/>
            <w:vAlign w:val="bottom"/>
          </w:tcPr>
          <w:p>
            <w:pPr>
              <w:spacing w:after="0"/>
              <w:rPr>
                <w:sz w:val="22"/>
                <w:szCs w:val="22"/>
                <w:color w:val="auto"/>
              </w:rPr>
            </w:pPr>
          </w:p>
        </w:tc>
        <w:tc>
          <w:tcPr>
            <w:tcW w:w="1200" w:type="dxa"/>
            <w:vAlign w:val="bottom"/>
          </w:tcPr>
          <w:p>
            <w:pPr>
              <w:jc w:val="right"/>
              <w:ind w:right="208"/>
              <w:spacing w:after="0"/>
              <w:rPr>
                <w:sz w:val="20"/>
                <w:szCs w:val="20"/>
                <w:color w:val="auto"/>
              </w:rPr>
            </w:pPr>
            <w:r>
              <w:rPr>
                <w:rFonts w:ascii="Times New Roman" w:cs="Times New Roman" w:eastAsia="Times New Roman" w:hAnsi="Times New Roman"/>
                <w:sz w:val="14"/>
                <w:szCs w:val="14"/>
                <w:b w:val="1"/>
                <w:bCs w:val="1"/>
                <w:color w:val="auto"/>
              </w:rPr>
              <w:t>% of Total</w:t>
            </w:r>
          </w:p>
        </w:tc>
        <w:tc>
          <w:tcPr>
            <w:tcW w:w="0" w:type="dxa"/>
            <w:vAlign w:val="bottom"/>
          </w:tcPr>
          <w:p>
            <w:pPr>
              <w:spacing w:after="0"/>
              <w:rPr>
                <w:sz w:val="1"/>
                <w:szCs w:val="1"/>
                <w:color w:val="auto"/>
              </w:rPr>
            </w:pPr>
          </w:p>
        </w:tc>
      </w:tr>
      <w:tr>
        <w:trPr>
          <w:trHeight w:val="249"/>
        </w:trPr>
        <w:tc>
          <w:tcPr>
            <w:tcW w:w="406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Times New Roman" w:cs="Times New Roman" w:eastAsia="Times New Roman" w:hAnsi="Times New Roman"/>
                <w:sz w:val="18"/>
                <w:szCs w:val="18"/>
                <w:b w:val="1"/>
                <w:bCs w:val="1"/>
                <w:color w:val="auto"/>
              </w:rPr>
              <w:t>Net revenue by customer type:</w:t>
            </w:r>
          </w:p>
        </w:tc>
        <w:tc>
          <w:tcPr>
            <w:tcW w:w="18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98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0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Direct customers</w:t>
            </w:r>
          </w:p>
        </w:tc>
        <w:tc>
          <w:tcPr>
            <w:tcW w:w="2120" w:type="dxa"/>
            <w:vAlign w:val="bottom"/>
            <w:gridSpan w:val="2"/>
          </w:tcPr>
          <w:p>
            <w:pPr>
              <w:jc w:val="right"/>
              <w:ind w:right="119"/>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630,022</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74%</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1,632,646</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77%</w:t>
            </w:r>
          </w:p>
        </w:tc>
        <w:tc>
          <w:tcPr>
            <w:tcW w:w="0" w:type="dxa"/>
            <w:vAlign w:val="bottom"/>
          </w:tcPr>
          <w:p>
            <w:pPr>
              <w:spacing w:after="0"/>
              <w:rPr>
                <w:sz w:val="1"/>
                <w:szCs w:val="1"/>
                <w:color w:val="auto"/>
              </w:rPr>
            </w:pPr>
          </w:p>
        </w:tc>
      </w:tr>
      <w:tr>
        <w:trPr>
          <w:trHeight w:val="27"/>
        </w:trPr>
        <w:tc>
          <w:tcPr>
            <w:tcW w:w="4060" w:type="dxa"/>
            <w:vAlign w:val="bottom"/>
          </w:tcPr>
          <w:p>
            <w:pPr>
              <w:spacing w:after="0"/>
              <w:rPr>
                <w:sz w:val="2"/>
                <w:szCs w:val="2"/>
                <w:color w:val="auto"/>
              </w:rPr>
            </w:pPr>
          </w:p>
        </w:tc>
        <w:tc>
          <w:tcPr>
            <w:tcW w:w="1800" w:type="dxa"/>
            <w:vAlign w:val="bottom"/>
          </w:tcPr>
          <w:p>
            <w:pPr>
              <w:spacing w:after="0"/>
              <w:rPr>
                <w:sz w:val="2"/>
                <w:szCs w:val="2"/>
                <w:color w:val="auto"/>
              </w:rPr>
            </w:pPr>
          </w:p>
        </w:tc>
        <w:tc>
          <w:tcPr>
            <w:tcW w:w="32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0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Distributors</w:t>
            </w:r>
          </w:p>
        </w:tc>
        <w:tc>
          <w:tcPr>
            <w:tcW w:w="18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221,029</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w:t>
            </w:r>
          </w:p>
        </w:tc>
        <w:tc>
          <w:tcPr>
            <w:tcW w:w="2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488,346</w:t>
            </w:r>
          </w:p>
        </w:tc>
        <w:tc>
          <w:tcPr>
            <w:tcW w:w="142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w:t>
            </w:r>
          </w:p>
        </w:tc>
        <w:tc>
          <w:tcPr>
            <w:tcW w:w="0" w:type="dxa"/>
            <w:vAlign w:val="bottom"/>
          </w:tcPr>
          <w:p>
            <w:pPr>
              <w:spacing w:after="0"/>
              <w:rPr>
                <w:sz w:val="1"/>
                <w:szCs w:val="1"/>
                <w:color w:val="auto"/>
              </w:rPr>
            </w:pPr>
          </w:p>
        </w:tc>
      </w:tr>
      <w:tr>
        <w:trPr>
          <w:trHeight w:val="237"/>
        </w:trPr>
        <w:tc>
          <w:tcPr>
            <w:tcW w:w="4060" w:type="dxa"/>
            <w:vAlign w:val="bottom"/>
          </w:tcPr>
          <w:p>
            <w:pPr>
              <w:spacing w:after="0"/>
              <w:rPr>
                <w:sz w:val="20"/>
                <w:szCs w:val="20"/>
                <w:color w:val="auto"/>
              </w:rPr>
            </w:pPr>
          </w:p>
        </w:tc>
        <w:tc>
          <w:tcPr>
            <w:tcW w:w="1800" w:type="dxa"/>
            <w:vAlign w:val="bottom"/>
          </w:tcPr>
          <w:p>
            <w:pPr>
              <w:spacing w:after="0"/>
              <w:rPr>
                <w:sz w:val="20"/>
                <w:szCs w:val="20"/>
                <w:color w:val="auto"/>
              </w:rPr>
            </w:pPr>
          </w:p>
        </w:tc>
        <w:tc>
          <w:tcPr>
            <w:tcW w:w="320" w:type="dxa"/>
            <w:vAlign w:val="bottom"/>
            <w:tcBorders>
              <w:top w:val="single" w:sz="8" w:color="auto"/>
            </w:tcBorders>
          </w:tcPr>
          <w:p>
            <w:pPr>
              <w:jc w:val="right"/>
              <w:ind w:right="119"/>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top w:val="single" w:sz="8" w:color="auto"/>
            </w:tcBorders>
          </w:tcPr>
          <w:p>
            <w:pPr>
              <w:jc w:val="right"/>
              <w:ind w:right="14"/>
              <w:spacing w:after="0"/>
              <w:rPr>
                <w:sz w:val="20"/>
                <w:szCs w:val="20"/>
                <w:color w:val="auto"/>
              </w:rPr>
            </w:pPr>
            <w:r>
              <w:rPr>
                <w:rFonts w:ascii="Times New Roman" w:cs="Times New Roman" w:eastAsia="Times New Roman" w:hAnsi="Times New Roman"/>
                <w:sz w:val="18"/>
                <w:szCs w:val="18"/>
                <w:color w:val="auto"/>
              </w:rPr>
              <w:t>851,051</w:t>
            </w: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60" w:type="dxa"/>
            <w:vAlign w:val="bottom"/>
            <w:tcBorders>
              <w:top w:val="single" w:sz="8" w:color="auto"/>
            </w:tcBorders>
          </w:tcPr>
          <w:p>
            <w:pPr>
              <w:jc w:val="right"/>
              <w:ind w:right="79"/>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2,120,992</w:t>
            </w: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060" w:type="dxa"/>
            <w:vAlign w:val="bottom"/>
          </w:tcPr>
          <w:p>
            <w:pPr>
              <w:spacing w:after="0"/>
              <w:rPr>
                <w:sz w:val="2"/>
                <w:szCs w:val="2"/>
                <w:color w:val="auto"/>
              </w:rPr>
            </w:pPr>
          </w:p>
        </w:tc>
        <w:tc>
          <w:tcPr>
            <w:tcW w:w="18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25</w:t>
            </w:r>
          </w:p>
        </w:tc>
        <w:tc>
          <w:tcPr>
            <w:tcW w:w="3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4060" w:type="dxa"/>
            <w:vAlign w:val="bottom"/>
          </w:tcPr>
          <w:p>
            <w:pPr>
              <w:spacing w:after="0" w:line="20" w:lineRule="exact"/>
              <w:rPr>
                <w:sz w:val="1"/>
                <w:szCs w:val="1"/>
                <w:color w:val="auto"/>
              </w:rPr>
            </w:pPr>
          </w:p>
        </w:tc>
        <w:tc>
          <w:tcPr>
            <w:tcW w:w="1800" w:type="dxa"/>
            <w:vAlign w:val="bottom"/>
            <w:vMerge w:val="continue"/>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4060" w:type="dxa"/>
            <w:vAlign w:val="bottom"/>
          </w:tcPr>
          <w:p>
            <w:pPr>
              <w:spacing w:after="0"/>
              <w:rPr>
                <w:sz w:val="24"/>
                <w:szCs w:val="24"/>
                <w:color w:val="auto"/>
              </w:rPr>
            </w:pPr>
          </w:p>
        </w:tc>
        <w:tc>
          <w:tcPr>
            <w:tcW w:w="1800" w:type="dxa"/>
            <w:vAlign w:val="bottom"/>
            <w:vMerge w:val="continue"/>
          </w:tcPr>
          <w:p>
            <w:pPr>
              <w:spacing w:after="0"/>
              <w:rPr>
                <w:sz w:val="24"/>
                <w:szCs w:val="24"/>
                <w:color w:val="auto"/>
              </w:rPr>
            </w:pPr>
          </w:p>
        </w:tc>
        <w:tc>
          <w:tcPr>
            <w:tcW w:w="3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6" w:right="239" w:bottom="1440" w:gutter="0" w:footer="0" w:header="0"/>
        </w:sectPr>
      </w:pPr>
    </w:p>
    <w:bookmarkStart w:id="27" w:name="page28"/>
    <w:bookmarkEnd w:id="27"/>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3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Contract Liabilities</w:t>
      </w:r>
    </w:p>
    <w:p>
      <w:pPr>
        <w:spacing w:after="0" w:line="189" w:lineRule="exact"/>
        <w:rPr>
          <w:sz w:val="20"/>
          <w:szCs w:val="20"/>
          <w:color w:val="auto"/>
        </w:rPr>
      </w:pPr>
    </w:p>
    <w:p>
      <w:pPr>
        <w:ind w:right="40" w:firstLine="378"/>
        <w:spacing w:after="0" w:line="255" w:lineRule="auto"/>
        <w:rPr>
          <w:sz w:val="20"/>
          <w:szCs w:val="20"/>
          <w:color w:val="auto"/>
        </w:rPr>
      </w:pPr>
      <w:r>
        <w:rPr>
          <w:rFonts w:ascii="Times New Roman" w:cs="Times New Roman" w:eastAsia="Times New Roman" w:hAnsi="Times New Roman"/>
          <w:sz w:val="18"/>
          <w:szCs w:val="18"/>
          <w:color w:val="auto"/>
        </w:rPr>
        <w:t>Contract liabilities consist of the Company’s obligation to transfer goods or services to a customer for which the Company has received consideration or the amount is due from the customer. As of November 3, 2018,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condensed consolidated balance sheets.</w:t>
      </w:r>
    </w:p>
    <w:p>
      <w:pPr>
        <w:spacing w:after="0" w:line="189" w:lineRule="exact"/>
        <w:rPr>
          <w:sz w:val="20"/>
          <w:szCs w:val="20"/>
          <w:color w:val="auto"/>
        </w:rPr>
      </w:pPr>
    </w:p>
    <w:p>
      <w:pPr>
        <w:ind w:right="60" w:firstLine="378"/>
        <w:spacing w:after="0" w:line="261" w:lineRule="auto"/>
        <w:rPr>
          <w:sz w:val="20"/>
          <w:szCs w:val="20"/>
          <w:color w:val="auto"/>
        </w:rPr>
      </w:pPr>
      <w:r>
        <w:rPr>
          <w:rFonts w:ascii="Times New Roman" w:cs="Times New Roman" w:eastAsia="Times New Roman" w:hAnsi="Times New Roman"/>
          <w:sz w:val="18"/>
          <w:szCs w:val="18"/>
          <w:color w:val="auto"/>
        </w:rPr>
        <w:t>The opening balance of contract liabilities at the beginning of the first quarter of fiscal year 2019 was $79.6 million. During the nine months ended November 3, 2018, contract liabilities increased by $562.1 million associated with variable consideration estimates, offset by $520.0 million decrease in such reserves primarily due to credit memos issued to customers. The ending balance of contract liabilities as of the third quarter of fiscal year 2019 was $121.7 million.</w:t>
      </w:r>
    </w:p>
    <w:p>
      <w:pPr>
        <w:spacing w:after="0" w:line="122"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Sales Commissions</w:t>
      </w:r>
    </w:p>
    <w:p>
      <w:pPr>
        <w:spacing w:after="0" w:line="189" w:lineRule="exact"/>
        <w:rPr>
          <w:sz w:val="20"/>
          <w:szCs w:val="20"/>
          <w:color w:val="auto"/>
        </w:rPr>
      </w:pPr>
    </w:p>
    <w:p>
      <w:pPr>
        <w:ind w:right="40" w:firstLine="378"/>
        <w:spacing w:after="0" w:line="266" w:lineRule="auto"/>
        <w:rPr>
          <w:sz w:val="20"/>
          <w:szCs w:val="20"/>
          <w:color w:val="auto"/>
        </w:rPr>
      </w:pPr>
      <w:r>
        <w:rPr>
          <w:rFonts w:ascii="Times New Roman" w:cs="Times New Roman" w:eastAsia="Times New Roman" w:hAnsi="Times New Roman"/>
          <w:sz w:val="18"/>
          <w:szCs w:val="18"/>
          <w:color w:val="auto"/>
        </w:rPr>
        <w:t>Sales commissions are generally earned by the salespersons based on shipments to customers. The Company has elected to apply the practical expedient to expense these costs when incurred as the amortization period is typically one year or less. These costs are recorded in selling, general and administrative expenses in the condensed consolidated statements of operations.</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13. Income Tax</w:t>
      </w:r>
    </w:p>
    <w:p>
      <w:pPr>
        <w:spacing w:after="0" w:line="229" w:lineRule="exact"/>
        <w:rPr>
          <w:sz w:val="20"/>
          <w:szCs w:val="20"/>
          <w:color w:val="auto"/>
        </w:rPr>
      </w:pPr>
    </w:p>
    <w:p>
      <w:pPr>
        <w:ind w:firstLine="405"/>
        <w:spacing w:after="0" w:line="256" w:lineRule="auto"/>
        <w:rPr>
          <w:sz w:val="20"/>
          <w:szCs w:val="20"/>
          <w:color w:val="auto"/>
        </w:rPr>
      </w:pPr>
      <w:r>
        <w:rPr>
          <w:rFonts w:ascii="Times New Roman" w:cs="Times New Roman" w:eastAsia="Times New Roman" w:hAnsi="Times New Roman"/>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the applicability of special tax regimes, changes in how we do business, and acquisitions, as well as the integration of such acquisitions.</w:t>
      </w:r>
    </w:p>
    <w:p>
      <w:pPr>
        <w:spacing w:after="0" w:line="107" w:lineRule="exact"/>
        <w:rPr>
          <w:sz w:val="20"/>
          <w:szCs w:val="20"/>
          <w:color w:val="auto"/>
        </w:rPr>
      </w:pPr>
    </w:p>
    <w:p>
      <w:pPr>
        <w:ind w:right="100" w:firstLine="405"/>
        <w:spacing w:after="0" w:line="261" w:lineRule="auto"/>
        <w:rPr>
          <w:sz w:val="20"/>
          <w:szCs w:val="20"/>
          <w:color w:val="auto"/>
        </w:rPr>
      </w:pPr>
      <w:r>
        <w:rPr>
          <w:rFonts w:ascii="Times New Roman" w:cs="Times New Roman" w:eastAsia="Times New Roman" w:hAnsi="Times New Roman"/>
          <w:sz w:val="18"/>
          <w:szCs w:val="18"/>
          <w:color w:val="auto"/>
        </w:rPr>
        <w:t>The Company’s estimated effective tax rate for the year differs from the U.S. statutory rate of 21% primarily due to the benefit of a substantial portion of its earnings being taxed at rates lower than the U.S. statutory rate. The Company estimates that its effective tax rate could be adversely affected by pre-tax losses incurred in certain non-U.S. jurisdictions subject to tax rates lower than 21% for which it does not realize a tax benefit. These losses reduce the Company's pre-tax income without a corresponding reduction in its tax expense, and therefore increase its effective tax rate.</w:t>
      </w:r>
    </w:p>
    <w:p>
      <w:pPr>
        <w:spacing w:after="0" w:line="113" w:lineRule="exact"/>
        <w:rPr>
          <w:sz w:val="20"/>
          <w:szCs w:val="20"/>
          <w:color w:val="auto"/>
        </w:rPr>
      </w:pPr>
    </w:p>
    <w:p>
      <w:pPr>
        <w:ind w:right="40" w:firstLine="405"/>
        <w:spacing w:after="0" w:line="274" w:lineRule="auto"/>
        <w:rPr>
          <w:sz w:val="20"/>
          <w:szCs w:val="20"/>
          <w:color w:val="auto"/>
        </w:rPr>
      </w:pPr>
      <w:r>
        <w:rPr>
          <w:rFonts w:ascii="Times New Roman" w:cs="Times New Roman" w:eastAsia="Times New Roman" w:hAnsi="Times New Roman"/>
          <w:sz w:val="18"/>
          <w:szCs w:val="18"/>
          <w:color w:val="auto"/>
        </w:rPr>
        <w:t>On July 6, 2018, the Company completed the acquisition of Cavium, Inc. (“Cavium”). With this acquisition, the Company is projecting significant amounts of pre-tax losses in the U.S. in the current fiscal year for which an income tax benefit is realized at the U.S. statutory rate of 21%. This income tax benefit is in excess of the Company's projected income taxes from other jurisdictions. As a result, the Company's estimated annual effective tax rate reflects a consolidated income tax benefit. It is possible that significant negative evidence may become available to reach a conclusion that a valuation allowance will be needed, and as such, the Company may recognize a valuation allowance in the next 12 months.</w:t>
      </w:r>
    </w:p>
    <w:p>
      <w:pPr>
        <w:spacing w:after="0" w:line="88" w:lineRule="exact"/>
        <w:rPr>
          <w:sz w:val="20"/>
          <w:szCs w:val="20"/>
          <w:color w:val="auto"/>
        </w:rPr>
      </w:pPr>
    </w:p>
    <w:p>
      <w:pPr>
        <w:ind w:right="140" w:firstLine="405"/>
        <w:spacing w:after="0" w:line="266" w:lineRule="auto"/>
        <w:rPr>
          <w:sz w:val="20"/>
          <w:szCs w:val="20"/>
          <w:color w:val="auto"/>
        </w:rPr>
      </w:pPr>
      <w:r>
        <w:rPr>
          <w:rFonts w:ascii="Times New Roman" w:cs="Times New Roman" w:eastAsia="Times New Roman" w:hAnsi="Times New Roman"/>
          <w:sz w:val="18"/>
          <w:szCs w:val="18"/>
          <w:color w:val="auto"/>
        </w:rPr>
        <w:t>The income tax expense of $9.3 million for the three months ended November 3, 2018 included tax expense related to discrete items recorded in the quarter of $1.9 million. The income tax benefit of $16.9 million for the nine months ended November 3, 2018, included a tax benefit from a net reduction in unrecognized tax benefits of $6.8 million, and a tax benefit related to other discrete items recorded in the nine month period of $0.9 million.</w:t>
      </w:r>
    </w:p>
    <w:p>
      <w:pPr>
        <w:spacing w:after="0" w:line="200" w:lineRule="exact"/>
        <w:rPr>
          <w:sz w:val="20"/>
          <w:szCs w:val="20"/>
          <w:color w:val="auto"/>
        </w:rPr>
      </w:pPr>
    </w:p>
    <w:p>
      <w:pPr>
        <w:spacing w:after="0" w:line="21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1400"/>
          </w:cols>
          <w:pgMar w:left="240" w:top="126" w:right="259" w:bottom="1440" w:gutter="0" w:footer="0" w:header="0"/>
        </w:sectPr>
      </w:pPr>
    </w:p>
    <w:bookmarkStart w:id="28" w:name="page29"/>
    <w:bookmarkEnd w:id="28"/>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ind w:right="-19"/>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55" w:lineRule="exact"/>
        <w:rPr>
          <w:sz w:val="20"/>
          <w:szCs w:val="20"/>
          <w:color w:val="auto"/>
        </w:rPr>
      </w:pPr>
    </w:p>
    <w:p>
      <w:pPr>
        <w:ind w:firstLine="405"/>
        <w:spacing w:after="0" w:line="254" w:lineRule="auto"/>
        <w:rPr>
          <w:sz w:val="20"/>
          <w:szCs w:val="20"/>
          <w:color w:val="auto"/>
        </w:rPr>
      </w:pPr>
      <w:r>
        <w:rPr>
          <w:rFonts w:ascii="Times New Roman" w:cs="Times New Roman" w:eastAsia="Times New Roman" w:hAnsi="Times New Roman"/>
          <w:sz w:val="18"/>
          <w:szCs w:val="18"/>
          <w:color w:val="auto"/>
        </w:rPr>
        <w:t>The Tax Cuts and Jobs Act (“2017 Tax Act”) was signed into law on December 22, 2017. The 2017 Tax Act significantly revised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The 2017 Tax Act also enhanced and extended through 2026 the option to claim accelerated depreciation deductions on qualified property. The Company has not completed its determination of the accounting implications of the 2017 Tax Act on its tax accruals. However, the Company reasonably estimated the effects of the 2017 Tax Act and recorded provisional amounts in its financial statements as of February 3, 2018. There were no additional adjustments made to these amounts in the three or nine month period ended November 3, 2018. As the Company continues its analysis of the 2017 Tax Act, collects and prepares necessary data, and interprets any additional guidance issued by the U.S. Treasury Department, the Internal Revenue Service (“I.R.S.”), and other standard-setting bodies, the Company may make adjustments to the provisional amounts. Those adjustments may materially impact the Company's provision for income taxes in the period in which the adjustments are made.</w:t>
      </w:r>
    </w:p>
    <w:p>
      <w:pPr>
        <w:spacing w:after="0" w:line="105" w:lineRule="exact"/>
        <w:rPr>
          <w:sz w:val="20"/>
          <w:szCs w:val="20"/>
          <w:color w:val="auto"/>
        </w:rPr>
      </w:pPr>
    </w:p>
    <w:p>
      <w:pPr>
        <w:ind w:right="40" w:firstLine="405"/>
        <w:spacing w:after="0" w:line="258" w:lineRule="auto"/>
        <w:rPr>
          <w:sz w:val="20"/>
          <w:szCs w:val="20"/>
          <w:color w:val="auto"/>
        </w:rPr>
      </w:pPr>
      <w:r>
        <w:rPr>
          <w:rFonts w:ascii="Times New Roman" w:cs="Times New Roman" w:eastAsia="Times New Roman" w:hAnsi="Times New Roman"/>
          <w:sz w:val="18"/>
          <w:szCs w:val="18"/>
          <w:color w:val="auto"/>
        </w:rPr>
        <w:t>The Company's gross unrecognized tax benefits were $150.5 million and $23.2 million on November 3, 2018 and February 3, 2018, respectively. The net increase to the Company's gross unrecognized tax benefits of $127.3 million is primarily the result of certain unrecognized tax benefits recorded in the Company's accounting for the acquisition of Cavium. If the gross unrecognized tax benefits as of November 3, 2018 were realized in a subsequent period, the Company would record a tax benefit of $120.2 million within its provision of income taxes at such time. The amount of interest and penalties accrued as of November 3, 2018 and February 3, 2018 was $14.3 million and $17.2 million, respectively.</w:t>
      </w:r>
    </w:p>
    <w:p>
      <w:pPr>
        <w:spacing w:after="0" w:line="184" w:lineRule="exact"/>
        <w:rPr>
          <w:sz w:val="20"/>
          <w:szCs w:val="20"/>
          <w:color w:val="auto"/>
        </w:rPr>
      </w:pPr>
    </w:p>
    <w:p>
      <w:pPr>
        <w:ind w:right="180" w:firstLine="405"/>
        <w:spacing w:after="0" w:line="277" w:lineRule="auto"/>
        <w:rPr>
          <w:sz w:val="20"/>
          <w:szCs w:val="20"/>
          <w:color w:val="auto"/>
        </w:rPr>
      </w:pPr>
      <w:r>
        <w:rPr>
          <w:rFonts w:ascii="Times New Roman" w:cs="Times New Roman" w:eastAsia="Times New Roman" w:hAnsi="Times New Roman"/>
          <w:sz w:val="17"/>
          <w:szCs w:val="17"/>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$10.5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68" w:lineRule="exact"/>
        <w:rPr>
          <w:sz w:val="20"/>
          <w:szCs w:val="20"/>
          <w:color w:val="auto"/>
        </w:rPr>
      </w:pPr>
    </w:p>
    <w:p>
      <w:pPr>
        <w:ind w:right="60" w:firstLine="405"/>
        <w:spacing w:after="0" w:line="258" w:lineRule="auto"/>
        <w:rPr>
          <w:sz w:val="20"/>
          <w:szCs w:val="20"/>
          <w:color w:val="auto"/>
        </w:rPr>
      </w:pPr>
      <w:r>
        <w:rPr>
          <w:rFonts w:ascii="Times New Roman" w:cs="Times New Roman" w:eastAsia="Times New Roman" w:hAnsi="Times New Roman"/>
          <w:sz w:val="18"/>
          <w:szCs w:val="18"/>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$0.6 million and $1.7 million for the three and nine months ended November 3, 2018 respectively, and $0.1 million and $1.6 million for the three and nine months ended October 28, 2017, respectively. The benefit of these tax incentives on net income per share was less than $0.01 per share for both the three and nine months ended November 3, 2018 and October 28, 2017.</w:t>
      </w:r>
    </w:p>
    <w:p>
      <w:pPr>
        <w:spacing w:after="0" w:line="184" w:lineRule="exact"/>
        <w:rPr>
          <w:sz w:val="20"/>
          <w:szCs w:val="20"/>
          <w:color w:val="auto"/>
        </w:rPr>
      </w:pPr>
    </w:p>
    <w:p>
      <w:pPr>
        <w:ind w:firstLine="405"/>
        <w:spacing w:after="0" w:line="256" w:lineRule="auto"/>
        <w:rPr>
          <w:sz w:val="20"/>
          <w:szCs w:val="20"/>
          <w:color w:val="auto"/>
        </w:rPr>
      </w:pPr>
      <w:r>
        <w:rPr>
          <w:rFonts w:ascii="Times New Roman" w:cs="Times New Roman" w:eastAsia="Times New Roman" w:hAnsi="Times New Roman"/>
          <w:sz w:val="18"/>
          <w:szCs w:val="18"/>
          <w:color w:val="auto"/>
        </w:rPr>
        <w:t>The Company’s principal source of liquidity as of November 3, 2018 consisted of approximately $610 million of cash, cash equivalents and short-term investments, of which approximately $550 million was held by subsidiaries outside of Bermuda. The Company has not recognized a deferred tax liability on $440 million of the excess financial reporting basis over the tax basis of investments in foreign subsidiaries outside of Bermuda that is indefinitely reinvested. The Company plans to use such amounts to fund various activities outside of Bermuda, including working capital requirements, capital expenditures for expansion, funding of future acquisitions or other financing activities. If such amounts were no longer considered indefinitely reinvested, the Company would incur a tax expense of approximately $120 million.</w:t>
      </w:r>
    </w:p>
    <w:p>
      <w:pPr>
        <w:spacing w:after="0" w:line="200" w:lineRule="exact"/>
        <w:rPr>
          <w:sz w:val="20"/>
          <w:szCs w:val="20"/>
          <w:color w:val="auto"/>
        </w:rPr>
      </w:pPr>
    </w:p>
    <w:p>
      <w:pPr>
        <w:spacing w:after="0" w:line="23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1400"/>
          </w:cols>
          <w:pgMar w:left="240" w:top="126" w:right="259" w:bottom="1440" w:gutter="0" w:footer="0" w:header="0"/>
        </w:sectPr>
      </w:pPr>
    </w:p>
    <w:bookmarkStart w:id="29" w:name="page30"/>
    <w:bookmarkEnd w:id="29"/>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 w:lineRule="exact"/>
        <w:rPr>
          <w:sz w:val="20"/>
          <w:szCs w:val="20"/>
          <w:color w:val="auto"/>
        </w:rPr>
      </w:pPr>
    </w:p>
    <w:p>
      <w:pPr>
        <w:jc w:val="center"/>
        <w:spacing w:after="0" w:line="207" w:lineRule="exact"/>
        <w:rPr>
          <w:sz w:val="20"/>
          <w:szCs w:val="20"/>
          <w:color w:val="auto"/>
        </w:rPr>
      </w:pPr>
      <w:r>
        <w:rPr>
          <w:rFonts w:ascii="Times New Roman" w:cs="Times New Roman" w:eastAsia="Times New Roman" w:hAnsi="Times New Roman"/>
          <w:sz w:val="18"/>
          <w:szCs w:val="18"/>
          <w:b w:val="1"/>
          <w:bCs w:val="1"/>
          <w:color w:val="auto"/>
        </w:rPr>
        <w:t xml:space="preserve">NOTES TO UNAUDITED CONDENSED CONSOLIDATED FINANCIAL STATEMENTS </w:t>
      </w:r>
      <w:r>
        <w:rPr>
          <w:rFonts w:ascii="MS PGothic" w:cs="MS PGothic" w:eastAsia="MS PGothic" w:hAnsi="MS PGothic"/>
          <w:sz w:val="18"/>
          <w:szCs w:val="18"/>
          <w:color w:val="auto"/>
          <w:strike w:val="1"/>
        </w:rPr>
        <w:t>‑</w:t>
      </w:r>
      <w:r>
        <w:rPr>
          <w:rFonts w:ascii="Times New Roman" w:cs="Times New Roman" w:eastAsia="Times New Roman" w:hAnsi="Times New Roman"/>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14. Net Income Per Share</w:t>
      </w:r>
    </w:p>
    <w:p>
      <w:pPr>
        <w:spacing w:after="0" w:line="94" w:lineRule="exact"/>
        <w:rPr>
          <w:sz w:val="20"/>
          <w:szCs w:val="20"/>
          <w:color w:val="auto"/>
        </w:rPr>
      </w:pPr>
    </w:p>
    <w:p>
      <w:pPr>
        <w:jc w:val="both"/>
        <w:ind w:right="520" w:firstLine="405"/>
        <w:spacing w:after="0" w:line="266" w:lineRule="auto"/>
        <w:rPr>
          <w:sz w:val="20"/>
          <w:szCs w:val="20"/>
          <w:color w:val="auto"/>
        </w:rPr>
      </w:pPr>
      <w:r>
        <w:rPr>
          <w:rFonts w:ascii="Times New Roman" w:cs="Times New Roman" w:eastAsia="Times New Roman" w:hAnsi="Times New Roman"/>
          <w:sz w:val="18"/>
          <w:szCs w:val="18"/>
          <w:color w:val="auto"/>
        </w:rPr>
        <w:t>The Company reports both basic net income per share, which is based on the weighted average number of common shares outstanding during the period, and diluted net income per share, which is based on the weighted average number of common shares outstanding and potentially dilutive shares outstanding during the period.</w:t>
      </w:r>
    </w:p>
    <w:p>
      <w:pPr>
        <w:spacing w:after="0" w:line="338"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computations of basic and diluted net income per share are presented in the following table (in thousands, except per share amounts):</w:t>
      </w:r>
    </w:p>
    <w:p>
      <w:pPr>
        <w:spacing w:after="0" w:line="200" w:lineRule="exact"/>
        <w:rPr>
          <w:sz w:val="20"/>
          <w:szCs w:val="20"/>
          <w:color w:val="auto"/>
        </w:rPr>
      </w:pP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4"/>
          </w:tcPr>
          <w:p>
            <w:pPr>
              <w:jc w:val="right"/>
              <w:ind w:right="793"/>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3"/>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0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2"/>
                <w:szCs w:val="12"/>
                <w:color w:val="auto"/>
              </w:rPr>
            </w:pPr>
          </w:p>
        </w:tc>
        <w:tc>
          <w:tcPr>
            <w:tcW w:w="1340" w:type="dxa"/>
            <w:vAlign w:val="bottom"/>
            <w:gridSpan w:val="2"/>
          </w:tcPr>
          <w:p>
            <w:pPr>
              <w:ind w:left="120"/>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240" w:type="dxa"/>
            <w:vAlign w:val="bottom"/>
          </w:tcPr>
          <w:p>
            <w:pPr>
              <w:spacing w:after="0"/>
              <w:rPr>
                <w:sz w:val="12"/>
                <w:szCs w:val="12"/>
                <w:color w:val="auto"/>
              </w:rPr>
            </w:pPr>
          </w:p>
        </w:tc>
        <w:tc>
          <w:tcPr>
            <w:tcW w:w="1340" w:type="dxa"/>
            <w:vAlign w:val="bottom"/>
            <w:gridSpan w:val="2"/>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240" w:type="dxa"/>
            <w:vAlign w:val="bottom"/>
          </w:tcPr>
          <w:p>
            <w:pPr>
              <w:spacing w:after="0"/>
              <w:rPr>
                <w:sz w:val="12"/>
                <w:szCs w:val="12"/>
                <w:color w:val="auto"/>
              </w:rPr>
            </w:pPr>
          </w:p>
        </w:tc>
        <w:tc>
          <w:tcPr>
            <w:tcW w:w="1240" w:type="dxa"/>
            <w:vAlign w:val="bottom"/>
          </w:tcPr>
          <w:p>
            <w:pPr>
              <w:jc w:val="right"/>
              <w:ind w:right="313"/>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0" w:type="dxa"/>
            <w:vAlign w:val="bottom"/>
          </w:tcPr>
          <w:p>
            <w:pPr>
              <w:spacing w:after="0"/>
              <w:rPr>
                <w:sz w:val="1"/>
                <w:szCs w:val="1"/>
                <w:color w:val="auto"/>
              </w:rPr>
            </w:pPr>
          </w:p>
        </w:tc>
      </w:tr>
      <w:tr>
        <w:trPr>
          <w:trHeight w:val="195"/>
        </w:trPr>
        <w:tc>
          <w:tcPr>
            <w:tcW w:w="51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14"/>
              <w:spacing w:after="0"/>
              <w:rPr>
                <w:sz w:val="20"/>
                <w:szCs w:val="20"/>
                <w:color w:val="auto"/>
              </w:rPr>
            </w:pPr>
            <w:r>
              <w:rPr>
                <w:rFonts w:ascii="Times New Roman" w:cs="Times New Roman" w:eastAsia="Times New Roman" w:hAnsi="Times New Roman"/>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Times New Roman" w:cs="Times New Roman" w:eastAsia="Times New Roman" w:hAnsi="Times New Roman"/>
                <w:sz w:val="14"/>
                <w:szCs w:val="14"/>
                <w:b w:val="1"/>
                <w:bCs w:val="1"/>
                <w:color w:val="auto"/>
              </w:rPr>
              <w:t>2017</w:t>
            </w:r>
          </w:p>
        </w:tc>
        <w:tc>
          <w:tcPr>
            <w:tcW w:w="0" w:type="dxa"/>
            <w:vAlign w:val="bottom"/>
          </w:tcPr>
          <w:p>
            <w:pPr>
              <w:spacing w:after="0"/>
              <w:rPr>
                <w:sz w:val="1"/>
                <w:szCs w:val="1"/>
                <w:color w:val="auto"/>
              </w:rPr>
            </w:pPr>
          </w:p>
        </w:tc>
      </w:tr>
      <w:tr>
        <w:trPr>
          <w:trHeight w:val="249"/>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Numerator:</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Income from continuing operations, net of tax</w:t>
            </w:r>
          </w:p>
        </w:tc>
        <w:tc>
          <w:tcPr>
            <w:tcW w:w="2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(53,767)</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149,337</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81,604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384,379</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Income from discontinued operations, net of tax</w:t>
            </w:r>
          </w:p>
        </w:tc>
        <w:tc>
          <w:tcPr>
            <w:tcW w:w="22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50,851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87,689</w:t>
            </w:r>
          </w:p>
        </w:tc>
        <w:tc>
          <w:tcPr>
            <w:tcW w:w="0" w:type="dxa"/>
            <w:vAlign w:val="bottom"/>
          </w:tcPr>
          <w:p>
            <w:pPr>
              <w:spacing w:after="0"/>
              <w:rPr>
                <w:sz w:val="1"/>
                <w:szCs w:val="1"/>
                <w:color w:val="auto"/>
              </w:rPr>
            </w:pPr>
          </w:p>
        </w:tc>
      </w:tr>
      <w:tr>
        <w:trPr>
          <w:trHeight w:val="237"/>
        </w:trPr>
        <w:tc>
          <w:tcPr>
            <w:tcW w:w="51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Net income</w:t>
            </w:r>
          </w:p>
        </w:tc>
        <w:tc>
          <w:tcPr>
            <w:tcW w:w="220" w:type="dxa"/>
            <w:vAlign w:val="bottom"/>
            <w:tcBorders>
              <w:top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(53,767)</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13"/>
              <w:spacing w:after="0"/>
              <w:rPr>
                <w:sz w:val="20"/>
                <w:szCs w:val="20"/>
                <w:color w:val="auto"/>
              </w:rPr>
            </w:pPr>
            <w:r>
              <w:rPr>
                <w:rFonts w:ascii="Times New Roman" w:cs="Times New Roman" w:eastAsia="Times New Roman" w:hAnsi="Times New Roman"/>
                <w:sz w:val="18"/>
                <w:szCs w:val="18"/>
                <w:color w:val="auto"/>
              </w:rPr>
              <w:t>200,188</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14"/>
              <w:spacing w:after="0"/>
              <w:rPr>
                <w:sz w:val="20"/>
                <w:szCs w:val="20"/>
                <w:color w:val="auto"/>
              </w:rPr>
            </w:pPr>
            <w:r>
              <w:rPr>
                <w:rFonts w:ascii="Times New Roman" w:cs="Times New Roman" w:eastAsia="Times New Roman" w:hAnsi="Times New Roman"/>
                <w:sz w:val="18"/>
                <w:szCs w:val="18"/>
                <w:color w:val="auto"/>
              </w:rPr>
              <w:t>81,604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13"/>
              <w:spacing w:after="0"/>
              <w:rPr>
                <w:sz w:val="20"/>
                <w:szCs w:val="20"/>
                <w:color w:val="auto"/>
              </w:rPr>
            </w:pPr>
            <w:r>
              <w:rPr>
                <w:rFonts w:ascii="Times New Roman" w:cs="Times New Roman" w:eastAsia="Times New Roman" w:hAnsi="Times New Roman"/>
                <w:sz w:val="18"/>
                <w:szCs w:val="18"/>
                <w:color w:val="auto"/>
              </w:rPr>
              <w:t>472,068</w:t>
            </w:r>
          </w:p>
        </w:tc>
        <w:tc>
          <w:tcPr>
            <w:tcW w:w="0" w:type="dxa"/>
            <w:vAlign w:val="bottom"/>
          </w:tcPr>
          <w:p>
            <w:pPr>
              <w:spacing w:after="0"/>
              <w:rPr>
                <w:sz w:val="1"/>
                <w:szCs w:val="1"/>
                <w:color w:val="auto"/>
              </w:rPr>
            </w:pPr>
          </w:p>
        </w:tc>
      </w:tr>
      <w:tr>
        <w:trPr>
          <w:trHeight w:val="67"/>
        </w:trPr>
        <w:tc>
          <w:tcPr>
            <w:tcW w:w="516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31"/>
        </w:trPr>
        <w:tc>
          <w:tcPr>
            <w:tcW w:w="5160" w:type="dxa"/>
            <w:vAlign w:val="bottom"/>
            <w:tcBorders>
              <w:bottom w:val="single" w:sz="8" w:color="CCEEFF"/>
            </w:tcBorders>
            <w:shd w:val="clear" w:color="auto" w:fill="CCEEFF"/>
          </w:tcPr>
          <w:p>
            <w:pPr>
              <w:ind w:left="40"/>
              <w:spacing w:after="0" w:line="196" w:lineRule="exact"/>
              <w:rPr>
                <w:sz w:val="20"/>
                <w:szCs w:val="20"/>
                <w:color w:val="auto"/>
              </w:rPr>
            </w:pPr>
            <w:r>
              <w:rPr>
                <w:rFonts w:ascii="Times New Roman" w:cs="Times New Roman" w:eastAsia="Times New Roman" w:hAnsi="Times New Roman"/>
                <w:sz w:val="18"/>
                <w:szCs w:val="18"/>
                <w:color w:val="auto"/>
              </w:rPr>
              <w:t>Denominator:</w:t>
            </w:r>
          </w:p>
        </w:tc>
        <w:tc>
          <w:tcPr>
            <w:tcW w:w="220" w:type="dxa"/>
            <w:vAlign w:val="bottom"/>
            <w:tcBorders>
              <w:bottom w:val="single" w:sz="8" w:color="CCEEFF"/>
            </w:tcBorders>
            <w:shd w:val="clear" w:color="auto" w:fill="CCEEFF"/>
          </w:tcPr>
          <w:p>
            <w:pPr>
              <w:spacing w:after="0"/>
              <w:rPr>
                <w:sz w:val="20"/>
                <w:szCs w:val="20"/>
                <w:color w:val="auto"/>
              </w:rPr>
            </w:pPr>
          </w:p>
        </w:tc>
        <w:tc>
          <w:tcPr>
            <w:tcW w:w="12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Weighted average shares — basic</w:t>
            </w:r>
          </w:p>
        </w:tc>
        <w:tc>
          <w:tcPr>
            <w:tcW w:w="220" w:type="dxa"/>
            <w:vAlign w:val="bottom"/>
          </w:tcPr>
          <w:p>
            <w:pPr>
              <w:spacing w:after="0"/>
              <w:rPr>
                <w:sz w:val="21"/>
                <w:szCs w:val="21"/>
                <w:color w:val="auto"/>
              </w:rPr>
            </w:pPr>
          </w:p>
        </w:tc>
        <w:tc>
          <w:tcPr>
            <w:tcW w:w="12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657,519</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494,096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569,031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499,568</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Effect of dilutive securities:</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Share-based awards</w:t>
            </w:r>
          </w:p>
        </w:tc>
        <w:tc>
          <w:tcPr>
            <w:tcW w:w="220" w:type="dxa"/>
            <w:vAlign w:val="bottom"/>
          </w:tcPr>
          <w:p>
            <w:pPr>
              <w:spacing w:after="0"/>
              <w:rPr>
                <w:sz w:val="21"/>
                <w:szCs w:val="21"/>
                <w:color w:val="auto"/>
              </w:rPr>
            </w:pPr>
          </w:p>
        </w:tc>
        <w:tc>
          <w:tcPr>
            <w:tcW w:w="140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10,807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9,841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11,367</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22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34"/>
              <w:spacing w:after="0"/>
              <w:rPr>
                <w:sz w:val="20"/>
                <w:szCs w:val="20"/>
                <w:color w:val="auto"/>
              </w:rPr>
            </w:pPr>
            <w:r>
              <w:rPr>
                <w:rFonts w:ascii="Times New Roman" w:cs="Times New Roman" w:eastAsia="Times New Roman" w:hAnsi="Times New Roman"/>
                <w:sz w:val="18"/>
                <w:szCs w:val="18"/>
                <w:color w:val="auto"/>
              </w:rPr>
              <w:t>657,519</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504,903</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578,872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510,935</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bottom w:val="single" w:sz="8" w:color="CCEEFF"/>
            </w:tcBorders>
            <w:vMerge w:val="restart"/>
          </w:tcPr>
          <w:p>
            <w:pPr>
              <w:ind w:left="40"/>
              <w:spacing w:after="0"/>
              <w:rPr>
                <w:sz w:val="20"/>
                <w:szCs w:val="20"/>
                <w:color w:val="auto"/>
              </w:rPr>
            </w:pPr>
            <w:r>
              <w:rPr>
                <w:rFonts w:ascii="Times New Roman" w:cs="Times New Roman" w:eastAsia="Times New Roman" w:hAnsi="Times New Roman"/>
                <w:sz w:val="18"/>
                <w:szCs w:val="18"/>
                <w:color w:val="auto"/>
              </w:rPr>
              <w:t>Income from continuing operations per share:</w:t>
            </w: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60" w:type="dxa"/>
            <w:vAlign w:val="bottom"/>
            <w:vMerge w:val="continue"/>
          </w:tcPr>
          <w:p>
            <w:pPr>
              <w:spacing w:after="0"/>
              <w:rPr>
                <w:sz w:val="17"/>
                <w:szCs w:val="17"/>
                <w:color w:val="auto"/>
              </w:rPr>
            </w:pPr>
          </w:p>
        </w:tc>
        <w:tc>
          <w:tcPr>
            <w:tcW w:w="22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60" w:type="dxa"/>
            <w:vAlign w:val="bottom"/>
          </w:tcPr>
          <w:p>
            <w:pPr>
              <w:spacing w:after="0"/>
              <w:rPr>
                <w:sz w:val="4"/>
                <w:szCs w:val="4"/>
                <w:color w:val="auto"/>
              </w:rPr>
            </w:pPr>
          </w:p>
        </w:tc>
        <w:tc>
          <w:tcPr>
            <w:tcW w:w="220" w:type="dxa"/>
            <w:vAlign w:val="bottom"/>
          </w:tcPr>
          <w:p>
            <w:pPr>
              <w:spacing w:after="0"/>
              <w:rPr>
                <w:sz w:val="4"/>
                <w:szCs w:val="4"/>
                <w:color w:val="auto"/>
              </w:rPr>
            </w:pPr>
          </w:p>
        </w:tc>
        <w:tc>
          <w:tcPr>
            <w:tcW w:w="1280" w:type="dxa"/>
            <w:vAlign w:val="bottom"/>
          </w:tcPr>
          <w:p>
            <w:pPr>
              <w:spacing w:after="0"/>
              <w:rPr>
                <w:sz w:val="4"/>
                <w:szCs w:val="4"/>
                <w:color w:val="auto"/>
              </w:rPr>
            </w:pPr>
          </w:p>
        </w:tc>
        <w:tc>
          <w:tcPr>
            <w:tcW w:w="12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Basic</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0.30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0.14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0.77</w:t>
            </w: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Diluted</w:t>
            </w:r>
          </w:p>
        </w:tc>
        <w:tc>
          <w:tcPr>
            <w:tcW w:w="2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0.30</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0.14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0.75</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from discontinued operations per share:</w:t>
            </w:r>
          </w:p>
        </w:tc>
        <w:tc>
          <w:tcPr>
            <w:tcW w:w="2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Basic</w:t>
            </w:r>
          </w:p>
        </w:tc>
        <w:tc>
          <w:tcPr>
            <w:tcW w:w="2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0.11</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0.17</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Diluted</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0.10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0.17</w:t>
            </w: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income per share:</w:t>
            </w:r>
          </w:p>
        </w:tc>
        <w:tc>
          <w:tcPr>
            <w:tcW w:w="2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Basic</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0.41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0.14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0.94</w:t>
            </w: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Diluted</w:t>
            </w:r>
          </w:p>
        </w:tc>
        <w:tc>
          <w:tcPr>
            <w:tcW w:w="220" w:type="dxa"/>
            <w:vAlign w:val="bottom"/>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0.40</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0.14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0.92</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right="80" w:firstLine="432"/>
        <w:spacing w:after="0" w:line="266" w:lineRule="auto"/>
        <w:rPr>
          <w:sz w:val="20"/>
          <w:szCs w:val="20"/>
          <w:color w:val="auto"/>
        </w:rPr>
      </w:pPr>
      <w:r>
        <w:rPr>
          <w:rFonts w:ascii="Times New Roman" w:cs="Times New Roman" w:eastAsia="Times New Roman" w:hAnsi="Times New Roman"/>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Anti-dilutive potential shares are presented in the following table (in thousands):</w:t>
      </w: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60" w:type="dxa"/>
            <w:vAlign w:val="bottom"/>
          </w:tcPr>
          <w:p>
            <w:pPr>
              <w:spacing w:after="0"/>
              <w:rPr>
                <w:sz w:val="16"/>
                <w:szCs w:val="16"/>
                <w:color w:val="auto"/>
              </w:rPr>
            </w:pPr>
          </w:p>
        </w:tc>
        <w:tc>
          <w:tcPr>
            <w:tcW w:w="3100" w:type="dxa"/>
            <w:vAlign w:val="bottom"/>
            <w:tcBorders>
              <w:bottom w:val="single" w:sz="8" w:color="auto"/>
            </w:tcBorders>
            <w:gridSpan w:val="3"/>
          </w:tcPr>
          <w:p>
            <w:pPr>
              <w:jc w:val="right"/>
              <w:ind w:right="80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0" w:type="dxa"/>
            <w:vAlign w:val="bottom"/>
          </w:tcPr>
          <w:p>
            <w:pPr>
              <w:spacing w:after="0"/>
              <w:rPr>
                <w:sz w:val="16"/>
                <w:szCs w:val="16"/>
                <w:color w:val="auto"/>
              </w:rPr>
            </w:pPr>
          </w:p>
        </w:tc>
        <w:tc>
          <w:tcPr>
            <w:tcW w:w="3060" w:type="dxa"/>
            <w:vAlign w:val="bottom"/>
            <w:tcBorders>
              <w:bottom w:val="single" w:sz="8" w:color="auto"/>
            </w:tcBorders>
            <w:gridSpan w:val="3"/>
          </w:tcPr>
          <w:p>
            <w:pPr>
              <w:jc w:val="right"/>
              <w:ind w:right="822"/>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49"/>
        </w:trPr>
        <w:tc>
          <w:tcPr>
            <w:tcW w:w="5160" w:type="dxa"/>
            <w:vAlign w:val="bottom"/>
          </w:tcPr>
          <w:p>
            <w:pPr>
              <w:spacing w:after="0"/>
              <w:rPr>
                <w:sz w:val="12"/>
                <w:szCs w:val="12"/>
                <w:color w:val="auto"/>
              </w:rPr>
            </w:pPr>
          </w:p>
        </w:tc>
        <w:tc>
          <w:tcPr>
            <w:tcW w:w="1620" w:type="dxa"/>
            <w:vAlign w:val="bottom"/>
            <w:gridSpan w:val="2"/>
          </w:tcPr>
          <w:p>
            <w:pPr>
              <w:jc w:val="center"/>
              <w:ind w:right="16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1580" w:type="dxa"/>
            <w:vAlign w:val="bottom"/>
            <w:gridSpan w:val="2"/>
          </w:tcPr>
          <w:p>
            <w:pPr>
              <w:jc w:val="center"/>
              <w:ind w:right="140"/>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158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November 3,</w:t>
            </w:r>
          </w:p>
        </w:tc>
        <w:tc>
          <w:tcPr>
            <w:tcW w:w="14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r>
      <w:tr>
        <w:trPr>
          <w:trHeight w:val="195"/>
        </w:trPr>
        <w:tc>
          <w:tcPr>
            <w:tcW w:w="516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44"/>
              <w:spacing w:after="0"/>
              <w:rPr>
                <w:sz w:val="20"/>
                <w:szCs w:val="20"/>
                <w:color w:val="auto"/>
              </w:rPr>
            </w:pPr>
            <w:r>
              <w:rPr>
                <w:rFonts w:ascii="Times New Roman" w:cs="Times New Roman" w:eastAsia="Times New Roman" w:hAnsi="Times New Roman"/>
                <w:sz w:val="14"/>
                <w:szCs w:val="14"/>
                <w:b w:val="1"/>
                <w:bCs w:val="1"/>
                <w:color w:val="auto"/>
              </w:rPr>
              <w:t>2018</w:t>
            </w:r>
          </w:p>
        </w:tc>
        <w:tc>
          <w:tcPr>
            <w:tcW w:w="12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2"/>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4"/>
              <w:spacing w:after="0"/>
              <w:rPr>
                <w:sz w:val="20"/>
                <w:szCs w:val="20"/>
                <w:color w:val="auto"/>
              </w:rPr>
            </w:pPr>
            <w:r>
              <w:rPr>
                <w:rFonts w:ascii="Times New Roman" w:cs="Times New Roman" w:eastAsia="Times New Roman" w:hAnsi="Times New Roman"/>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2"/>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51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Weighted average shares outstanding:</w:t>
            </w:r>
          </w:p>
        </w:tc>
        <w:tc>
          <w:tcPr>
            <w:tcW w:w="15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Share-based awards</w:t>
            </w:r>
          </w:p>
        </w:tc>
        <w:tc>
          <w:tcPr>
            <w:tcW w:w="1500" w:type="dxa"/>
            <w:vAlign w:val="bottom"/>
          </w:tcPr>
          <w:p>
            <w:pPr>
              <w:jc w:val="right"/>
              <w:ind w:right="44"/>
              <w:spacing w:after="0"/>
              <w:rPr>
                <w:sz w:val="20"/>
                <w:szCs w:val="20"/>
                <w:color w:val="auto"/>
              </w:rPr>
            </w:pPr>
            <w:r>
              <w:rPr>
                <w:rFonts w:ascii="Times New Roman" w:cs="Times New Roman" w:eastAsia="Times New Roman" w:hAnsi="Times New Roman"/>
                <w:sz w:val="18"/>
                <w:szCs w:val="18"/>
                <w:color w:val="auto"/>
              </w:rPr>
              <w:t>25,048</w:t>
            </w:r>
          </w:p>
        </w:tc>
        <w:tc>
          <w:tcPr>
            <w:tcW w:w="12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Times New Roman" w:cs="Times New Roman" w:eastAsia="Times New Roman" w:hAnsi="Times New Roman"/>
                <w:sz w:val="18"/>
                <w:szCs w:val="18"/>
                <w:color w:val="auto"/>
              </w:rPr>
              <w:t>876</w:t>
            </w:r>
          </w:p>
        </w:tc>
        <w:tc>
          <w:tcPr>
            <w:tcW w:w="100" w:type="dxa"/>
            <w:vAlign w:val="bottom"/>
          </w:tcPr>
          <w:p>
            <w:pPr>
              <w:spacing w:after="0"/>
              <w:rPr>
                <w:sz w:val="21"/>
                <w:szCs w:val="21"/>
                <w:color w:val="auto"/>
              </w:rPr>
            </w:pPr>
          </w:p>
        </w:tc>
        <w:tc>
          <w:tcPr>
            <w:tcW w:w="1480" w:type="dxa"/>
            <w:vAlign w:val="bottom"/>
          </w:tcPr>
          <w:p>
            <w:pPr>
              <w:jc w:val="right"/>
              <w:ind w:right="24"/>
              <w:spacing w:after="0"/>
              <w:rPr>
                <w:sz w:val="20"/>
                <w:szCs w:val="20"/>
                <w:color w:val="auto"/>
              </w:rPr>
            </w:pPr>
            <w:r>
              <w:rPr>
                <w:rFonts w:ascii="Times New Roman" w:cs="Times New Roman" w:eastAsia="Times New Roman" w:hAnsi="Times New Roman"/>
                <w:sz w:val="18"/>
                <w:szCs w:val="18"/>
                <w:color w:val="auto"/>
              </w:rPr>
              <w:t>6,915</w:t>
            </w:r>
          </w:p>
        </w:tc>
        <w:tc>
          <w:tcPr>
            <w:tcW w:w="10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Times New Roman" w:cs="Times New Roman" w:eastAsia="Times New Roman" w:hAnsi="Times New Roman"/>
                <w:sz w:val="18"/>
                <w:szCs w:val="18"/>
                <w:color w:val="auto"/>
              </w:rPr>
              <w:t>3,122</w:t>
            </w:r>
          </w:p>
        </w:tc>
      </w:tr>
    </w:tbl>
    <w:p>
      <w:pPr>
        <w:spacing w:after="0" w:line="198" w:lineRule="exact"/>
        <w:rPr>
          <w:sz w:val="20"/>
          <w:szCs w:val="20"/>
          <w:color w:val="auto"/>
        </w:rPr>
      </w:pPr>
    </w:p>
    <w:p>
      <w:pPr>
        <w:ind w:right="80" w:firstLine="378"/>
        <w:spacing w:after="0" w:line="261" w:lineRule="auto"/>
        <w:rPr>
          <w:sz w:val="20"/>
          <w:szCs w:val="20"/>
          <w:color w:val="auto"/>
        </w:rPr>
      </w:pPr>
      <w:r>
        <w:rPr>
          <w:rFonts w:ascii="Times New Roman" w:cs="Times New Roman" w:eastAsia="Times New Roman" w:hAnsi="Times New Roman"/>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are also excluded from the calculation of diluted earnings per share for the three months ended November 3, 2018 due to the net loss reported in that period.</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1420"/>
          </w:cols>
          <w:pgMar w:left="240" w:top="126" w:right="239" w:bottom="1440" w:gutter="0" w:footer="0" w:header="0"/>
        </w:sectPr>
      </w:pPr>
    </w:p>
    <w:bookmarkStart w:id="30" w:name="page31"/>
    <w:bookmarkEnd w:id="30"/>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2. </w:t>
      </w:r>
      <w:r>
        <w:rPr>
          <w:rFonts w:ascii="Times New Roman" w:cs="Times New Roman" w:eastAsia="Times New Roman" w:hAnsi="Times New Roman"/>
          <w:sz w:val="18"/>
          <w:szCs w:val="18"/>
          <w:b w:val="1"/>
          <w:bCs w:val="1"/>
          <w:i w:val="1"/>
          <w:iCs w:val="1"/>
          <w:color w:val="auto"/>
        </w:rPr>
        <w:t>Management’s Discussion and Analysis of Financial Condition and Results of Operations</w:t>
      </w:r>
    </w:p>
    <w:p>
      <w:pPr>
        <w:spacing w:after="0" w:line="227" w:lineRule="exact"/>
        <w:rPr>
          <w:sz w:val="20"/>
          <w:szCs w:val="20"/>
          <w:color w:val="auto"/>
        </w:rPr>
      </w:pPr>
    </w:p>
    <w:p>
      <w:pPr>
        <w:ind w:right="60" w:firstLine="405"/>
        <w:spacing w:after="0" w:line="259" w:lineRule="auto"/>
        <w:rPr>
          <w:sz w:val="20"/>
          <w:szCs w:val="20"/>
          <w:color w:val="auto"/>
        </w:rPr>
      </w:pPr>
      <w:r>
        <w:rPr>
          <w:rFonts w:ascii="Times New Roman" w:cs="Times New Roman" w:eastAsia="Times New Roman" w:hAnsi="Times New Roman"/>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80" w:lineRule="exact"/>
        <w:rPr>
          <w:sz w:val="20"/>
          <w:szCs w:val="20"/>
          <w:color w:val="auto"/>
        </w:rPr>
      </w:pPr>
    </w:p>
    <w:p>
      <w:pPr>
        <w:ind w:right="380" w:firstLine="648"/>
        <w:spacing w:after="0" w:line="284" w:lineRule="auto"/>
        <w:rPr>
          <w:sz w:val="20"/>
          <w:szCs w:val="20"/>
          <w:color w:val="auto"/>
        </w:rPr>
      </w:pPr>
      <w:r>
        <w:rPr>
          <w:rFonts w:ascii="Times New Roman" w:cs="Times New Roman" w:eastAsia="Times New Roman" w:hAnsi="Times New Roman"/>
          <w:sz w:val="18"/>
          <w:szCs w:val="18"/>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58" w:lineRule="exact"/>
        <w:rPr>
          <w:sz w:val="20"/>
          <w:szCs w:val="20"/>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to successfully integrate the business of Cavium with our business;</w:t>
      </w:r>
    </w:p>
    <w:p>
      <w:pPr>
        <w:spacing w:after="0" w:line="2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our ability to realize anticipated synergies in connection with the Cavium acquisition;</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dependence on a small number of customers;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severe financial hardship or bankruptcy of one or more of our major customers;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effects of any potential future acquisitions, strategic investments, divestitures, mergers or joint ventures;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risks associated with acquisition and consolidation activity in the semiconductor industry;</w:t>
      </w:r>
    </w:p>
    <w:p>
      <w:pPr>
        <w:spacing w:after="0" w:line="9" w:lineRule="exact"/>
        <w:rPr>
          <w:rFonts w:ascii="Times New Roman" w:cs="Times New Roman" w:eastAsia="Times New Roman" w:hAnsi="Times New Roman"/>
          <w:sz w:val="18"/>
          <w:szCs w:val="18"/>
          <w:color w:val="auto"/>
        </w:rPr>
      </w:pPr>
    </w:p>
    <w:p>
      <w:pPr>
        <w:ind w:left="6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and the ability of our customers to successfully compete in the markets in which we serve;</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our dependence upon the storage market, which is highly cyclical and intensely competitive;</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and our customers’ ability to develop new and enhanced products and the adoption of those products in the market;</w:t>
      </w:r>
    </w:p>
    <w:p>
      <w:pPr>
        <w:spacing w:after="0" w:line="9" w:lineRule="exact"/>
        <w:rPr>
          <w:rFonts w:ascii="Times New Roman" w:cs="Times New Roman" w:eastAsia="Times New Roman" w:hAnsi="Times New Roman"/>
          <w:sz w:val="18"/>
          <w:szCs w:val="18"/>
          <w:color w:val="auto"/>
        </w:rPr>
      </w:pPr>
    </w:p>
    <w:p>
      <w:pPr>
        <w:ind w:left="660" w:right="760" w:hanging="328"/>
        <w:spacing w:after="0" w:line="250" w:lineRule="auto"/>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define, design and develop products for the infrastructure and 5G market and market and sell those products to infrastructure customers;</w:t>
      </w: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decreases in our gross margin and results of operations in the future due to a number of factors;</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our reliance on independent foundries and subcontractors for the manufacture, assembly and testing of our products;</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risks associated with manufacturing and selling a majority of our products and our customers’ products outside of the United States;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effects of transitioning to smaller geometry process technologies;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to scale our operations in response to changes in demand for existing or new products and services;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our ability to limit costs related to defective products;</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our ability to recruit and retain experienced executive management as well as highly skilled engineering and sales and marketing personnel;</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our ability to mitigate risks related to our information technology systems;</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our ability to protect our intellectual property;</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our ability to estimate customer demand and future sales accurately;</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our reliance on third-party distributors and manufacturers' representatives to sell our products;</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the impact of international conflict and continued economic volatility in either domestic or foreign markets;</w:t>
      </w:r>
    </w:p>
    <w:p>
      <w:pPr>
        <w:spacing w:after="0" w:line="9" w:lineRule="exact"/>
        <w:rPr>
          <w:rFonts w:ascii="Times New Roman" w:cs="Times New Roman" w:eastAsia="Times New Roman" w:hAnsi="Times New Roman"/>
          <w:sz w:val="18"/>
          <w:szCs w:val="18"/>
          <w:i w:val="1"/>
          <w:iCs w:val="1"/>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the impact and costs associated with changes in international financial and regulatory conditions;</w:t>
      </w:r>
    </w:p>
    <w:p>
      <w:pPr>
        <w:spacing w:after="0" w:line="9" w:lineRule="exact"/>
        <w:rPr>
          <w:rFonts w:ascii="Times New Roman" w:cs="Times New Roman" w:eastAsia="Times New Roman" w:hAnsi="Times New Roman"/>
          <w:sz w:val="18"/>
          <w:szCs w:val="18"/>
          <w:i w:val="1"/>
          <w:iCs w:val="1"/>
          <w:color w:val="auto"/>
        </w:rPr>
      </w:pPr>
    </w:p>
    <w:p>
      <w:pPr>
        <w:ind w:left="660" w:right="120" w:hanging="328"/>
        <w:spacing w:after="0" w:line="250" w:lineRule="auto"/>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the impact of any changes in our application of the United Stated federal income tax laws and the loss of any beneficial treatment that we currently enjoy;</w:t>
      </w:r>
    </w:p>
    <w:p>
      <w:pPr>
        <w:ind w:left="660" w:hanging="328"/>
        <w:spacing w:after="0"/>
        <w:tabs>
          <w:tab w:leader="none" w:pos="6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maintenance of an effective system of internal controls; and</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the outcome of pending or future litigation and legal and regulatory proceedings.</w:t>
      </w:r>
    </w:p>
    <w:p>
      <w:pPr>
        <w:spacing w:after="0" w:line="299" w:lineRule="exact"/>
        <w:rPr>
          <w:sz w:val="20"/>
          <w:szCs w:val="20"/>
          <w:color w:val="auto"/>
        </w:rPr>
      </w:pPr>
    </w:p>
    <w:p>
      <w:pPr>
        <w:ind w:right="100" w:firstLine="648"/>
        <w:spacing w:after="0" w:line="267" w:lineRule="auto"/>
        <w:rPr>
          <w:sz w:val="20"/>
          <w:szCs w:val="20"/>
          <w:color w:val="auto"/>
        </w:rPr>
      </w:pPr>
      <w:r>
        <w:rPr>
          <w:rFonts w:ascii="Times New Roman" w:cs="Times New Roman" w:eastAsia="Times New Roman" w:hAnsi="Times New Roman"/>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229" w:lineRule="exact"/>
        <w:rPr>
          <w:sz w:val="20"/>
          <w:szCs w:val="20"/>
          <w:color w:val="auto"/>
        </w:rPr>
      </w:pPr>
    </w:p>
    <w:p>
      <w:pPr>
        <w:ind w:firstLine="432"/>
        <w:spacing w:after="0" w:line="258" w:lineRule="auto"/>
        <w:rPr>
          <w:sz w:val="20"/>
          <w:szCs w:val="20"/>
          <w:color w:val="auto"/>
        </w:rPr>
      </w:pPr>
      <w:r>
        <w:rPr>
          <w:rFonts w:ascii="Times New Roman" w:cs="Times New Roman" w:eastAsia="Times New Roman" w:hAnsi="Times New Roman"/>
          <w:sz w:val="18"/>
          <w:szCs w:val="18"/>
          <w:color w:val="auto"/>
        </w:rPr>
        <w:t>We are a fabless semiconductor provider of high-performance, application-specific standard products. Our core strength is developing complex System-on-a-Chip (“SoC”) devices, leveraging our technology portfolio of intellectual property in the areas of analog, mixed-signal, digital signal processing, and embedded and standalone integrated circuits. We also develop integrated hardware platforms along with software that incorporates digital computing technologies designed and configured to provide an optimized computing solution. Our broad product portfolio includes devices for storage, networking and connectivity.</w:t>
      </w:r>
    </w:p>
    <w:p>
      <w:pPr>
        <w:spacing w:after="0" w:line="21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1380"/>
          </w:cols>
          <w:pgMar w:left="240" w:top="126" w:right="279" w:bottom="1440" w:gutter="0" w:footer="0" w:header="0"/>
        </w:sectPr>
      </w:pPr>
    </w:p>
    <w:bookmarkStart w:id="31" w:name="page32"/>
    <w:bookmarkEnd w:id="31"/>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firstLine="405"/>
        <w:spacing w:after="0" w:line="282" w:lineRule="auto"/>
        <w:rPr>
          <w:sz w:val="20"/>
          <w:szCs w:val="20"/>
          <w:color w:val="auto"/>
        </w:rPr>
      </w:pPr>
      <w:r>
        <w:rPr>
          <w:rFonts w:ascii="Times New Roman" w:cs="Times New Roman" w:eastAsia="Times New Roman" w:hAnsi="Times New Roman"/>
          <w:sz w:val="18"/>
          <w:szCs w:val="18"/>
          <w:color w:val="auto"/>
        </w:rPr>
        <w:t>Unless noted otherwise, our discussion under Part I, Item 2, Management’s Discussion and Analysis of Financial Condition and Results of Operations, refers to our continuing operations.</w:t>
      </w:r>
    </w:p>
    <w:p>
      <w:pPr>
        <w:spacing w:after="0" w:line="162" w:lineRule="exact"/>
        <w:rPr>
          <w:sz w:val="20"/>
          <w:szCs w:val="20"/>
          <w:color w:val="auto"/>
        </w:rPr>
      </w:pPr>
    </w:p>
    <w:p>
      <w:pPr>
        <w:ind w:right="100" w:firstLine="405"/>
        <w:spacing w:after="0" w:line="258" w:lineRule="auto"/>
        <w:rPr>
          <w:sz w:val="20"/>
          <w:szCs w:val="20"/>
          <w:color w:val="auto"/>
        </w:rPr>
      </w:pPr>
      <w:r>
        <w:rPr>
          <w:rFonts w:ascii="Times New Roman" w:cs="Times New Roman" w:eastAsia="Times New Roman" w:hAnsi="Times New Roman"/>
          <w:sz w:val="18"/>
          <w:szCs w:val="18"/>
          <w:color w:val="auto"/>
        </w:rPr>
        <w:t>On July 6, 2018, we completed our acquisition of Cavium. Cavium is a provider of highly integrated semiconductor processors that enable intelligent processing for wired and wireless infrastructure and cloud for networking, communications, storage and security applications. Cavium designs, develops and markets semiconductor processors for intelligent and secure networks. Cavium's operating results from the acquisition date through our third quarter ended November 3, 2018 have been included in our consolidated financial statements. See “Note 3 - Business Combination” of Notes to Condensed Consolidated Financial Statements for further discussion regarding our acquisition of Cavium.</w:t>
      </w:r>
    </w:p>
    <w:p>
      <w:pPr>
        <w:spacing w:after="0" w:line="184" w:lineRule="exact"/>
        <w:rPr>
          <w:sz w:val="20"/>
          <w:szCs w:val="20"/>
          <w:color w:val="auto"/>
        </w:rPr>
      </w:pPr>
    </w:p>
    <w:p>
      <w:pPr>
        <w:ind w:right="20" w:firstLine="405"/>
        <w:spacing w:after="0" w:line="255" w:lineRule="auto"/>
        <w:rPr>
          <w:sz w:val="20"/>
          <w:szCs w:val="20"/>
          <w:color w:val="auto"/>
        </w:rPr>
      </w:pPr>
      <w:r>
        <w:rPr>
          <w:rFonts w:ascii="Times New Roman" w:cs="Times New Roman" w:eastAsia="Times New Roman" w:hAnsi="Times New Roman"/>
          <w:sz w:val="18"/>
          <w:szCs w:val="18"/>
          <w:color w:val="auto"/>
        </w:rPr>
        <w:t>In the third quarter of fiscal 2019, our net revenue increased year over year by 38.1% from $616.3 million net revenue in the third quarter fiscal 2018 compared with $851.1 million in the third quarter of fiscal 2019. The increase was primarily due to a 57% increase in our networking product sales and 29% increase in our storage product sales, with sales benefiting from our acquisition of Cavium. This increase was partially offset by decreased sales of our other products, which decreased by 4% in relation to the three months ended October 28, 2017. Our net revenue for the nine months ended November 3, 2018 increased by $327.2 million compared to net revenue for the nine months ended October 28, 2017. The increase was primarily due to increased sales of our networking products by 29% and storage products by 14%, with sales benefiting from our acquisition of Cavium. The growth was offset by decreased sales of our other products, which decreased by 5% in relation to the nine months ended October 28, 2017.</w:t>
      </w:r>
    </w:p>
    <w:p>
      <w:pPr>
        <w:spacing w:after="0" w:line="187" w:lineRule="exact"/>
        <w:rPr>
          <w:sz w:val="20"/>
          <w:szCs w:val="20"/>
          <w:color w:val="auto"/>
        </w:rPr>
      </w:pPr>
    </w:p>
    <w:p>
      <w:pPr>
        <w:ind w:right="200" w:firstLine="405"/>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Capital Return Program. </w:t>
      </w:r>
      <w:r>
        <w:rPr>
          <w:rFonts w:ascii="Times New Roman" w:cs="Times New Roman" w:eastAsia="Times New Roman" w:hAnsi="Times New Roman"/>
          <w:sz w:val="18"/>
          <w:szCs w:val="18"/>
          <w:color w:val="auto"/>
        </w:rPr>
        <w:t>We remain committed to delivering shareholder value through our share repurchase and dividend programs. On October 16,</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2018, we announced that our Board of Directors authorized a $700 million addition to the balance of our existing share repurchase plan.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repurchase program may be suspended or discontinued at any time. As of November 3, 2018, there was $1.0 billion remaining available for future share repurchases.</w:t>
      </w:r>
    </w:p>
    <w:p>
      <w:pPr>
        <w:spacing w:after="0" w:line="185" w:lineRule="exact"/>
        <w:rPr>
          <w:sz w:val="20"/>
          <w:szCs w:val="20"/>
          <w:color w:val="auto"/>
        </w:rPr>
      </w:pPr>
    </w:p>
    <w:p>
      <w:pPr>
        <w:ind w:firstLine="405"/>
        <w:spacing w:after="0" w:line="289" w:lineRule="auto"/>
        <w:rPr>
          <w:sz w:val="20"/>
          <w:szCs w:val="20"/>
          <w:color w:val="auto"/>
        </w:rPr>
      </w:pPr>
      <w:r>
        <w:rPr>
          <w:rFonts w:ascii="Times New Roman" w:cs="Times New Roman" w:eastAsia="Times New Roman" w:hAnsi="Times New Roman"/>
          <w:sz w:val="17"/>
          <w:szCs w:val="17"/>
          <w:color w:val="auto"/>
        </w:rPr>
        <w:t>For the nine months ended November 3, 2018, we repurchased 2.9 million shares of our common stock for $54.0 million. As of November 3, 2018, a total of 289.3 million shares have been repurchased to date under the Company’s share repurchase program for a total $3.8 billion in cash. We returned $162.6 million to stockholders in the nine months ended November 3, 2018, including our repurchases of common stock and $108.6 million of cash dividends.</w:t>
      </w:r>
    </w:p>
    <w:p>
      <w:pPr>
        <w:spacing w:after="0" w:line="318" w:lineRule="exact"/>
        <w:rPr>
          <w:sz w:val="20"/>
          <w:szCs w:val="20"/>
          <w:color w:val="auto"/>
        </w:rPr>
      </w:pPr>
    </w:p>
    <w:p>
      <w:pPr>
        <w:jc w:val="both"/>
        <w:ind w:right="240" w:firstLine="405"/>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Cash and Short Term Investments. </w:t>
      </w:r>
      <w:r>
        <w:rPr>
          <w:rFonts w:ascii="Times New Roman" w:cs="Times New Roman" w:eastAsia="Times New Roman" w:hAnsi="Times New Roman"/>
          <w:sz w:val="18"/>
          <w:szCs w:val="18"/>
          <w:color w:val="auto"/>
        </w:rPr>
        <w:t>Our total cash, cash equivalents and short-term investments were $610.3 million at November 3, 2018, which was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lower than our balance of $1.8 billion at our fiscal year ended February 3, 2018. The decrease was primarily due to cash paid for the Cavium acquisition of $2.6 billion and cash paid on debt principal payments of $681.1 million, offset by proceeds from debt financing of $1.9 billion.</w:t>
      </w:r>
    </w:p>
    <w:p>
      <w:pPr>
        <w:spacing w:after="0" w:line="174" w:lineRule="exact"/>
        <w:rPr>
          <w:sz w:val="20"/>
          <w:szCs w:val="20"/>
          <w:color w:val="auto"/>
        </w:rPr>
      </w:pPr>
    </w:p>
    <w:p>
      <w:pPr>
        <w:ind w:right="160" w:firstLine="405"/>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Sales and Customer Composition. </w:t>
      </w:r>
      <w:r>
        <w:rPr>
          <w:rFonts w:ascii="Times New Roman" w:cs="Times New Roman" w:eastAsia="Times New Roman" w:hAnsi="Times New Roman"/>
          <w:sz w:val="18"/>
          <w:szCs w:val="18"/>
          <w:color w:val="auto"/>
        </w:rPr>
        <w:t>Historically, a relatively small number of customers have accounted for a significant portion of our net revenue. Net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revenue attributable to significant customers whose revenue as a percentage of net revenue was 10% or greater of total net revenue is presented in the following table:</w:t>
      </w:r>
    </w:p>
    <w:p>
      <w:pPr>
        <w:spacing w:after="0" w:line="372"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260" w:type="dxa"/>
            <w:vAlign w:val="bottom"/>
          </w:tcPr>
          <w:p>
            <w:pPr>
              <w:spacing w:after="0"/>
              <w:rPr>
                <w:sz w:val="16"/>
                <w:szCs w:val="16"/>
                <w:color w:val="auto"/>
              </w:rPr>
            </w:pPr>
          </w:p>
        </w:tc>
        <w:tc>
          <w:tcPr>
            <w:tcW w:w="5160" w:type="dxa"/>
            <w:vAlign w:val="bottom"/>
          </w:tcPr>
          <w:p>
            <w:pPr>
              <w:spacing w:after="0"/>
              <w:rPr>
                <w:sz w:val="16"/>
                <w:szCs w:val="16"/>
                <w:color w:val="auto"/>
              </w:rPr>
            </w:pPr>
          </w:p>
        </w:tc>
        <w:tc>
          <w:tcPr>
            <w:tcW w:w="2940" w:type="dxa"/>
            <w:vAlign w:val="bottom"/>
            <w:tcBorders>
              <w:bottom w:val="single" w:sz="8" w:color="auto"/>
            </w:tcBorders>
            <w:gridSpan w:val="3"/>
          </w:tcPr>
          <w:p>
            <w:pPr>
              <w:jc w:val="right"/>
              <w:ind w:right="714"/>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20" w:type="dxa"/>
            <w:vAlign w:val="bottom"/>
          </w:tcPr>
          <w:p>
            <w:pPr>
              <w:spacing w:after="0"/>
              <w:rPr>
                <w:sz w:val="16"/>
                <w:szCs w:val="16"/>
                <w:color w:val="auto"/>
              </w:rPr>
            </w:pPr>
          </w:p>
        </w:tc>
        <w:tc>
          <w:tcPr>
            <w:tcW w:w="2940" w:type="dxa"/>
            <w:vAlign w:val="bottom"/>
            <w:tcBorders>
              <w:bottom w:val="single" w:sz="8" w:color="auto"/>
            </w:tcBorders>
            <w:gridSpan w:val="3"/>
          </w:tcPr>
          <w:p>
            <w:pPr>
              <w:jc w:val="right"/>
              <w:ind w:right="754"/>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264"/>
        </w:trPr>
        <w:tc>
          <w:tcPr>
            <w:tcW w:w="260" w:type="dxa"/>
            <w:vAlign w:val="bottom"/>
          </w:tcPr>
          <w:p>
            <w:pPr>
              <w:spacing w:after="0"/>
              <w:rPr>
                <w:sz w:val="22"/>
                <w:szCs w:val="22"/>
                <w:color w:val="auto"/>
              </w:rPr>
            </w:pPr>
          </w:p>
        </w:tc>
        <w:tc>
          <w:tcPr>
            <w:tcW w:w="5160" w:type="dxa"/>
            <w:vAlign w:val="bottom"/>
          </w:tcPr>
          <w:p>
            <w:pPr>
              <w:spacing w:after="0"/>
              <w:rPr>
                <w:sz w:val="22"/>
                <w:szCs w:val="22"/>
                <w:color w:val="auto"/>
              </w:rPr>
            </w:pPr>
          </w:p>
        </w:tc>
        <w:tc>
          <w:tcPr>
            <w:tcW w:w="152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54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52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420" w:type="dxa"/>
            <w:vAlign w:val="bottom"/>
          </w:tcPr>
          <w:p>
            <w:pPr>
              <w:jc w:val="right"/>
              <w:ind w:right="94"/>
              <w:spacing w:after="0"/>
              <w:rPr>
                <w:sz w:val="20"/>
                <w:szCs w:val="20"/>
                <w:color w:val="auto"/>
              </w:rPr>
            </w:pPr>
            <w:r>
              <w:rPr>
                <w:rFonts w:ascii="Times New Roman" w:cs="Times New Roman" w:eastAsia="Times New Roman" w:hAnsi="Times New Roman"/>
                <w:sz w:val="14"/>
                <w:szCs w:val="14"/>
                <w:b w:val="1"/>
                <w:bCs w:val="1"/>
                <w:color w:val="auto"/>
              </w:rPr>
              <w:t>October 28, 2017</w:t>
            </w:r>
          </w:p>
        </w:tc>
      </w:tr>
      <w:tr>
        <w:trPr>
          <w:trHeight w:val="249"/>
        </w:trPr>
        <w:tc>
          <w:tcPr>
            <w:tcW w:w="5420" w:type="dxa"/>
            <w:vAlign w:val="bottom"/>
            <w:tcBorders>
              <w:top w:val="single" w:sz="8" w:color="CCEEFF"/>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End Customer:</w:t>
            </w: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260" w:type="dxa"/>
            <w:vAlign w:val="bottom"/>
          </w:tcPr>
          <w:p>
            <w:pPr>
              <w:spacing w:after="0"/>
              <w:rPr>
                <w:sz w:val="21"/>
                <w:szCs w:val="21"/>
                <w:color w:val="auto"/>
              </w:rPr>
            </w:pPr>
          </w:p>
        </w:tc>
        <w:tc>
          <w:tcPr>
            <w:tcW w:w="51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Western Digital</w:t>
            </w: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c>
          <w:tcPr>
            <w:tcW w:w="12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7"/>
        </w:trPr>
        <w:tc>
          <w:tcPr>
            <w:tcW w:w="260" w:type="dxa"/>
            <w:vAlign w:val="bottom"/>
          </w:tcPr>
          <w:p>
            <w:pPr>
              <w:spacing w:after="0"/>
              <w:rPr>
                <w:sz w:val="2"/>
                <w:szCs w:val="2"/>
                <w:color w:val="auto"/>
              </w:rPr>
            </w:pPr>
          </w:p>
        </w:tc>
        <w:tc>
          <w:tcPr>
            <w:tcW w:w="516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260" w:type="dxa"/>
            <w:vAlign w:val="bottom"/>
            <w:tcBorders>
              <w:bottom w:val="single" w:sz="8" w:color="CCEEFF"/>
            </w:tcBorders>
            <w:shd w:val="clear" w:color="auto" w:fill="CCEEFF"/>
          </w:tcPr>
          <w:p>
            <w:pPr>
              <w:spacing w:after="0"/>
              <w:rPr>
                <w:sz w:val="21"/>
                <w:szCs w:val="21"/>
                <w:color w:val="auto"/>
              </w:rPr>
            </w:pPr>
          </w:p>
        </w:tc>
        <w:tc>
          <w:tcPr>
            <w:tcW w:w="5160" w:type="dxa"/>
            <w:vAlign w:val="bottom"/>
            <w:tcBorders>
              <w:bottom w:val="single" w:sz="8" w:color="CCEEFF"/>
            </w:tcBorders>
            <w:shd w:val="clear" w:color="auto" w:fill="CCEEFF"/>
          </w:tcPr>
          <w:p>
            <w:pPr>
              <w:ind w:left="120"/>
              <w:spacing w:after="0"/>
              <w:rPr>
                <w:sz w:val="20"/>
                <w:szCs w:val="20"/>
                <w:color w:val="auto"/>
              </w:rPr>
            </w:pPr>
            <w:r>
              <w:rPr>
                <w:rFonts w:ascii="Times New Roman" w:cs="Times New Roman" w:eastAsia="Times New Roman" w:hAnsi="Times New Roman"/>
                <w:sz w:val="18"/>
                <w:szCs w:val="18"/>
                <w:color w:val="auto"/>
              </w:rPr>
              <w:t>Toshiba</w:t>
            </w: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w:t>
            </w: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w:t>
            </w:r>
          </w:p>
        </w:tc>
      </w:tr>
      <w:tr>
        <w:trPr>
          <w:trHeight w:val="243"/>
        </w:trPr>
        <w:tc>
          <w:tcPr>
            <w:tcW w:w="260" w:type="dxa"/>
            <w:vAlign w:val="bottom"/>
          </w:tcPr>
          <w:p>
            <w:pPr>
              <w:spacing w:after="0"/>
              <w:rPr>
                <w:sz w:val="21"/>
                <w:szCs w:val="21"/>
                <w:color w:val="auto"/>
              </w:rPr>
            </w:pPr>
          </w:p>
        </w:tc>
        <w:tc>
          <w:tcPr>
            <w:tcW w:w="51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Seagate</w:t>
            </w:r>
          </w:p>
        </w:tc>
        <w:tc>
          <w:tcPr>
            <w:tcW w:w="1420" w:type="dxa"/>
            <w:vAlign w:val="bottom"/>
          </w:tcPr>
          <w:p>
            <w:pPr>
              <w:jc w:val="right"/>
              <w:ind w:right="95"/>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c>
          <w:tcPr>
            <w:tcW w:w="12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w:t>
            </w:r>
          </w:p>
        </w:tc>
      </w:tr>
      <w:tr>
        <w:trPr>
          <w:trHeight w:val="27"/>
        </w:trPr>
        <w:tc>
          <w:tcPr>
            <w:tcW w:w="5420" w:type="dxa"/>
            <w:vAlign w:val="bottom"/>
            <w:gridSpan w:val="2"/>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5420" w:type="dxa"/>
            <w:vAlign w:val="bottom"/>
            <w:tcBorders>
              <w:bottom w:val="single" w:sz="8" w:color="CCEEFF"/>
            </w:tcBorders>
            <w:gridSpan w:val="2"/>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Distributor:</w:t>
            </w:r>
          </w:p>
        </w:tc>
        <w:tc>
          <w:tcPr>
            <w:tcW w:w="14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r>
      <w:tr>
        <w:trPr>
          <w:trHeight w:val="243"/>
        </w:trPr>
        <w:tc>
          <w:tcPr>
            <w:tcW w:w="260" w:type="dxa"/>
            <w:vAlign w:val="bottom"/>
          </w:tcPr>
          <w:p>
            <w:pPr>
              <w:spacing w:after="0"/>
              <w:rPr>
                <w:sz w:val="21"/>
                <w:szCs w:val="21"/>
                <w:color w:val="auto"/>
              </w:rPr>
            </w:pPr>
          </w:p>
        </w:tc>
        <w:tc>
          <w:tcPr>
            <w:tcW w:w="516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Wintech</w:t>
            </w:r>
          </w:p>
        </w:tc>
        <w:tc>
          <w:tcPr>
            <w:tcW w:w="1420" w:type="dxa"/>
            <w:vAlign w:val="bottom"/>
          </w:tcPr>
          <w:p>
            <w:pPr>
              <w:jc w:val="right"/>
              <w:ind w:right="95"/>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w:t>
            </w:r>
          </w:p>
        </w:tc>
        <w:tc>
          <w:tcPr>
            <w:tcW w:w="120" w:type="dxa"/>
            <w:vAlign w:val="bottom"/>
          </w:tcPr>
          <w:p>
            <w:pPr>
              <w:spacing w:after="0"/>
              <w:rPr>
                <w:sz w:val="21"/>
                <w:szCs w:val="21"/>
                <w:color w:val="auto"/>
              </w:rPr>
            </w:pPr>
          </w:p>
        </w:tc>
        <w:tc>
          <w:tcPr>
            <w:tcW w:w="1420" w:type="dxa"/>
            <w:vAlign w:val="bottom"/>
          </w:tcPr>
          <w:p>
            <w:pPr>
              <w:jc w:val="right"/>
              <w:ind w:right="116"/>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w:t>
            </w:r>
          </w:p>
        </w:tc>
      </w:tr>
      <w:tr>
        <w:trPr>
          <w:trHeight w:val="621"/>
        </w:trPr>
        <w:tc>
          <w:tcPr>
            <w:tcW w:w="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w:t>
            </w:r>
          </w:p>
        </w:tc>
        <w:tc>
          <w:tcPr>
            <w:tcW w:w="5160" w:type="dxa"/>
            <w:vAlign w:val="bottom"/>
          </w:tcPr>
          <w:p>
            <w:pPr>
              <w:ind w:left="460"/>
              <w:spacing w:after="0"/>
              <w:rPr>
                <w:sz w:val="20"/>
                <w:szCs w:val="20"/>
                <w:color w:val="auto"/>
              </w:rPr>
            </w:pPr>
            <w:r>
              <w:rPr>
                <w:rFonts w:ascii="Times New Roman" w:cs="Times New Roman" w:eastAsia="Times New Roman" w:hAnsi="Times New Roman"/>
                <w:sz w:val="18"/>
                <w:szCs w:val="18"/>
                <w:color w:val="auto"/>
              </w:rPr>
              <w:t>Less than 10% of net revenue</w:t>
            </w:r>
          </w:p>
        </w:tc>
        <w:tc>
          <w:tcPr>
            <w:tcW w:w="1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486"/>
        </w:trPr>
        <w:tc>
          <w:tcPr>
            <w:tcW w:w="260" w:type="dxa"/>
            <w:vAlign w:val="bottom"/>
          </w:tcPr>
          <w:p>
            <w:pPr>
              <w:spacing w:after="0"/>
              <w:rPr>
                <w:sz w:val="24"/>
                <w:szCs w:val="24"/>
                <w:color w:val="auto"/>
              </w:rPr>
            </w:pPr>
          </w:p>
        </w:tc>
        <w:tc>
          <w:tcPr>
            <w:tcW w:w="5160" w:type="dxa"/>
            <w:vAlign w:val="bottom"/>
          </w:tcPr>
          <w:p>
            <w:pPr>
              <w:spacing w:after="0"/>
              <w:rPr>
                <w:sz w:val="24"/>
                <w:szCs w:val="24"/>
                <w:color w:val="auto"/>
              </w:rPr>
            </w:pPr>
          </w:p>
        </w:tc>
        <w:tc>
          <w:tcPr>
            <w:tcW w:w="1420" w:type="dxa"/>
            <w:vAlign w:val="bottom"/>
          </w:tcPr>
          <w:p>
            <w:pPr>
              <w:jc w:val="right"/>
              <w:ind w:right="955"/>
              <w:spacing w:after="0"/>
              <w:rPr>
                <w:sz w:val="20"/>
                <w:szCs w:val="20"/>
                <w:color w:val="auto"/>
              </w:rPr>
            </w:pPr>
            <w:r>
              <w:rPr>
                <w:rFonts w:ascii="Times New Roman" w:cs="Times New Roman" w:eastAsia="Times New Roman" w:hAnsi="Times New Roman"/>
                <w:sz w:val="18"/>
                <w:szCs w:val="18"/>
                <w:color w:val="auto"/>
              </w:rPr>
              <w:t>30</w:t>
            </w:r>
          </w:p>
        </w:tc>
        <w:tc>
          <w:tcPr>
            <w:tcW w:w="10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20" w:type="dxa"/>
            <w:vAlign w:val="bottom"/>
          </w:tcPr>
          <w:p>
            <w:pPr>
              <w:spacing w:after="0"/>
              <w:rPr>
                <w:sz w:val="24"/>
                <w:szCs w:val="24"/>
                <w:color w:val="auto"/>
              </w:rPr>
            </w:pPr>
          </w:p>
        </w:tc>
      </w:tr>
    </w:tbl>
    <w:p>
      <w:pPr>
        <w:sectPr>
          <w:pgSz w:w="11900" w:h="16838" w:orient="portrait"/>
          <w:cols w:equalWidth="0" w:num="1">
            <w:col w:w="11420"/>
          </w:cols>
          <w:pgMar w:left="240" w:top="126" w:right="239" w:bottom="1440" w:gutter="0" w:footer="0" w:header="0"/>
        </w:sectPr>
      </w:pPr>
    </w:p>
    <w:bookmarkStart w:id="32" w:name="page33"/>
    <w:bookmarkEnd w:id="32"/>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06" w:lineRule="exact"/>
        <w:rPr>
          <w:sz w:val="20"/>
          <w:szCs w:val="20"/>
          <w:color w:val="auto"/>
        </w:rPr>
      </w:pPr>
    </w:p>
    <w:p>
      <w:pPr>
        <w:ind w:right="200" w:firstLine="405"/>
        <w:spacing w:after="0" w:line="282" w:lineRule="auto"/>
        <w:rPr>
          <w:sz w:val="20"/>
          <w:szCs w:val="20"/>
          <w:color w:val="auto"/>
        </w:rPr>
      </w:pPr>
      <w:r>
        <w:rPr>
          <w:rFonts w:ascii="Times New Roman" w:cs="Times New Roman" w:eastAsia="Times New Roman" w:hAnsi="Times New Roman"/>
          <w:sz w:val="18"/>
          <w:szCs w:val="18"/>
          <w:color w:val="auto"/>
        </w:rPr>
        <w:t>We continuously monitor the creditworthiness of our major customers and distributors and believe the distributors’ sales to diverse end customers and geographies further serve to mitigate our exposure to credit risk.</w:t>
      </w:r>
    </w:p>
    <w:p>
      <w:pPr>
        <w:spacing w:after="0" w:line="108" w:lineRule="exact"/>
        <w:rPr>
          <w:sz w:val="20"/>
          <w:szCs w:val="20"/>
          <w:color w:val="auto"/>
        </w:rPr>
      </w:pPr>
    </w:p>
    <w:p>
      <w:pPr>
        <w:ind w:right="100" w:firstLine="405"/>
        <w:spacing w:after="0" w:line="255" w:lineRule="auto"/>
        <w:rPr>
          <w:sz w:val="20"/>
          <w:szCs w:val="20"/>
          <w:color w:val="auto"/>
        </w:rPr>
      </w:pPr>
      <w:r>
        <w:rPr>
          <w:rFonts w:ascii="Times New Roman" w:cs="Times New Roman" w:eastAsia="Times New Roman" w:hAnsi="Times New Roman"/>
          <w:sz w:val="18"/>
          <w:szCs w:val="18"/>
          <w:color w:val="auto"/>
        </w:rPr>
        <w:t>Most of our sales are made to customers located outside of the United States, primarily in Asia, and all of our products are manufactured outside the United States. Sales shipped to customers with operations in Asia represented approximately 82% and 88% of our net revenue in the three and nine months ended November 3, 2018, and approximately 94% of net revenue in both the three and nine months ended October 28, 2017,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Times New Roman" w:cs="Times New Roman" w:eastAsia="Times New Roman" w:hAnsi="Times New Roman"/>
          <w:sz w:val="18"/>
          <w:szCs w:val="18"/>
          <w:i w:val="1"/>
          <w:iCs w:val="1"/>
          <w:color w:val="auto"/>
        </w:rPr>
        <w:t>We face additional risks due to the extent of our global operations since a majority of our products, and those of our customers,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are manufactured and sold outside of the United States. The occurrence of any or a combination of the additional risks described below would significantly and negatively impact our business and results of operations."</w:t>
      </w:r>
    </w:p>
    <w:p>
      <w:pPr>
        <w:spacing w:after="0" w:line="77" w:lineRule="exact"/>
        <w:rPr>
          <w:sz w:val="20"/>
          <w:szCs w:val="20"/>
          <w:color w:val="auto"/>
        </w:rPr>
      </w:pPr>
    </w:p>
    <w:p>
      <w:pPr>
        <w:ind w:firstLine="392"/>
        <w:spacing w:after="0" w:line="255" w:lineRule="auto"/>
        <w:rPr>
          <w:sz w:val="20"/>
          <w:szCs w:val="20"/>
          <w:color w:val="auto"/>
        </w:rPr>
      </w:pPr>
      <w:r>
        <w:rPr>
          <w:rFonts w:ascii="Times New Roman" w:cs="Times New Roman" w:eastAsia="Times New Roman" w:hAnsi="Times New Roman"/>
          <w:sz w:val="18"/>
          <w:szCs w:val="18"/>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cycles, see Part II, Item 1A, “Risk Factors,” including but not limited to the risk detailed under the caption "</w:t>
      </w:r>
      <w:r>
        <w:rPr>
          <w:rFonts w:ascii="Times New Roman" w:cs="Times New Roman" w:eastAsia="Times New Roman" w:hAnsi="Times New Roman"/>
          <w:sz w:val="18"/>
          <w:szCs w:val="18"/>
          <w:i w:val="1"/>
          <w:iCs w:val="1"/>
          <w:color w:val="auto"/>
        </w:rPr>
        <w:t>We are subject to order and shipment uncertainties. If we are unable to accurately predict customer demand,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Critical Accounting Policies and Estimates</w:t>
      </w:r>
    </w:p>
    <w:p>
      <w:pPr>
        <w:spacing w:after="0" w:line="229" w:lineRule="exact"/>
        <w:rPr>
          <w:sz w:val="20"/>
          <w:szCs w:val="20"/>
          <w:color w:val="auto"/>
        </w:rPr>
      </w:pPr>
    </w:p>
    <w:p>
      <w:pPr>
        <w:ind w:right="100" w:firstLine="405"/>
        <w:spacing w:after="0" w:line="256" w:lineRule="auto"/>
        <w:rPr>
          <w:sz w:val="20"/>
          <w:szCs w:val="20"/>
          <w:color w:val="auto"/>
        </w:rPr>
      </w:pPr>
      <w:r>
        <w:rPr>
          <w:rFonts w:ascii="Times New Roman" w:cs="Times New Roman" w:eastAsia="Times New Roman" w:hAnsi="Times New Roman"/>
          <w:sz w:val="18"/>
          <w:szCs w:val="18"/>
          <w:color w:val="auto"/>
        </w:rPr>
        <w:t>Except for the accounting policy for revenue recognition that was updated as a result of adopting the new accounting standard on the recognition of revenue from contracts with customers, and the estimates involved with the purchase accounting associated with Cavium business combination, there have been no material changes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February 3, 2018. See “Note 3. Business Combination,” “Note 12. Revenue - New Revenue Recognition Policy Including Significant Judgments and Estimates” and “Note 4. Goodwill and Acquired Intangible Assets, Net” for additional information.</w:t>
      </w:r>
    </w:p>
    <w:p>
      <w:pPr>
        <w:spacing w:after="0" w:line="200" w:lineRule="exact"/>
        <w:rPr>
          <w:sz w:val="20"/>
          <w:szCs w:val="20"/>
          <w:color w:val="auto"/>
        </w:rPr>
      </w:pPr>
    </w:p>
    <w:p>
      <w:pPr>
        <w:spacing w:after="0" w:line="23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420"/>
          </w:cols>
          <w:pgMar w:left="240" w:top="126" w:right="239" w:bottom="1440" w:gutter="0" w:footer="0" w:header="0"/>
        </w:sectPr>
      </w:pPr>
    </w:p>
    <w:bookmarkStart w:id="33" w:name="page34"/>
    <w:bookmarkEnd w:id="33"/>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Results of Operations</w:t>
      </w:r>
    </w:p>
    <w:p>
      <w:pPr>
        <w:spacing w:after="0" w:line="94" w:lineRule="exact"/>
        <w:rPr>
          <w:sz w:val="20"/>
          <w:szCs w:val="20"/>
          <w:color w:val="auto"/>
        </w:rPr>
      </w:pPr>
    </w:p>
    <w:p>
      <w:pPr>
        <w:ind w:right="60" w:firstLine="405"/>
        <w:spacing w:after="0" w:line="282" w:lineRule="auto"/>
        <w:rPr>
          <w:sz w:val="20"/>
          <w:szCs w:val="20"/>
          <w:color w:val="auto"/>
        </w:rPr>
      </w:pPr>
      <w:r>
        <w:rPr>
          <w:rFonts w:ascii="Times New Roman" w:cs="Times New Roman" w:eastAsia="Times New Roman" w:hAnsi="Times New Roman"/>
          <w:sz w:val="18"/>
          <w:szCs w:val="18"/>
          <w:color w:val="auto"/>
        </w:rPr>
        <w:t>The following table sets forth information derived from our unaudited condensed consolidated statements of operations expressed as a percentage of net revenue:</w:t>
      </w: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860" w:type="dxa"/>
            <w:vAlign w:val="bottom"/>
          </w:tcPr>
          <w:p>
            <w:pPr>
              <w:spacing w:after="0"/>
              <w:rPr>
                <w:sz w:val="16"/>
                <w:szCs w:val="16"/>
                <w:color w:val="auto"/>
              </w:rPr>
            </w:pPr>
          </w:p>
        </w:tc>
        <w:tc>
          <w:tcPr>
            <w:tcW w:w="3240" w:type="dxa"/>
            <w:vAlign w:val="bottom"/>
            <w:tcBorders>
              <w:bottom w:val="single" w:sz="8" w:color="auto"/>
            </w:tcBorders>
            <w:gridSpan w:val="3"/>
          </w:tcPr>
          <w:p>
            <w:pPr>
              <w:jc w:val="right"/>
              <w:ind w:right="85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0" w:type="dxa"/>
            <w:vAlign w:val="bottom"/>
          </w:tcPr>
          <w:p>
            <w:pPr>
              <w:spacing w:after="0"/>
              <w:rPr>
                <w:sz w:val="16"/>
                <w:szCs w:val="16"/>
                <w:color w:val="auto"/>
              </w:rPr>
            </w:pPr>
          </w:p>
        </w:tc>
        <w:tc>
          <w:tcPr>
            <w:tcW w:w="3220" w:type="dxa"/>
            <w:vAlign w:val="bottom"/>
            <w:tcBorders>
              <w:bottom w:val="single" w:sz="8" w:color="auto"/>
            </w:tcBorders>
            <w:gridSpan w:val="3"/>
          </w:tcPr>
          <w:p>
            <w:pPr>
              <w:jc w:val="right"/>
              <w:ind w:right="892"/>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149"/>
        </w:trPr>
        <w:tc>
          <w:tcPr>
            <w:tcW w:w="4860" w:type="dxa"/>
            <w:vAlign w:val="bottom"/>
          </w:tcPr>
          <w:p>
            <w:pPr>
              <w:spacing w:after="0"/>
              <w:rPr>
                <w:sz w:val="12"/>
                <w:szCs w:val="12"/>
                <w:color w:val="auto"/>
              </w:rPr>
            </w:pPr>
          </w:p>
        </w:tc>
        <w:tc>
          <w:tcPr>
            <w:tcW w:w="1680" w:type="dxa"/>
            <w:vAlign w:val="bottom"/>
            <w:gridSpan w:val="2"/>
            <w:vMerge w:val="restart"/>
          </w:tcPr>
          <w:p>
            <w:pPr>
              <w:ind w:left="240"/>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660" w:type="dxa"/>
            <w:vAlign w:val="bottom"/>
            <w:gridSpan w:val="2"/>
          </w:tcPr>
          <w:p>
            <w:pPr>
              <w:ind w:left="400"/>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1660" w:type="dxa"/>
            <w:vAlign w:val="bottom"/>
            <w:gridSpan w:val="2"/>
            <w:vMerge w:val="restart"/>
          </w:tcPr>
          <w:p>
            <w:pPr>
              <w:ind w:left="240"/>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560" w:type="dxa"/>
            <w:vAlign w:val="bottom"/>
          </w:tcPr>
          <w:p>
            <w:pPr>
              <w:jc w:val="right"/>
              <w:ind w:right="352"/>
              <w:spacing w:after="0" w:line="149" w:lineRule="exact"/>
              <w:rPr>
                <w:sz w:val="20"/>
                <w:szCs w:val="20"/>
                <w:color w:val="auto"/>
              </w:rPr>
            </w:pPr>
            <w:r>
              <w:rPr>
                <w:rFonts w:ascii="Times New Roman" w:cs="Times New Roman" w:eastAsia="Times New Roman" w:hAnsi="Times New Roman"/>
                <w:sz w:val="14"/>
                <w:szCs w:val="14"/>
                <w:b w:val="1"/>
                <w:bCs w:val="1"/>
                <w:color w:val="auto"/>
              </w:rPr>
              <w:t>October 28,</w:t>
            </w:r>
          </w:p>
        </w:tc>
        <w:tc>
          <w:tcPr>
            <w:tcW w:w="0" w:type="dxa"/>
            <w:vAlign w:val="bottom"/>
          </w:tcPr>
          <w:p>
            <w:pPr>
              <w:spacing w:after="0"/>
              <w:rPr>
                <w:sz w:val="1"/>
                <w:szCs w:val="1"/>
                <w:color w:val="auto"/>
              </w:rPr>
            </w:pPr>
          </w:p>
        </w:tc>
      </w:tr>
      <w:tr>
        <w:trPr>
          <w:trHeight w:val="195"/>
        </w:trPr>
        <w:tc>
          <w:tcPr>
            <w:tcW w:w="4860" w:type="dxa"/>
            <w:vAlign w:val="bottom"/>
          </w:tcPr>
          <w:p>
            <w:pPr>
              <w:spacing w:after="0"/>
              <w:rPr>
                <w:sz w:val="16"/>
                <w:szCs w:val="16"/>
                <w:color w:val="auto"/>
              </w:rPr>
            </w:pPr>
          </w:p>
        </w:tc>
        <w:tc>
          <w:tcPr>
            <w:tcW w:w="1680" w:type="dxa"/>
            <w:vAlign w:val="bottom"/>
            <w:gridSpan w:val="2"/>
            <w:vMerge w:val="continue"/>
          </w:tcPr>
          <w:p>
            <w:pPr>
              <w:spacing w:after="0"/>
              <w:rPr>
                <w:sz w:val="16"/>
                <w:szCs w:val="16"/>
                <w:color w:val="auto"/>
              </w:rPr>
            </w:pPr>
          </w:p>
        </w:tc>
        <w:tc>
          <w:tcPr>
            <w:tcW w:w="1560" w:type="dxa"/>
            <w:vAlign w:val="bottom"/>
          </w:tcPr>
          <w:p>
            <w:pPr>
              <w:jc w:val="right"/>
              <w:ind w:right="552"/>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560" w:type="dxa"/>
            <w:vAlign w:val="bottom"/>
          </w:tcPr>
          <w:p>
            <w:pPr>
              <w:jc w:val="right"/>
              <w:ind w:right="552"/>
              <w:spacing w:after="0"/>
              <w:rPr>
                <w:sz w:val="20"/>
                <w:szCs w:val="20"/>
                <w:color w:val="auto"/>
              </w:rPr>
            </w:pPr>
            <w:r>
              <w:rPr>
                <w:rFonts w:ascii="Times New Roman" w:cs="Times New Roman" w:eastAsia="Times New Roman" w:hAnsi="Times New Roman"/>
                <w:sz w:val="14"/>
                <w:szCs w:val="14"/>
                <w:b w:val="1"/>
                <w:bCs w:val="1"/>
                <w:color w:val="auto"/>
              </w:rPr>
              <w:t>2017</w:t>
            </w:r>
          </w:p>
        </w:tc>
        <w:tc>
          <w:tcPr>
            <w:tcW w:w="0" w:type="dxa"/>
            <w:vAlign w:val="bottom"/>
          </w:tcPr>
          <w:p>
            <w:pPr>
              <w:spacing w:after="0"/>
              <w:rPr>
                <w:sz w:val="1"/>
                <w:szCs w:val="1"/>
                <w:color w:val="auto"/>
              </w:rPr>
            </w:pPr>
          </w:p>
        </w:tc>
      </w:tr>
      <w:tr>
        <w:trPr>
          <w:trHeight w:val="249"/>
        </w:trPr>
        <w:tc>
          <w:tcPr>
            <w:tcW w:w="48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revenue</w:t>
            </w:r>
          </w:p>
        </w:tc>
        <w:tc>
          <w:tcPr>
            <w:tcW w:w="15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100.0 %</w:t>
            </w:r>
          </w:p>
        </w:tc>
        <w:tc>
          <w:tcPr>
            <w:tcW w:w="0" w:type="dxa"/>
            <w:vAlign w:val="bottom"/>
          </w:tcPr>
          <w:p>
            <w:pPr>
              <w:spacing w:after="0"/>
              <w:rPr>
                <w:sz w:val="1"/>
                <w:szCs w:val="1"/>
                <w:color w:val="auto"/>
              </w:rPr>
            </w:pPr>
          </w:p>
        </w:tc>
      </w:tr>
      <w:tr>
        <w:trPr>
          <w:trHeight w:val="243"/>
        </w:trPr>
        <w:tc>
          <w:tcPr>
            <w:tcW w:w="48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Cost of goods sold</w:t>
            </w:r>
          </w:p>
        </w:tc>
        <w:tc>
          <w:tcPr>
            <w:tcW w:w="158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54.9</w:t>
            </w:r>
          </w:p>
        </w:tc>
        <w:tc>
          <w:tcPr>
            <w:tcW w:w="10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38.7</w:t>
            </w:r>
          </w:p>
        </w:tc>
        <w:tc>
          <w:tcPr>
            <w:tcW w:w="10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46.4</w:t>
            </w:r>
          </w:p>
        </w:tc>
        <w:tc>
          <w:tcPr>
            <w:tcW w:w="100" w:type="dxa"/>
            <w:vAlign w:val="bottom"/>
          </w:tcPr>
          <w:p>
            <w:pPr>
              <w:spacing w:after="0"/>
              <w:rPr>
                <w:sz w:val="21"/>
                <w:szCs w:val="21"/>
                <w:color w:val="auto"/>
              </w:rPr>
            </w:pPr>
          </w:p>
        </w:tc>
        <w:tc>
          <w:tcPr>
            <w:tcW w:w="156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39.3</w:t>
            </w:r>
          </w:p>
        </w:tc>
        <w:tc>
          <w:tcPr>
            <w:tcW w:w="0" w:type="dxa"/>
            <w:vAlign w:val="bottom"/>
          </w:tcPr>
          <w:p>
            <w:pPr>
              <w:spacing w:after="0"/>
              <w:rPr>
                <w:sz w:val="1"/>
                <w:szCs w:val="1"/>
                <w:color w:val="auto"/>
              </w:rPr>
            </w:pPr>
          </w:p>
        </w:tc>
      </w:tr>
      <w:tr>
        <w:trPr>
          <w:trHeight w:val="27"/>
        </w:trPr>
        <w:tc>
          <w:tcPr>
            <w:tcW w:w="4860" w:type="dxa"/>
            <w:vAlign w:val="bottom"/>
            <w:tcBorders>
              <w:bottom w:val="single" w:sz="8" w:color="CCEEFF"/>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8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profit</w:t>
            </w:r>
          </w:p>
        </w:tc>
        <w:tc>
          <w:tcPr>
            <w:tcW w:w="158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45.1</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61.3</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53.6</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60.7</w:t>
            </w:r>
          </w:p>
        </w:tc>
        <w:tc>
          <w:tcPr>
            <w:tcW w:w="0" w:type="dxa"/>
            <w:vAlign w:val="bottom"/>
          </w:tcPr>
          <w:p>
            <w:pPr>
              <w:spacing w:after="0"/>
              <w:rPr>
                <w:sz w:val="1"/>
                <w:szCs w:val="1"/>
                <w:color w:val="auto"/>
              </w:rPr>
            </w:pPr>
          </w:p>
        </w:tc>
      </w:tr>
      <w:tr>
        <w:trPr>
          <w:trHeight w:val="243"/>
        </w:trPr>
        <w:tc>
          <w:tcPr>
            <w:tcW w:w="48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Operating expenses:</w:t>
            </w:r>
          </w:p>
        </w:tc>
        <w:tc>
          <w:tcPr>
            <w:tcW w:w="15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86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8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Research and development</w:t>
            </w:r>
          </w:p>
        </w:tc>
        <w:tc>
          <w:tcPr>
            <w:tcW w:w="158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31.1</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26.8</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31.0</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29.8</w:t>
            </w:r>
          </w:p>
        </w:tc>
        <w:tc>
          <w:tcPr>
            <w:tcW w:w="0" w:type="dxa"/>
            <w:vAlign w:val="bottom"/>
          </w:tcPr>
          <w:p>
            <w:pPr>
              <w:spacing w:after="0"/>
              <w:rPr>
                <w:sz w:val="1"/>
                <w:szCs w:val="1"/>
                <w:color w:val="auto"/>
              </w:rPr>
            </w:pPr>
          </w:p>
        </w:tc>
      </w:tr>
      <w:tr>
        <w:trPr>
          <w:trHeight w:val="243"/>
        </w:trPr>
        <w:tc>
          <w:tcPr>
            <w:tcW w:w="48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158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13.2</w:t>
            </w:r>
          </w:p>
        </w:tc>
        <w:tc>
          <w:tcPr>
            <w:tcW w:w="10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9.6</w:t>
            </w:r>
          </w:p>
        </w:tc>
        <w:tc>
          <w:tcPr>
            <w:tcW w:w="10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15.0</w:t>
            </w:r>
          </w:p>
        </w:tc>
        <w:tc>
          <w:tcPr>
            <w:tcW w:w="100" w:type="dxa"/>
            <w:vAlign w:val="bottom"/>
          </w:tcPr>
          <w:p>
            <w:pPr>
              <w:spacing w:after="0"/>
              <w:rPr>
                <w:sz w:val="21"/>
                <w:szCs w:val="21"/>
                <w:color w:val="auto"/>
              </w:rPr>
            </w:pPr>
          </w:p>
        </w:tc>
        <w:tc>
          <w:tcPr>
            <w:tcW w:w="156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9.5</w:t>
            </w:r>
          </w:p>
        </w:tc>
        <w:tc>
          <w:tcPr>
            <w:tcW w:w="0" w:type="dxa"/>
            <w:vAlign w:val="bottom"/>
          </w:tcPr>
          <w:p>
            <w:pPr>
              <w:spacing w:after="0"/>
              <w:rPr>
                <w:sz w:val="1"/>
                <w:szCs w:val="1"/>
                <w:color w:val="auto"/>
              </w:rPr>
            </w:pPr>
          </w:p>
        </w:tc>
      </w:tr>
      <w:tr>
        <w:trPr>
          <w:trHeight w:val="27"/>
        </w:trPr>
        <w:tc>
          <w:tcPr>
            <w:tcW w:w="486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8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158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3.2</w:t>
            </w:r>
          </w:p>
        </w:tc>
        <w:tc>
          <w:tcPr>
            <w:tcW w:w="10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0.5</w:t>
            </w:r>
          </w:p>
        </w:tc>
        <w:tc>
          <w:tcPr>
            <w:tcW w:w="10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3.0</w:t>
            </w:r>
          </w:p>
        </w:tc>
        <w:tc>
          <w:tcPr>
            <w:tcW w:w="10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0.5</w:t>
            </w:r>
          </w:p>
        </w:tc>
        <w:tc>
          <w:tcPr>
            <w:tcW w:w="0" w:type="dxa"/>
            <w:vAlign w:val="bottom"/>
          </w:tcPr>
          <w:p>
            <w:pPr>
              <w:spacing w:after="0"/>
              <w:rPr>
                <w:sz w:val="1"/>
                <w:szCs w:val="1"/>
                <w:color w:val="auto"/>
              </w:rPr>
            </w:pPr>
          </w:p>
        </w:tc>
      </w:tr>
      <w:tr>
        <w:trPr>
          <w:trHeight w:val="237"/>
        </w:trPr>
        <w:tc>
          <w:tcPr>
            <w:tcW w:w="486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1580" w:type="dxa"/>
            <w:vAlign w:val="bottom"/>
            <w:tcBorders>
              <w:top w:val="single" w:sz="8" w:color="auto"/>
            </w:tcBorders>
          </w:tcPr>
          <w:p>
            <w:pPr>
              <w:jc w:val="right"/>
              <w:ind w:right="152"/>
              <w:spacing w:after="0"/>
              <w:rPr>
                <w:sz w:val="20"/>
                <w:szCs w:val="20"/>
                <w:color w:val="auto"/>
              </w:rPr>
            </w:pPr>
            <w:r>
              <w:rPr>
                <w:rFonts w:ascii="Times New Roman" w:cs="Times New Roman" w:eastAsia="Times New Roman" w:hAnsi="Times New Roman"/>
                <w:sz w:val="18"/>
                <w:szCs w:val="18"/>
                <w:color w:val="auto"/>
              </w:rPr>
              <w:t>47.5</w:t>
            </w:r>
          </w:p>
        </w:tc>
        <w:tc>
          <w:tcPr>
            <w:tcW w:w="100" w:type="dxa"/>
            <w:vAlign w:val="bottom"/>
          </w:tcPr>
          <w:p>
            <w:pPr>
              <w:spacing w:after="0"/>
              <w:rPr>
                <w:sz w:val="20"/>
                <w:szCs w:val="20"/>
                <w:color w:val="auto"/>
              </w:rPr>
            </w:pPr>
          </w:p>
        </w:tc>
        <w:tc>
          <w:tcPr>
            <w:tcW w:w="1560" w:type="dxa"/>
            <w:vAlign w:val="bottom"/>
            <w:tcBorders>
              <w:top w:val="single" w:sz="8" w:color="auto"/>
            </w:tcBorders>
          </w:tcPr>
          <w:p>
            <w:pPr>
              <w:jc w:val="right"/>
              <w:ind w:right="152"/>
              <w:spacing w:after="0"/>
              <w:rPr>
                <w:sz w:val="20"/>
                <w:szCs w:val="20"/>
                <w:color w:val="auto"/>
              </w:rPr>
            </w:pPr>
            <w:r>
              <w:rPr>
                <w:rFonts w:ascii="Times New Roman" w:cs="Times New Roman" w:eastAsia="Times New Roman" w:hAnsi="Times New Roman"/>
                <w:sz w:val="18"/>
                <w:szCs w:val="18"/>
                <w:color w:val="auto"/>
              </w:rPr>
              <w:t>36.9</w:t>
            </w:r>
          </w:p>
        </w:tc>
        <w:tc>
          <w:tcPr>
            <w:tcW w:w="100" w:type="dxa"/>
            <w:vAlign w:val="bottom"/>
          </w:tcPr>
          <w:p>
            <w:pPr>
              <w:spacing w:after="0"/>
              <w:rPr>
                <w:sz w:val="20"/>
                <w:szCs w:val="20"/>
                <w:color w:val="auto"/>
              </w:rPr>
            </w:pPr>
          </w:p>
        </w:tc>
        <w:tc>
          <w:tcPr>
            <w:tcW w:w="1560" w:type="dxa"/>
            <w:vAlign w:val="bottom"/>
            <w:tcBorders>
              <w:top w:val="single" w:sz="8" w:color="auto"/>
            </w:tcBorders>
          </w:tcPr>
          <w:p>
            <w:pPr>
              <w:jc w:val="right"/>
              <w:ind w:right="152"/>
              <w:spacing w:after="0"/>
              <w:rPr>
                <w:sz w:val="20"/>
                <w:szCs w:val="20"/>
                <w:color w:val="auto"/>
              </w:rPr>
            </w:pPr>
            <w:r>
              <w:rPr>
                <w:rFonts w:ascii="Times New Roman" w:cs="Times New Roman" w:eastAsia="Times New Roman" w:hAnsi="Times New Roman"/>
                <w:sz w:val="18"/>
                <w:szCs w:val="18"/>
                <w:color w:val="auto"/>
              </w:rPr>
              <w:t>49.0</w:t>
            </w:r>
          </w:p>
        </w:tc>
        <w:tc>
          <w:tcPr>
            <w:tcW w:w="100" w:type="dxa"/>
            <w:vAlign w:val="bottom"/>
          </w:tcPr>
          <w:p>
            <w:pPr>
              <w:spacing w:after="0"/>
              <w:rPr>
                <w:sz w:val="20"/>
                <w:szCs w:val="20"/>
                <w:color w:val="auto"/>
              </w:rPr>
            </w:pPr>
          </w:p>
        </w:tc>
        <w:tc>
          <w:tcPr>
            <w:tcW w:w="1560" w:type="dxa"/>
            <w:vAlign w:val="bottom"/>
            <w:tcBorders>
              <w:top w:val="single" w:sz="8" w:color="auto"/>
            </w:tcBorders>
          </w:tcPr>
          <w:p>
            <w:pPr>
              <w:jc w:val="right"/>
              <w:ind w:right="132"/>
              <w:spacing w:after="0"/>
              <w:rPr>
                <w:sz w:val="20"/>
                <w:szCs w:val="20"/>
                <w:color w:val="auto"/>
              </w:rPr>
            </w:pPr>
            <w:r>
              <w:rPr>
                <w:rFonts w:ascii="Times New Roman" w:cs="Times New Roman" w:eastAsia="Times New Roman" w:hAnsi="Times New Roman"/>
                <w:sz w:val="18"/>
                <w:szCs w:val="18"/>
                <w:color w:val="auto"/>
              </w:rPr>
              <w:t>39.8</w:t>
            </w:r>
          </w:p>
        </w:tc>
        <w:tc>
          <w:tcPr>
            <w:tcW w:w="0" w:type="dxa"/>
            <w:vAlign w:val="bottom"/>
          </w:tcPr>
          <w:p>
            <w:pPr>
              <w:spacing w:after="0"/>
              <w:rPr>
                <w:sz w:val="1"/>
                <w:szCs w:val="1"/>
                <w:color w:val="auto"/>
              </w:rPr>
            </w:pPr>
          </w:p>
        </w:tc>
      </w:tr>
      <w:tr>
        <w:trPr>
          <w:trHeight w:val="27"/>
        </w:trPr>
        <w:tc>
          <w:tcPr>
            <w:tcW w:w="4860" w:type="dxa"/>
            <w:vAlign w:val="bottom"/>
            <w:tcBorders>
              <w:bottom w:val="single" w:sz="8" w:color="CCEEFF"/>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8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Operating income (loss) from continuing operations</w:t>
            </w:r>
          </w:p>
        </w:tc>
        <w:tc>
          <w:tcPr>
            <w:tcW w:w="1580" w:type="dxa"/>
            <w:vAlign w:val="bottom"/>
            <w:tcBorders>
              <w:bottom w:val="single" w:sz="8" w:color="CCEEFF"/>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(2.4)</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24.4</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4.6</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20.9</w:t>
            </w:r>
          </w:p>
        </w:tc>
        <w:tc>
          <w:tcPr>
            <w:tcW w:w="0" w:type="dxa"/>
            <w:vAlign w:val="bottom"/>
          </w:tcPr>
          <w:p>
            <w:pPr>
              <w:spacing w:after="0"/>
              <w:rPr>
                <w:sz w:val="1"/>
                <w:szCs w:val="1"/>
                <w:color w:val="auto"/>
              </w:rPr>
            </w:pPr>
          </w:p>
        </w:tc>
      </w:tr>
      <w:tr>
        <w:trPr>
          <w:trHeight w:val="243"/>
        </w:trPr>
        <w:tc>
          <w:tcPr>
            <w:tcW w:w="48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Interest income</w:t>
            </w:r>
          </w:p>
        </w:tc>
        <w:tc>
          <w:tcPr>
            <w:tcW w:w="158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0.1</w:t>
            </w:r>
          </w:p>
        </w:tc>
        <w:tc>
          <w:tcPr>
            <w:tcW w:w="10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0.7</w:t>
            </w:r>
          </w:p>
        </w:tc>
        <w:tc>
          <w:tcPr>
            <w:tcW w:w="10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0.5</w:t>
            </w:r>
          </w:p>
        </w:tc>
        <w:tc>
          <w:tcPr>
            <w:tcW w:w="100" w:type="dxa"/>
            <w:vAlign w:val="bottom"/>
          </w:tcPr>
          <w:p>
            <w:pPr>
              <w:spacing w:after="0"/>
              <w:rPr>
                <w:sz w:val="21"/>
                <w:szCs w:val="21"/>
                <w:color w:val="auto"/>
              </w:rPr>
            </w:pPr>
          </w:p>
        </w:tc>
        <w:tc>
          <w:tcPr>
            <w:tcW w:w="156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0.6</w:t>
            </w:r>
          </w:p>
        </w:tc>
        <w:tc>
          <w:tcPr>
            <w:tcW w:w="0" w:type="dxa"/>
            <w:vAlign w:val="bottom"/>
          </w:tcPr>
          <w:p>
            <w:pPr>
              <w:spacing w:after="0"/>
              <w:rPr>
                <w:sz w:val="1"/>
                <w:szCs w:val="1"/>
                <w:color w:val="auto"/>
              </w:rPr>
            </w:pPr>
          </w:p>
        </w:tc>
      </w:tr>
      <w:tr>
        <w:trPr>
          <w:trHeight w:val="27"/>
        </w:trPr>
        <w:tc>
          <w:tcPr>
            <w:tcW w:w="4860" w:type="dxa"/>
            <w:vAlign w:val="bottom"/>
          </w:tcPr>
          <w:p>
            <w:pPr>
              <w:spacing w:after="0"/>
              <w:rPr>
                <w:sz w:val="2"/>
                <w:szCs w:val="2"/>
                <w:color w:val="auto"/>
              </w:rPr>
            </w:pPr>
          </w:p>
        </w:tc>
        <w:tc>
          <w:tcPr>
            <w:tcW w:w="15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8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Interest expense</w:t>
            </w:r>
          </w:p>
        </w:tc>
        <w:tc>
          <w:tcPr>
            <w:tcW w:w="1580" w:type="dxa"/>
            <w:vAlign w:val="bottom"/>
            <w:tcBorders>
              <w:bottom w:val="single" w:sz="8" w:color="CCEEFF"/>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(2.6)</w:t>
            </w:r>
          </w:p>
        </w:tc>
        <w:tc>
          <w:tcPr>
            <w:tcW w:w="100" w:type="dxa"/>
            <w:vAlign w:val="bottom"/>
            <w:tcBorders>
              <w:bottom w:val="single" w:sz="8" w:color="CCEEFF"/>
            </w:tcBorders>
            <w:shd w:val="clear" w:color="auto" w:fill="CCEEFF"/>
          </w:tcPr>
          <w:p>
            <w:pPr>
              <w:spacing w:after="0"/>
              <w:rPr>
                <w:sz w:val="21"/>
                <w:szCs w:val="21"/>
                <w:color w:val="auto"/>
              </w:rPr>
            </w:pPr>
          </w:p>
        </w:tc>
        <w:tc>
          <w:tcPr>
            <w:tcW w:w="166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w:t>
            </w:r>
          </w:p>
        </w:tc>
        <w:tc>
          <w:tcPr>
            <w:tcW w:w="1560" w:type="dxa"/>
            <w:vAlign w:val="bottom"/>
            <w:tcBorders>
              <w:bottom w:val="single" w:sz="8" w:color="CCEEFF"/>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(1.8)</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43"/>
        </w:trPr>
        <w:tc>
          <w:tcPr>
            <w:tcW w:w="48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income (loss), net</w:t>
            </w:r>
          </w:p>
        </w:tc>
        <w:tc>
          <w:tcPr>
            <w:tcW w:w="158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(0.3)</w:t>
            </w:r>
          </w:p>
        </w:tc>
        <w:tc>
          <w:tcPr>
            <w:tcW w:w="10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0.3</w:t>
            </w:r>
          </w:p>
        </w:tc>
        <w:tc>
          <w:tcPr>
            <w:tcW w:w="100" w:type="dxa"/>
            <w:vAlign w:val="bottom"/>
          </w:tcPr>
          <w:p>
            <w:pPr>
              <w:spacing w:after="0"/>
              <w:rPr>
                <w:sz w:val="21"/>
                <w:szCs w:val="21"/>
                <w:color w:val="auto"/>
              </w:rPr>
            </w:pPr>
          </w:p>
        </w:tc>
        <w:tc>
          <w:tcPr>
            <w:tcW w:w="156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(0.2)</w:t>
            </w:r>
          </w:p>
        </w:tc>
        <w:tc>
          <w:tcPr>
            <w:tcW w:w="100" w:type="dxa"/>
            <w:vAlign w:val="bottom"/>
          </w:tcPr>
          <w:p>
            <w:pPr>
              <w:spacing w:after="0"/>
              <w:rPr>
                <w:sz w:val="21"/>
                <w:szCs w:val="21"/>
                <w:color w:val="auto"/>
              </w:rPr>
            </w:pPr>
          </w:p>
        </w:tc>
        <w:tc>
          <w:tcPr>
            <w:tcW w:w="156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0.3</w:t>
            </w:r>
          </w:p>
        </w:tc>
        <w:tc>
          <w:tcPr>
            <w:tcW w:w="0" w:type="dxa"/>
            <w:vAlign w:val="bottom"/>
          </w:tcPr>
          <w:p>
            <w:pPr>
              <w:spacing w:after="0"/>
              <w:rPr>
                <w:sz w:val="1"/>
                <w:szCs w:val="1"/>
                <w:color w:val="auto"/>
              </w:rPr>
            </w:pPr>
          </w:p>
        </w:tc>
      </w:tr>
      <w:tr>
        <w:trPr>
          <w:trHeight w:val="27"/>
        </w:trPr>
        <w:tc>
          <w:tcPr>
            <w:tcW w:w="4860" w:type="dxa"/>
            <w:vAlign w:val="bottom"/>
            <w:tcBorders>
              <w:bottom w:val="single" w:sz="8" w:color="CCEEFF"/>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8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(loss) from continuing operations before income taxes</w:t>
            </w:r>
          </w:p>
        </w:tc>
        <w:tc>
          <w:tcPr>
            <w:tcW w:w="1580" w:type="dxa"/>
            <w:vAlign w:val="bottom"/>
            <w:tcBorders>
              <w:bottom w:val="single" w:sz="8" w:color="CCEEFF"/>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rPr>
              <w:t>(5.2)</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25.4</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52"/>
              <w:spacing w:after="0"/>
              <w:rPr>
                <w:sz w:val="20"/>
                <w:szCs w:val="20"/>
                <w:color w:val="auto"/>
              </w:rPr>
            </w:pPr>
            <w:r>
              <w:rPr>
                <w:rFonts w:ascii="Times New Roman" w:cs="Times New Roman" w:eastAsia="Times New Roman" w:hAnsi="Times New Roman"/>
                <w:sz w:val="18"/>
                <w:szCs w:val="18"/>
                <w:color w:val="auto"/>
              </w:rPr>
              <w:t>3.1</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rPr>
              <w:t>21.8</w:t>
            </w:r>
          </w:p>
        </w:tc>
        <w:tc>
          <w:tcPr>
            <w:tcW w:w="0" w:type="dxa"/>
            <w:vAlign w:val="bottom"/>
          </w:tcPr>
          <w:p>
            <w:pPr>
              <w:spacing w:after="0"/>
              <w:rPr>
                <w:sz w:val="1"/>
                <w:szCs w:val="1"/>
                <w:color w:val="auto"/>
              </w:rPr>
            </w:pPr>
          </w:p>
        </w:tc>
      </w:tr>
      <w:tr>
        <w:trPr>
          <w:trHeight w:val="243"/>
        </w:trPr>
        <w:tc>
          <w:tcPr>
            <w:tcW w:w="48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158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1.1</w:t>
            </w:r>
          </w:p>
        </w:tc>
        <w:tc>
          <w:tcPr>
            <w:tcW w:w="100" w:type="dxa"/>
            <w:vAlign w:val="bottom"/>
          </w:tcPr>
          <w:p>
            <w:pPr>
              <w:spacing w:after="0"/>
              <w:rPr>
                <w:sz w:val="21"/>
                <w:szCs w:val="21"/>
                <w:color w:val="auto"/>
              </w:rPr>
            </w:pPr>
          </w:p>
        </w:tc>
        <w:tc>
          <w:tcPr>
            <w:tcW w:w="1560" w:type="dxa"/>
            <w:vAlign w:val="bottom"/>
          </w:tcPr>
          <w:p>
            <w:pPr>
              <w:jc w:val="right"/>
              <w:ind w:right="152"/>
              <w:spacing w:after="0"/>
              <w:rPr>
                <w:sz w:val="20"/>
                <w:szCs w:val="20"/>
                <w:color w:val="auto"/>
              </w:rPr>
            </w:pPr>
            <w:r>
              <w:rPr>
                <w:rFonts w:ascii="Times New Roman" w:cs="Times New Roman" w:eastAsia="Times New Roman" w:hAnsi="Times New Roman"/>
                <w:sz w:val="18"/>
                <w:szCs w:val="18"/>
                <w:color w:val="auto"/>
              </w:rPr>
              <w:t>1.1</w:t>
            </w:r>
          </w:p>
        </w:tc>
        <w:tc>
          <w:tcPr>
            <w:tcW w:w="100" w:type="dxa"/>
            <w:vAlign w:val="bottom"/>
          </w:tcPr>
          <w:p>
            <w:pPr>
              <w:spacing w:after="0"/>
              <w:rPr>
                <w:sz w:val="21"/>
                <w:szCs w:val="21"/>
                <w:color w:val="auto"/>
              </w:rPr>
            </w:pPr>
          </w:p>
        </w:tc>
        <w:tc>
          <w:tcPr>
            <w:tcW w:w="1560" w:type="dxa"/>
            <w:vAlign w:val="bottom"/>
          </w:tcPr>
          <w:p>
            <w:pPr>
              <w:jc w:val="right"/>
              <w:ind w:right="92"/>
              <w:spacing w:after="0"/>
              <w:rPr>
                <w:sz w:val="20"/>
                <w:szCs w:val="20"/>
                <w:color w:val="auto"/>
              </w:rPr>
            </w:pPr>
            <w:r>
              <w:rPr>
                <w:rFonts w:ascii="Times New Roman" w:cs="Times New Roman" w:eastAsia="Times New Roman" w:hAnsi="Times New Roman"/>
                <w:sz w:val="18"/>
                <w:szCs w:val="18"/>
                <w:color w:val="auto"/>
              </w:rPr>
              <w:t>(0.8)</w:t>
            </w:r>
          </w:p>
        </w:tc>
        <w:tc>
          <w:tcPr>
            <w:tcW w:w="100" w:type="dxa"/>
            <w:vAlign w:val="bottom"/>
          </w:tcPr>
          <w:p>
            <w:pPr>
              <w:spacing w:after="0"/>
              <w:rPr>
                <w:sz w:val="21"/>
                <w:szCs w:val="21"/>
                <w:color w:val="auto"/>
              </w:rPr>
            </w:pPr>
          </w:p>
        </w:tc>
        <w:tc>
          <w:tcPr>
            <w:tcW w:w="1560" w:type="dxa"/>
            <w:vAlign w:val="bottom"/>
          </w:tcPr>
          <w:p>
            <w:pPr>
              <w:jc w:val="right"/>
              <w:ind w:right="132"/>
              <w:spacing w:after="0"/>
              <w:rPr>
                <w:sz w:val="20"/>
                <w:szCs w:val="20"/>
                <w:color w:val="auto"/>
              </w:rPr>
            </w:pPr>
            <w:r>
              <w:rPr>
                <w:rFonts w:ascii="Times New Roman" w:cs="Times New Roman" w:eastAsia="Times New Roman" w:hAnsi="Times New Roman"/>
                <w:sz w:val="18"/>
                <w:szCs w:val="18"/>
                <w:color w:val="auto"/>
              </w:rPr>
              <w:t>0.4</w:t>
            </w:r>
          </w:p>
        </w:tc>
        <w:tc>
          <w:tcPr>
            <w:tcW w:w="0" w:type="dxa"/>
            <w:vAlign w:val="bottom"/>
          </w:tcPr>
          <w:p>
            <w:pPr>
              <w:spacing w:after="0"/>
              <w:rPr>
                <w:sz w:val="1"/>
                <w:szCs w:val="1"/>
                <w:color w:val="auto"/>
              </w:rPr>
            </w:pPr>
          </w:p>
        </w:tc>
      </w:tr>
      <w:tr>
        <w:trPr>
          <w:trHeight w:val="27"/>
        </w:trPr>
        <w:tc>
          <w:tcPr>
            <w:tcW w:w="4860" w:type="dxa"/>
            <w:vAlign w:val="bottom"/>
            <w:tcBorders>
              <w:bottom w:val="single" w:sz="8" w:color="CCEEFF"/>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86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(loss) from continuing operations, net of tax</w:t>
            </w:r>
          </w:p>
        </w:tc>
        <w:tc>
          <w:tcPr>
            <w:tcW w:w="15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w:t>
            </w:r>
          </w:p>
        </w:tc>
        <w:tc>
          <w:tcPr>
            <w:tcW w:w="100" w:type="dxa"/>
            <w:vAlign w:val="bottom"/>
            <w:tcBorders>
              <w:bottom w:val="single" w:sz="8" w:color="CCEEFF"/>
            </w:tcBorders>
            <w:shd w:val="clear" w:color="auto" w:fill="CCEEFF"/>
          </w:tcPr>
          <w:p>
            <w:pPr>
              <w:spacing w:after="0"/>
              <w:rPr>
                <w:sz w:val="22"/>
                <w:szCs w:val="22"/>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24.3 %</w:t>
            </w:r>
          </w:p>
        </w:tc>
        <w:tc>
          <w:tcPr>
            <w:tcW w:w="100" w:type="dxa"/>
            <w:vAlign w:val="bottom"/>
            <w:tcBorders>
              <w:bottom w:val="single" w:sz="8" w:color="CCEEFF"/>
            </w:tcBorders>
            <w:shd w:val="clear" w:color="auto" w:fill="CCEEFF"/>
          </w:tcPr>
          <w:p>
            <w:pPr>
              <w:spacing w:after="0"/>
              <w:rPr>
                <w:sz w:val="22"/>
                <w:szCs w:val="22"/>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3.9 %</w:t>
            </w:r>
          </w:p>
        </w:tc>
        <w:tc>
          <w:tcPr>
            <w:tcW w:w="100" w:type="dxa"/>
            <w:vAlign w:val="bottom"/>
            <w:tcBorders>
              <w:bottom w:val="single" w:sz="8" w:color="CCEEFF"/>
            </w:tcBorders>
            <w:shd w:val="clear" w:color="auto" w:fill="CCEEFF"/>
          </w:tcPr>
          <w:p>
            <w:pPr>
              <w:spacing w:after="0"/>
              <w:rPr>
                <w:sz w:val="22"/>
                <w:szCs w:val="22"/>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21.4 %</w:t>
            </w:r>
          </w:p>
        </w:tc>
        <w:tc>
          <w:tcPr>
            <w:tcW w:w="0" w:type="dxa"/>
            <w:vAlign w:val="bottom"/>
          </w:tcPr>
          <w:p>
            <w:pPr>
              <w:spacing w:after="0"/>
              <w:rPr>
                <w:sz w:val="1"/>
                <w:szCs w:val="1"/>
                <w:color w:val="auto"/>
              </w:rPr>
            </w:pPr>
          </w:p>
        </w:tc>
      </w:tr>
      <w:tr>
        <w:trPr>
          <w:trHeight w:val="20"/>
        </w:trPr>
        <w:tc>
          <w:tcPr>
            <w:tcW w:w="4860" w:type="dxa"/>
            <w:vAlign w:val="bottom"/>
            <w:tcBorders>
              <w:top w:val="single" w:sz="8" w:color="CCEEFF"/>
            </w:tcBorders>
          </w:tcPr>
          <w:p>
            <w:pPr>
              <w:spacing w:after="0" w:line="20" w:lineRule="exact"/>
              <w:rPr>
                <w:sz w:val="1"/>
                <w:szCs w:val="1"/>
                <w:color w:val="auto"/>
              </w:rPr>
            </w:pPr>
          </w:p>
        </w:tc>
        <w:tc>
          <w:tcPr>
            <w:tcW w:w="1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Three and nine months ended November 3, 2018 and October 28, 2017</w:t>
      </w:r>
    </w:p>
    <w:p>
      <w:pPr>
        <w:spacing w:after="0" w:line="22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Net Revenue</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344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2280" w:type="dxa"/>
            <w:vAlign w:val="bottom"/>
            <w:tcBorders>
              <w:bottom w:val="single" w:sz="8" w:color="auto"/>
            </w:tcBorders>
            <w:gridSpan w:val="3"/>
          </w:tcPr>
          <w:p>
            <w:pPr>
              <w:jc w:val="right"/>
              <w:ind w:right="55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4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360" w:type="dxa"/>
            <w:vAlign w:val="bottom"/>
            <w:tcBorders>
              <w:bottom w:val="single" w:sz="8" w:color="auto"/>
            </w:tcBorders>
            <w:gridSpan w:val="3"/>
          </w:tcPr>
          <w:p>
            <w:pPr>
              <w:jc w:val="right"/>
              <w:ind w:right="590"/>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3440" w:type="dxa"/>
            <w:vAlign w:val="bottom"/>
          </w:tcPr>
          <w:p>
            <w:pPr>
              <w:spacing w:after="0"/>
              <w:rPr>
                <w:sz w:val="11"/>
                <w:szCs w:val="11"/>
                <w:color w:val="auto"/>
              </w:rPr>
            </w:pPr>
          </w:p>
        </w:tc>
        <w:tc>
          <w:tcPr>
            <w:tcW w:w="1280" w:type="dxa"/>
            <w:vAlign w:val="bottom"/>
            <w:gridSpan w:val="2"/>
            <w:vMerge w:val="restart"/>
          </w:tcPr>
          <w:p>
            <w:pPr>
              <w:jc w:val="right"/>
              <w:ind w:right="1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340" w:type="dxa"/>
            <w:vAlign w:val="bottom"/>
            <w:gridSpan w:val="2"/>
            <w:vMerge w:val="restart"/>
          </w:tcPr>
          <w:p>
            <w:pPr>
              <w:jc w:val="right"/>
              <w:ind w:right="10"/>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420" w:type="dxa"/>
            <w:vAlign w:val="bottom"/>
          </w:tcPr>
          <w:p>
            <w:pPr>
              <w:jc w:val="right"/>
              <w:ind w:right="564"/>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1280" w:type="dxa"/>
            <w:vAlign w:val="bottom"/>
            <w:gridSpan w:val="2"/>
            <w:vMerge w:val="restart"/>
          </w:tcPr>
          <w:p>
            <w:pPr>
              <w:jc w:val="right"/>
              <w:ind w:right="1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340" w:type="dxa"/>
            <w:vAlign w:val="bottom"/>
            <w:gridSpan w:val="2"/>
            <w:vMerge w:val="restart"/>
          </w:tcPr>
          <w:p>
            <w:pPr>
              <w:jc w:val="right"/>
              <w:ind w:right="30"/>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320" w:type="dxa"/>
            <w:vAlign w:val="bottom"/>
          </w:tcPr>
          <w:p>
            <w:pPr>
              <w:jc w:val="right"/>
              <w:ind w:right="46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3440" w:type="dxa"/>
            <w:vAlign w:val="bottom"/>
          </w:tcPr>
          <w:p>
            <w:pPr>
              <w:spacing w:after="0"/>
              <w:rPr>
                <w:sz w:val="16"/>
                <w:szCs w:val="16"/>
                <w:color w:val="auto"/>
              </w:rPr>
            </w:pPr>
          </w:p>
        </w:tc>
        <w:tc>
          <w:tcPr>
            <w:tcW w:w="1280" w:type="dxa"/>
            <w:vAlign w:val="bottom"/>
            <w:tcBorders>
              <w:bottom w:val="single" w:sz="8" w:color="auto"/>
            </w:tcBorders>
            <w:gridSpan w:val="2"/>
            <w:vMerge w:val="continue"/>
          </w:tcPr>
          <w:p>
            <w:pPr>
              <w:spacing w:after="0"/>
              <w:rPr>
                <w:sz w:val="16"/>
                <w:szCs w:val="16"/>
                <w:color w:val="auto"/>
              </w:rPr>
            </w:pPr>
          </w:p>
        </w:tc>
        <w:tc>
          <w:tcPr>
            <w:tcW w:w="1340" w:type="dxa"/>
            <w:vAlign w:val="bottom"/>
            <w:tcBorders>
              <w:bottom w:val="single" w:sz="8" w:color="auto"/>
            </w:tcBorders>
            <w:gridSpan w:val="2"/>
            <w:vMerge w:val="continue"/>
          </w:tcPr>
          <w:p>
            <w:pPr>
              <w:spacing w:after="0"/>
              <w:rPr>
                <w:sz w:val="16"/>
                <w:szCs w:val="16"/>
                <w:color w:val="auto"/>
              </w:rPr>
            </w:pPr>
          </w:p>
        </w:tc>
        <w:tc>
          <w:tcPr>
            <w:tcW w:w="14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280" w:type="dxa"/>
            <w:vAlign w:val="bottom"/>
            <w:tcBorders>
              <w:bottom w:val="single" w:sz="8" w:color="auto"/>
            </w:tcBorders>
            <w:gridSpan w:val="2"/>
            <w:vMerge w:val="continue"/>
          </w:tcPr>
          <w:p>
            <w:pPr>
              <w:spacing w:after="0"/>
              <w:rPr>
                <w:sz w:val="16"/>
                <w:szCs w:val="16"/>
                <w:color w:val="auto"/>
              </w:rPr>
            </w:pPr>
          </w:p>
        </w:tc>
        <w:tc>
          <w:tcPr>
            <w:tcW w:w="1340" w:type="dxa"/>
            <w:vAlign w:val="bottom"/>
            <w:tcBorders>
              <w:bottom w:val="single" w:sz="8" w:color="auto"/>
            </w:tcBorders>
            <w:gridSpan w:val="2"/>
            <w:vMerge w:val="continue"/>
          </w:tcPr>
          <w:p>
            <w:pPr>
              <w:spacing w:after="0"/>
              <w:rPr>
                <w:sz w:val="16"/>
                <w:szCs w:val="16"/>
                <w:color w:val="auto"/>
              </w:rPr>
            </w:pPr>
          </w:p>
        </w:tc>
        <w:tc>
          <w:tcPr>
            <w:tcW w:w="132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4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700" w:type="dxa"/>
            <w:vAlign w:val="bottom"/>
            <w:gridSpan w:val="3"/>
          </w:tcPr>
          <w:p>
            <w:pPr>
              <w:jc w:val="right"/>
              <w:ind w:right="219"/>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3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8"/>
        </w:trPr>
        <w:tc>
          <w:tcPr>
            <w:tcW w:w="3440" w:type="dxa"/>
            <w:vAlign w:val="bottom"/>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revenue</w:t>
            </w:r>
          </w:p>
        </w:tc>
        <w:tc>
          <w:tcPr>
            <w:tcW w:w="340" w:type="dxa"/>
            <w:vAlign w:val="bottom"/>
            <w:shd w:val="clear" w:color="auto" w:fill="CCEEFF"/>
          </w:tcPr>
          <w:p>
            <w:pPr>
              <w:jc w:val="right"/>
              <w:ind w:right="139"/>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shd w:val="clear" w:color="auto" w:fill="CCEEFF"/>
          </w:tcPr>
          <w:p>
            <w:pPr>
              <w:jc w:val="right"/>
              <w:ind w:right="59"/>
              <w:spacing w:after="0"/>
              <w:rPr>
                <w:sz w:val="20"/>
                <w:szCs w:val="20"/>
                <w:color w:val="auto"/>
              </w:rPr>
            </w:pPr>
            <w:r>
              <w:rPr>
                <w:rFonts w:ascii="Times New Roman" w:cs="Times New Roman" w:eastAsia="Times New Roman" w:hAnsi="Times New Roman"/>
                <w:sz w:val="18"/>
                <w:szCs w:val="18"/>
                <w:color w:val="auto"/>
              </w:rPr>
              <w:t>851,051</w:t>
            </w:r>
          </w:p>
        </w:tc>
        <w:tc>
          <w:tcPr>
            <w:tcW w:w="420" w:type="dxa"/>
            <w:vAlign w:val="bottom"/>
            <w:shd w:val="clear" w:color="auto" w:fill="CCEEFF"/>
          </w:tcPr>
          <w:p>
            <w:pPr>
              <w:jc w:val="right"/>
              <w:ind w:right="139"/>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616,302</w:t>
            </w:r>
          </w:p>
        </w:tc>
        <w:tc>
          <w:tcPr>
            <w:tcW w:w="1420" w:type="dxa"/>
            <w:vAlign w:val="bottom"/>
            <w:shd w:val="clear" w:color="auto" w:fill="CCEEFF"/>
          </w:tcPr>
          <w:p>
            <w:pPr>
              <w:jc w:val="right"/>
              <w:ind w:right="84"/>
              <w:spacing w:after="0"/>
              <w:rPr>
                <w:sz w:val="20"/>
                <w:szCs w:val="20"/>
                <w:color w:val="auto"/>
              </w:rPr>
            </w:pPr>
            <w:r>
              <w:rPr>
                <w:rFonts w:ascii="Times New Roman" w:cs="Times New Roman" w:eastAsia="Times New Roman" w:hAnsi="Times New Roman"/>
                <w:sz w:val="18"/>
                <w:szCs w:val="18"/>
                <w:color w:val="auto"/>
              </w:rPr>
              <w:t>38.1%</w:t>
            </w:r>
          </w:p>
        </w:tc>
        <w:tc>
          <w:tcPr>
            <w:tcW w:w="260" w:type="dxa"/>
            <w:vAlign w:val="bottom"/>
            <w:shd w:val="clear" w:color="auto" w:fill="CCEEFF"/>
          </w:tcPr>
          <w:p>
            <w:pPr>
              <w:jc w:val="right"/>
              <w:ind w:right="59"/>
              <w:spacing w:after="0"/>
              <w:rPr>
                <w:sz w:val="20"/>
                <w:szCs w:val="20"/>
                <w:color w:val="auto"/>
              </w:rPr>
            </w:pPr>
            <w:r>
              <w:rPr>
                <w:rFonts w:ascii="Times New Roman" w:cs="Times New Roman" w:eastAsia="Times New Roman" w:hAnsi="Times New Roman"/>
                <w:sz w:val="18"/>
                <w:szCs w:val="18"/>
                <w:color w:val="auto"/>
              </w:rPr>
              <w:t>$</w:t>
            </w:r>
          </w:p>
        </w:tc>
        <w:tc>
          <w:tcPr>
            <w:tcW w:w="1020" w:type="dxa"/>
            <w:vAlign w:val="bottom"/>
            <w:shd w:val="clear" w:color="auto" w:fill="CCEEFF"/>
          </w:tcPr>
          <w:p>
            <w:pPr>
              <w:jc w:val="right"/>
              <w:ind w:right="59"/>
              <w:spacing w:after="0"/>
              <w:rPr>
                <w:sz w:val="20"/>
                <w:szCs w:val="20"/>
                <w:color w:val="auto"/>
              </w:rPr>
            </w:pPr>
            <w:r>
              <w:rPr>
                <w:rFonts w:ascii="Times New Roman" w:cs="Times New Roman" w:eastAsia="Times New Roman" w:hAnsi="Times New Roman"/>
                <w:sz w:val="18"/>
                <w:szCs w:val="18"/>
                <w:color w:val="auto"/>
              </w:rPr>
              <w:t>2,120,992</w:t>
            </w:r>
          </w:p>
        </w:tc>
        <w:tc>
          <w:tcPr>
            <w:tcW w:w="360" w:type="dxa"/>
            <w:vAlign w:val="bottom"/>
            <w:shd w:val="clear" w:color="auto" w:fill="CCEEFF"/>
          </w:tcPr>
          <w:p>
            <w:pPr>
              <w:jc w:val="right"/>
              <w:ind w:right="79"/>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1,793,761</w:t>
            </w: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w:t>
            </w:r>
          </w:p>
        </w:tc>
        <w:tc>
          <w:tcPr>
            <w:tcW w:w="0" w:type="dxa"/>
            <w:vAlign w:val="bottom"/>
          </w:tcPr>
          <w:p>
            <w:pPr>
              <w:spacing w:after="0"/>
              <w:rPr>
                <w:sz w:val="1"/>
                <w:szCs w:val="1"/>
                <w:color w:val="auto"/>
              </w:rPr>
            </w:pPr>
          </w:p>
        </w:tc>
      </w:tr>
      <w:tr>
        <w:trPr>
          <w:trHeight w:val="27"/>
        </w:trPr>
        <w:tc>
          <w:tcPr>
            <w:tcW w:w="3440" w:type="dxa"/>
            <w:vAlign w:val="bottom"/>
            <w:shd w:val="clear" w:color="auto" w:fill="CCEEFF"/>
          </w:tcPr>
          <w:p>
            <w:pPr>
              <w:spacing w:after="0"/>
              <w:rPr>
                <w:sz w:val="2"/>
                <w:szCs w:val="2"/>
                <w:color w:val="auto"/>
              </w:rPr>
            </w:pPr>
          </w:p>
        </w:tc>
        <w:tc>
          <w:tcPr>
            <w:tcW w:w="340" w:type="dxa"/>
            <w:vAlign w:val="bottom"/>
            <w:shd w:val="clear" w:color="auto" w:fill="CCEEFF"/>
          </w:tcPr>
          <w:p>
            <w:pPr>
              <w:spacing w:after="0"/>
              <w:rPr>
                <w:sz w:val="2"/>
                <w:szCs w:val="2"/>
                <w:color w:val="auto"/>
              </w:rPr>
            </w:pPr>
          </w:p>
        </w:tc>
        <w:tc>
          <w:tcPr>
            <w:tcW w:w="940" w:type="dxa"/>
            <w:vAlign w:val="bottom"/>
            <w:shd w:val="clear" w:color="auto" w:fill="CCEEFF"/>
          </w:tcPr>
          <w:p>
            <w:pPr>
              <w:spacing w:after="0"/>
              <w:rPr>
                <w:sz w:val="2"/>
                <w:szCs w:val="2"/>
                <w:color w:val="auto"/>
              </w:rPr>
            </w:pPr>
          </w:p>
        </w:tc>
        <w:tc>
          <w:tcPr>
            <w:tcW w:w="420" w:type="dxa"/>
            <w:vAlign w:val="bottom"/>
            <w:shd w:val="clear" w:color="auto" w:fill="CCEEFF"/>
          </w:tcPr>
          <w:p>
            <w:pPr>
              <w:spacing w:after="0"/>
              <w:rPr>
                <w:sz w:val="2"/>
                <w:szCs w:val="2"/>
                <w:color w:val="auto"/>
              </w:rPr>
            </w:pPr>
          </w:p>
        </w:tc>
        <w:tc>
          <w:tcPr>
            <w:tcW w:w="92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020" w:type="dxa"/>
            <w:vAlign w:val="bottom"/>
            <w:shd w:val="clear" w:color="auto" w:fill="CCEEFF"/>
          </w:tcPr>
          <w:p>
            <w:pPr>
              <w:spacing w:after="0"/>
              <w:rPr>
                <w:sz w:val="2"/>
                <w:szCs w:val="2"/>
                <w:color w:val="auto"/>
              </w:rPr>
            </w:pPr>
          </w:p>
        </w:tc>
        <w:tc>
          <w:tcPr>
            <w:tcW w:w="360" w:type="dxa"/>
            <w:vAlign w:val="bottom"/>
            <w:shd w:val="clear" w:color="auto" w:fill="CCEEFF"/>
          </w:tcPr>
          <w:p>
            <w:pPr>
              <w:spacing w:after="0"/>
              <w:rPr>
                <w:sz w:val="2"/>
                <w:szCs w:val="2"/>
                <w:color w:val="auto"/>
              </w:rPr>
            </w:pPr>
          </w:p>
        </w:tc>
        <w:tc>
          <w:tcPr>
            <w:tcW w:w="980" w:type="dxa"/>
            <w:vAlign w:val="bottom"/>
            <w:shd w:val="clear" w:color="auto" w:fill="CCEEFF"/>
          </w:tcPr>
          <w:p>
            <w:pPr>
              <w:spacing w:after="0"/>
              <w:rPr>
                <w:sz w:val="2"/>
                <w:szCs w:val="2"/>
                <w:color w:val="auto"/>
              </w:rPr>
            </w:pPr>
          </w:p>
        </w:tc>
        <w:tc>
          <w:tcPr>
            <w:tcW w:w="13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ind w:right="320" w:firstLine="405"/>
        <w:spacing w:after="0" w:line="282" w:lineRule="auto"/>
        <w:rPr>
          <w:sz w:val="20"/>
          <w:szCs w:val="20"/>
          <w:color w:val="auto"/>
        </w:rPr>
      </w:pPr>
      <w:r>
        <w:rPr>
          <w:rFonts w:ascii="Times New Roman" w:cs="Times New Roman" w:eastAsia="Times New Roman" w:hAnsi="Times New Roman"/>
          <w:sz w:val="18"/>
          <w:szCs w:val="18"/>
          <w:color w:val="auto"/>
        </w:rPr>
        <w:t>At the beginning of fiscal year 2019, we adopted the new revenue recognition standard using the modified retrospective method. Refer to “Note 12 - Revenue” for further information.</w:t>
      </w:r>
    </w:p>
    <w:p>
      <w:pPr>
        <w:spacing w:after="0" w:line="162" w:lineRule="exact"/>
        <w:rPr>
          <w:sz w:val="20"/>
          <w:szCs w:val="20"/>
          <w:color w:val="auto"/>
        </w:rPr>
      </w:pPr>
    </w:p>
    <w:p>
      <w:pPr>
        <w:ind w:right="120" w:firstLine="405"/>
        <w:spacing w:after="0" w:line="261" w:lineRule="auto"/>
        <w:rPr>
          <w:sz w:val="20"/>
          <w:szCs w:val="20"/>
          <w:color w:val="auto"/>
        </w:rPr>
      </w:pPr>
      <w:r>
        <w:rPr>
          <w:rFonts w:ascii="Times New Roman" w:cs="Times New Roman" w:eastAsia="Times New Roman" w:hAnsi="Times New Roman"/>
          <w:sz w:val="18"/>
          <w:szCs w:val="18"/>
          <w:color w:val="auto"/>
        </w:rPr>
        <w:t>Our net revenue for the three months ended November 3, 2018 increased by $234.7 million compared to net revenue for the three months ended October 28, 2017. This was primarily due to increased sales of our networking products by 57% and higher sales of our storage products by 29%, with sales benefiting from our acquisition of Cavium, which occurred in the second quarter of fiscal year 2019. This increase was partially offset by decreased sales of our other products, which were down 4% compared to the three months ended October 28, 2017.</w:t>
      </w:r>
    </w:p>
    <w:p>
      <w:pPr>
        <w:spacing w:after="0" w:line="221" w:lineRule="exact"/>
        <w:rPr>
          <w:sz w:val="20"/>
          <w:szCs w:val="20"/>
          <w:color w:val="auto"/>
        </w:rPr>
      </w:pPr>
    </w:p>
    <w:p>
      <w:pPr>
        <w:ind w:right="80" w:firstLine="405"/>
        <w:spacing w:after="0" w:line="261" w:lineRule="auto"/>
        <w:rPr>
          <w:sz w:val="20"/>
          <w:szCs w:val="20"/>
          <w:color w:val="auto"/>
        </w:rPr>
      </w:pPr>
      <w:r>
        <w:rPr>
          <w:rFonts w:ascii="Times New Roman" w:cs="Times New Roman" w:eastAsia="Times New Roman" w:hAnsi="Times New Roman"/>
          <w:sz w:val="18"/>
          <w:szCs w:val="18"/>
          <w:color w:val="auto"/>
        </w:rPr>
        <w:t>Our net revenue for the nine months ended November 3, 2018 increased by $327.2 million compared to net revenue for the nine months ended October 28, 2017. This increase was primarily due to increased sales of our networking products by 29% and increased sales of our storage products by 14%, with sales benefiting from our acquisition of Cavium. This growth was offset by a decline in other products, which were down 5% compared to the nine months ended October 28, 2017.</w:t>
      </w:r>
    </w:p>
    <w:p>
      <w:pPr>
        <w:spacing w:after="0" w:line="221" w:lineRule="exact"/>
        <w:rPr>
          <w:sz w:val="20"/>
          <w:szCs w:val="20"/>
          <w:color w:val="auto"/>
        </w:rPr>
      </w:pPr>
    </w:p>
    <w:p>
      <w:pPr>
        <w:jc w:val="both"/>
        <w:ind w:right="100" w:firstLine="405"/>
        <w:spacing w:after="0" w:line="266" w:lineRule="auto"/>
        <w:rPr>
          <w:sz w:val="20"/>
          <w:szCs w:val="20"/>
          <w:color w:val="auto"/>
        </w:rPr>
      </w:pPr>
      <w:r>
        <w:rPr>
          <w:rFonts w:ascii="Times New Roman" w:cs="Times New Roman" w:eastAsia="Times New Roman" w:hAnsi="Times New Roman"/>
          <w:sz w:val="18"/>
          <w:szCs w:val="18"/>
          <w:color w:val="auto"/>
        </w:rPr>
        <w:t>In the three months ended November 3, 2018, unit shipments were 15% lower and average selling prices increased 45% compared to the three months ended October 28, 2017. In the nine months ended November 3, 2018, unit shipments were 1% higher and average selling prices increased 17% compared to the nine months ended October 28, 2017.</w:t>
      </w:r>
    </w:p>
    <w:p>
      <w:pPr>
        <w:sectPr>
          <w:pgSz w:w="11900" w:h="16838" w:orient="portrait"/>
          <w:cols w:equalWidth="0" w:num="1">
            <w:col w:w="11420"/>
          </w:cols>
          <w:pgMar w:left="240" w:top="126"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1420"/>
          </w:cols>
          <w:pgMar w:left="240" w:top="126" w:right="239" w:bottom="1440" w:gutter="0" w:footer="0" w:header="0"/>
          <w:type w:val="continuous"/>
        </w:sectPr>
      </w:pPr>
    </w:p>
    <w:bookmarkStart w:id="34" w:name="page35"/>
    <w:bookmarkEnd w:id="34"/>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5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Cost of Goods Sold and Gross Profit</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328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400" w:type="dxa"/>
            <w:vAlign w:val="bottom"/>
            <w:tcBorders>
              <w:bottom w:val="single" w:sz="8" w:color="auto"/>
            </w:tcBorders>
            <w:gridSpan w:val="4"/>
          </w:tcPr>
          <w:p>
            <w:pPr>
              <w:jc w:val="right"/>
              <w:ind w:right="614"/>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500" w:type="dxa"/>
            <w:vAlign w:val="bottom"/>
            <w:tcBorders>
              <w:bottom w:val="single" w:sz="8" w:color="auto"/>
            </w:tcBorders>
            <w:gridSpan w:val="4"/>
          </w:tcPr>
          <w:p>
            <w:pPr>
              <w:jc w:val="right"/>
              <w:ind w:right="674"/>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3280" w:type="dxa"/>
            <w:vAlign w:val="bottom"/>
          </w:tcPr>
          <w:p>
            <w:pPr>
              <w:spacing w:after="0"/>
              <w:rPr>
                <w:sz w:val="11"/>
                <w:szCs w:val="11"/>
                <w:color w:val="auto"/>
              </w:rPr>
            </w:pPr>
          </w:p>
        </w:tc>
        <w:tc>
          <w:tcPr>
            <w:tcW w:w="1420" w:type="dxa"/>
            <w:vAlign w:val="bottom"/>
            <w:gridSpan w:val="3"/>
            <w:vMerge w:val="restart"/>
          </w:tcPr>
          <w:p>
            <w:pPr>
              <w:ind w:left="100"/>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20" w:type="dxa"/>
            <w:vAlign w:val="bottom"/>
          </w:tcPr>
          <w:p>
            <w:pPr>
              <w:spacing w:after="0"/>
              <w:rPr>
                <w:sz w:val="11"/>
                <w:szCs w:val="11"/>
                <w:color w:val="auto"/>
              </w:rPr>
            </w:pPr>
          </w:p>
        </w:tc>
        <w:tc>
          <w:tcPr>
            <w:tcW w:w="1180" w:type="dxa"/>
            <w:vAlign w:val="bottom"/>
            <w:vMerge w:val="restart"/>
          </w:tcPr>
          <w:p>
            <w:pPr>
              <w:jc w:val="right"/>
              <w:ind w:right="54"/>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380" w:type="dxa"/>
            <w:vAlign w:val="bottom"/>
          </w:tcPr>
          <w:p>
            <w:pPr>
              <w:jc w:val="right"/>
              <w:ind w:right="541"/>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1440" w:type="dxa"/>
            <w:vAlign w:val="bottom"/>
            <w:gridSpan w:val="3"/>
            <w:vMerge w:val="restart"/>
          </w:tcPr>
          <w:p>
            <w:pPr>
              <w:ind w:left="120"/>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20" w:type="dxa"/>
            <w:vAlign w:val="bottom"/>
          </w:tcPr>
          <w:p>
            <w:pPr>
              <w:spacing w:after="0"/>
              <w:rPr>
                <w:sz w:val="11"/>
                <w:szCs w:val="11"/>
                <w:color w:val="auto"/>
              </w:rPr>
            </w:pPr>
          </w:p>
        </w:tc>
        <w:tc>
          <w:tcPr>
            <w:tcW w:w="1200" w:type="dxa"/>
            <w:vAlign w:val="bottom"/>
            <w:vMerge w:val="restart"/>
          </w:tcPr>
          <w:p>
            <w:pPr>
              <w:jc w:val="right"/>
              <w:ind w:right="54"/>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280" w:type="dxa"/>
            <w:vAlign w:val="bottom"/>
          </w:tcPr>
          <w:p>
            <w:pPr>
              <w:jc w:val="right"/>
              <w:ind w:right="439"/>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3280" w:type="dxa"/>
            <w:vAlign w:val="bottom"/>
          </w:tcPr>
          <w:p>
            <w:pPr>
              <w:spacing w:after="0"/>
              <w:rPr>
                <w:sz w:val="16"/>
                <w:szCs w:val="16"/>
                <w:color w:val="auto"/>
              </w:rPr>
            </w:pPr>
          </w:p>
        </w:tc>
        <w:tc>
          <w:tcPr>
            <w:tcW w:w="1420" w:type="dxa"/>
            <w:vAlign w:val="bottom"/>
            <w:tcBorders>
              <w:bottom w:val="single" w:sz="8" w:color="auto"/>
            </w:tcBorders>
            <w:gridSpan w:val="3"/>
            <w:vMerge w:val="continue"/>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380" w:type="dxa"/>
            <w:vAlign w:val="bottom"/>
            <w:tcBorders>
              <w:bottom w:val="single" w:sz="8" w:color="auto"/>
            </w:tcBorders>
          </w:tcPr>
          <w:p>
            <w:pPr>
              <w:jc w:val="right"/>
              <w:ind w:right="381"/>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440" w:type="dxa"/>
            <w:vAlign w:val="bottom"/>
            <w:tcBorders>
              <w:bottom w:val="single" w:sz="8" w:color="auto"/>
            </w:tcBorders>
            <w:gridSpan w:val="3"/>
            <w:vMerge w:val="continue"/>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right"/>
              <w:ind w:right="279"/>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2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820" w:type="dxa"/>
            <w:vAlign w:val="bottom"/>
            <w:gridSpan w:val="4"/>
          </w:tcPr>
          <w:p>
            <w:pPr>
              <w:ind w:left="340"/>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1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2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Cost of goods sold</w:t>
            </w:r>
          </w:p>
        </w:tc>
        <w:tc>
          <w:tcPr>
            <w:tcW w:w="32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467,464</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238,533</w:t>
            </w:r>
          </w:p>
        </w:tc>
        <w:tc>
          <w:tcPr>
            <w:tcW w:w="1380" w:type="dxa"/>
            <w:vAlign w:val="bottom"/>
            <w:tcBorders>
              <w:bottom w:val="single" w:sz="8" w:color="CCEEFF"/>
            </w:tcBorders>
            <w:shd w:val="clear" w:color="auto" w:fill="CCEEFF"/>
          </w:tcPr>
          <w:p>
            <w:pPr>
              <w:jc w:val="right"/>
              <w:ind w:right="61"/>
              <w:spacing w:after="0"/>
              <w:rPr>
                <w:sz w:val="20"/>
                <w:szCs w:val="20"/>
                <w:color w:val="auto"/>
              </w:rPr>
            </w:pPr>
            <w:r>
              <w:rPr>
                <w:rFonts w:ascii="Times New Roman" w:cs="Times New Roman" w:eastAsia="Times New Roman" w:hAnsi="Times New Roman"/>
                <w:sz w:val="18"/>
                <w:szCs w:val="18"/>
                <w:color w:val="auto"/>
              </w:rPr>
              <w:t>96.0%</w:t>
            </w:r>
          </w:p>
        </w:tc>
        <w:tc>
          <w:tcPr>
            <w:tcW w:w="260" w:type="dxa"/>
            <w:vAlign w:val="bottom"/>
            <w:tcBorders>
              <w:bottom w:val="single" w:sz="8" w:color="CCEEFF"/>
            </w:tcBorders>
            <w:shd w:val="clear" w:color="auto" w:fill="CCEEFF"/>
          </w:tcPr>
          <w:p>
            <w:pPr>
              <w:jc w:val="right"/>
              <w:ind w:right="56"/>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984,602</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705,303</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39.6%</w:t>
            </w:r>
          </w:p>
        </w:tc>
        <w:tc>
          <w:tcPr>
            <w:tcW w:w="0" w:type="dxa"/>
            <w:vAlign w:val="bottom"/>
          </w:tcPr>
          <w:p>
            <w:pPr>
              <w:spacing w:after="0"/>
              <w:rPr>
                <w:sz w:val="1"/>
                <w:szCs w:val="1"/>
                <w:color w:val="auto"/>
              </w:rPr>
            </w:pPr>
          </w:p>
        </w:tc>
      </w:tr>
      <w:tr>
        <w:trPr>
          <w:trHeight w:val="243"/>
        </w:trPr>
        <w:tc>
          <w:tcPr>
            <w:tcW w:w="32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32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54.9%</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38.7%</w:t>
            </w:r>
          </w:p>
        </w:tc>
        <w:tc>
          <w:tcPr>
            <w:tcW w:w="13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46.4%</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39.3%</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28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38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8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32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profit</w:t>
            </w:r>
          </w:p>
        </w:tc>
        <w:tc>
          <w:tcPr>
            <w:tcW w:w="32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383,587</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377,769</w:t>
            </w:r>
          </w:p>
        </w:tc>
        <w:tc>
          <w:tcPr>
            <w:tcW w:w="1380" w:type="dxa"/>
            <w:vAlign w:val="bottom"/>
            <w:tcBorders>
              <w:bottom w:val="single" w:sz="8" w:color="CCEEFF"/>
            </w:tcBorders>
            <w:shd w:val="clear" w:color="auto" w:fill="CCEEFF"/>
          </w:tcPr>
          <w:p>
            <w:pPr>
              <w:jc w:val="right"/>
              <w:ind w:right="61"/>
              <w:spacing w:after="0"/>
              <w:rPr>
                <w:sz w:val="20"/>
                <w:szCs w:val="20"/>
                <w:color w:val="auto"/>
              </w:rPr>
            </w:pPr>
            <w:r>
              <w:rPr>
                <w:rFonts w:ascii="Times New Roman" w:cs="Times New Roman" w:eastAsia="Times New Roman" w:hAnsi="Times New Roman"/>
                <w:sz w:val="18"/>
                <w:szCs w:val="18"/>
                <w:color w:val="auto"/>
              </w:rPr>
              <w:t>1.5%</w:t>
            </w:r>
          </w:p>
        </w:tc>
        <w:tc>
          <w:tcPr>
            <w:tcW w:w="260" w:type="dxa"/>
            <w:vAlign w:val="bottom"/>
            <w:tcBorders>
              <w:bottom w:val="single" w:sz="8" w:color="CCEEFF"/>
            </w:tcBorders>
            <w:shd w:val="clear" w:color="auto" w:fill="CCEEFF"/>
          </w:tcPr>
          <w:p>
            <w:pPr>
              <w:jc w:val="right"/>
              <w:ind w:right="56"/>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1,136,390</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1,088,458</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w:t>
            </w:r>
          </w:p>
        </w:tc>
        <w:tc>
          <w:tcPr>
            <w:tcW w:w="0" w:type="dxa"/>
            <w:vAlign w:val="bottom"/>
          </w:tcPr>
          <w:p>
            <w:pPr>
              <w:spacing w:after="0"/>
              <w:rPr>
                <w:sz w:val="1"/>
                <w:szCs w:val="1"/>
                <w:color w:val="auto"/>
              </w:rPr>
            </w:pPr>
          </w:p>
        </w:tc>
      </w:tr>
      <w:tr>
        <w:trPr>
          <w:trHeight w:val="237"/>
        </w:trPr>
        <w:tc>
          <w:tcPr>
            <w:tcW w:w="32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32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45.1%</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61.3%</w:t>
            </w:r>
          </w:p>
        </w:tc>
        <w:tc>
          <w:tcPr>
            <w:tcW w:w="138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53.6%</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60.7%</w:t>
            </w:r>
          </w:p>
        </w:tc>
        <w:tc>
          <w:tcPr>
            <w:tcW w:w="1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25" w:lineRule="exact"/>
        <w:rPr>
          <w:sz w:val="20"/>
          <w:szCs w:val="20"/>
          <w:color w:val="auto"/>
        </w:rPr>
      </w:pPr>
    </w:p>
    <w:p>
      <w:pPr>
        <w:ind w:right="40" w:firstLine="432"/>
        <w:spacing w:after="0" w:line="261" w:lineRule="auto"/>
        <w:rPr>
          <w:sz w:val="20"/>
          <w:szCs w:val="20"/>
          <w:color w:val="auto"/>
        </w:rPr>
      </w:pPr>
      <w:r>
        <w:rPr>
          <w:rFonts w:ascii="Times New Roman" w:cs="Times New Roman" w:eastAsia="Times New Roman" w:hAnsi="Times New Roman"/>
          <w:sz w:val="18"/>
          <w:szCs w:val="18"/>
          <w:color w:val="auto"/>
        </w:rPr>
        <w:t>Cost of goods sold as a percentage of net revenue was higher for the three and nine months ended November 3, 2018 due primarily to our acquisition of Cavium, which resulted in increased inventory acquisition costs and amortization of acquired intangible assets, partially offset by lower manufacturing costs and improved product mix. As a result, gross margin for the three and nine months ended November 3, 2018 decreased 16.2 percentage points and 7.1 percentage points, respectively, compared to the three and nine months ended October 28, 2017.</w:t>
      </w:r>
    </w:p>
    <w:p>
      <w:pPr>
        <w:spacing w:after="0" w:line="17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Research and Development</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330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420" w:type="dxa"/>
            <w:vAlign w:val="bottom"/>
            <w:tcBorders>
              <w:bottom w:val="single" w:sz="8" w:color="auto"/>
            </w:tcBorders>
            <w:gridSpan w:val="3"/>
          </w:tcPr>
          <w:p>
            <w:pPr>
              <w:jc w:val="right"/>
              <w:ind w:right="616"/>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36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2400" w:type="dxa"/>
            <w:vAlign w:val="bottom"/>
            <w:tcBorders>
              <w:bottom w:val="single" w:sz="8" w:color="auto"/>
            </w:tcBorders>
            <w:gridSpan w:val="3"/>
          </w:tcPr>
          <w:p>
            <w:pPr>
              <w:jc w:val="right"/>
              <w:ind w:right="656"/>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3300" w:type="dxa"/>
            <w:vAlign w:val="bottom"/>
          </w:tcPr>
          <w:p>
            <w:pPr>
              <w:spacing w:after="0"/>
              <w:rPr>
                <w:sz w:val="11"/>
                <w:szCs w:val="11"/>
                <w:color w:val="auto"/>
              </w:rPr>
            </w:pPr>
          </w:p>
        </w:tc>
        <w:tc>
          <w:tcPr>
            <w:tcW w:w="1360" w:type="dxa"/>
            <w:vAlign w:val="bottom"/>
            <w:gridSpan w:val="2"/>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80" w:type="dxa"/>
            <w:vAlign w:val="bottom"/>
          </w:tcPr>
          <w:p>
            <w:pPr>
              <w:spacing w:after="0"/>
              <w:rPr>
                <w:sz w:val="11"/>
                <w:szCs w:val="11"/>
                <w:color w:val="auto"/>
              </w:rPr>
            </w:pPr>
          </w:p>
        </w:tc>
        <w:tc>
          <w:tcPr>
            <w:tcW w:w="1200" w:type="dxa"/>
            <w:vAlign w:val="bottom"/>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360" w:type="dxa"/>
            <w:vAlign w:val="bottom"/>
          </w:tcPr>
          <w:p>
            <w:pPr>
              <w:jc w:val="right"/>
              <w:ind w:right="524"/>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1360" w:type="dxa"/>
            <w:vAlign w:val="bottom"/>
            <w:gridSpan w:val="2"/>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00" w:type="dxa"/>
            <w:vAlign w:val="bottom"/>
          </w:tcPr>
          <w:p>
            <w:pPr>
              <w:spacing w:after="0"/>
              <w:rPr>
                <w:sz w:val="11"/>
                <w:szCs w:val="11"/>
                <w:color w:val="auto"/>
              </w:rPr>
            </w:pPr>
          </w:p>
        </w:tc>
        <w:tc>
          <w:tcPr>
            <w:tcW w:w="1180" w:type="dxa"/>
            <w:vAlign w:val="bottom"/>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280" w:type="dxa"/>
            <w:vAlign w:val="bottom"/>
          </w:tcPr>
          <w:p>
            <w:pPr>
              <w:jc w:val="right"/>
              <w:ind w:right="44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3300" w:type="dxa"/>
            <w:vAlign w:val="bottom"/>
          </w:tcPr>
          <w:p>
            <w:pPr>
              <w:spacing w:after="0"/>
              <w:rPr>
                <w:sz w:val="16"/>
                <w:szCs w:val="16"/>
                <w:color w:val="auto"/>
              </w:rPr>
            </w:pPr>
          </w:p>
        </w:tc>
        <w:tc>
          <w:tcPr>
            <w:tcW w:w="1360" w:type="dxa"/>
            <w:vAlign w:val="bottom"/>
            <w:tcBorders>
              <w:bottom w:val="single" w:sz="8" w:color="auto"/>
            </w:tcBorders>
            <w:gridSpan w:val="2"/>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360" w:type="dxa"/>
            <w:vAlign w:val="bottom"/>
            <w:tcBorders>
              <w:bottom w:val="single" w:sz="8" w:color="auto"/>
            </w:tcBorders>
            <w:gridSpan w:val="2"/>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3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720" w:type="dxa"/>
            <w:vAlign w:val="bottom"/>
            <w:gridSpan w:val="3"/>
          </w:tcPr>
          <w:p>
            <w:pPr>
              <w:jc w:val="right"/>
              <w:ind w:right="276"/>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2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3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Research and development</w:t>
            </w:r>
          </w:p>
        </w:tc>
        <w:tc>
          <w:tcPr>
            <w:tcW w:w="320" w:type="dxa"/>
            <w:vAlign w:val="bottom"/>
            <w:tcBorders>
              <w:bottom w:val="single" w:sz="8" w:color="CCEEFF"/>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ind w:right="156"/>
              <w:spacing w:after="0"/>
              <w:rPr>
                <w:sz w:val="20"/>
                <w:szCs w:val="20"/>
                <w:color w:val="auto"/>
              </w:rPr>
            </w:pPr>
            <w:r>
              <w:rPr>
                <w:rFonts w:ascii="Times New Roman" w:cs="Times New Roman" w:eastAsia="Times New Roman" w:hAnsi="Times New Roman"/>
                <w:sz w:val="18"/>
                <w:szCs w:val="18"/>
                <w:color w:val="auto"/>
              </w:rPr>
              <w:t>264,888</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165,477</w:t>
            </w:r>
          </w:p>
        </w:tc>
        <w:tc>
          <w:tcPr>
            <w:tcW w:w="1360" w:type="dxa"/>
            <w:vAlign w:val="bottom"/>
            <w:tcBorders>
              <w:bottom w:val="single" w:sz="8" w:color="CCEEFF"/>
            </w:tcBorders>
            <w:shd w:val="clear" w:color="auto" w:fill="CCEEFF"/>
          </w:tcPr>
          <w:p>
            <w:pPr>
              <w:jc w:val="right"/>
              <w:ind w:right="64"/>
              <w:spacing w:after="0"/>
              <w:rPr>
                <w:sz w:val="20"/>
                <w:szCs w:val="20"/>
                <w:color w:val="auto"/>
              </w:rPr>
            </w:pPr>
            <w:r>
              <w:rPr>
                <w:rFonts w:ascii="Times New Roman" w:cs="Times New Roman" w:eastAsia="Times New Roman" w:hAnsi="Times New Roman"/>
                <w:sz w:val="18"/>
                <w:szCs w:val="18"/>
                <w:color w:val="auto"/>
              </w:rPr>
              <w:t>60.1%</w:t>
            </w:r>
          </w:p>
        </w:tc>
        <w:tc>
          <w:tcPr>
            <w:tcW w:w="340" w:type="dxa"/>
            <w:vAlign w:val="bottom"/>
            <w:tcBorders>
              <w:bottom w:val="single" w:sz="8" w:color="CCEEFF"/>
            </w:tcBorders>
            <w:shd w:val="clear" w:color="auto" w:fill="CCEEFF"/>
          </w:tcPr>
          <w:p>
            <w:pPr>
              <w:jc w:val="right"/>
              <w:ind w:right="139"/>
              <w:spacing w:after="0"/>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CCEEFF"/>
            </w:tcBorders>
            <w:shd w:val="clear" w:color="auto" w:fill="CCEEFF"/>
          </w:tcPr>
          <w:p>
            <w:pPr>
              <w:jc w:val="right"/>
              <w:ind w:right="136"/>
              <w:spacing w:after="0"/>
              <w:rPr>
                <w:sz w:val="20"/>
                <w:szCs w:val="20"/>
                <w:color w:val="auto"/>
              </w:rPr>
            </w:pPr>
            <w:r>
              <w:rPr>
                <w:rFonts w:ascii="Times New Roman" w:cs="Times New Roman" w:eastAsia="Times New Roman" w:hAnsi="Times New Roman"/>
                <w:sz w:val="18"/>
                <w:szCs w:val="18"/>
                <w:color w:val="auto"/>
              </w:rPr>
              <w:t>657,907</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534,444</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23.1%</w:t>
            </w:r>
          </w:p>
        </w:tc>
        <w:tc>
          <w:tcPr>
            <w:tcW w:w="0" w:type="dxa"/>
            <w:vAlign w:val="bottom"/>
          </w:tcPr>
          <w:p>
            <w:pPr>
              <w:spacing w:after="0"/>
              <w:rPr>
                <w:sz w:val="1"/>
                <w:szCs w:val="1"/>
                <w:color w:val="auto"/>
              </w:rPr>
            </w:pPr>
          </w:p>
        </w:tc>
      </w:tr>
      <w:tr>
        <w:trPr>
          <w:trHeight w:val="243"/>
        </w:trPr>
        <w:tc>
          <w:tcPr>
            <w:tcW w:w="33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3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31.1%</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26.8%</w:t>
            </w:r>
          </w:p>
        </w:tc>
        <w:tc>
          <w:tcPr>
            <w:tcW w:w="13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31.0%</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29.8%</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1" w:lineRule="exact"/>
        <w:rPr>
          <w:sz w:val="20"/>
          <w:szCs w:val="20"/>
          <w:color w:val="auto"/>
        </w:rPr>
      </w:pPr>
    </w:p>
    <w:p>
      <w:pPr>
        <w:ind w:right="280" w:firstLine="432"/>
        <w:spacing w:after="0" w:line="261" w:lineRule="auto"/>
        <w:rPr>
          <w:sz w:val="20"/>
          <w:szCs w:val="20"/>
          <w:color w:val="auto"/>
        </w:rPr>
      </w:pPr>
      <w:r>
        <w:rPr>
          <w:rFonts w:ascii="Times New Roman" w:cs="Times New Roman" w:eastAsia="Times New Roman" w:hAnsi="Times New Roman"/>
          <w:sz w:val="18"/>
          <w:szCs w:val="18"/>
          <w:color w:val="auto"/>
        </w:rPr>
        <w:t>Research and development expenses increased by $99.4 million in the three months ended November 3, 2018 compared to the three months ended October 28, 2017. The increase was primarily due to additional costs from our acquisition of Cavium. The increase primarily consisted of $74.5 million of higher employee personnel-related costs, $6.7 million of higher computer-aided design software costs, $5.1 million of higher other personnel-related costs and $4.9 million of higher depreciation and amortization expense.</w:t>
      </w:r>
    </w:p>
    <w:p>
      <w:pPr>
        <w:spacing w:after="0" w:line="126" w:lineRule="exact"/>
        <w:rPr>
          <w:sz w:val="20"/>
          <w:szCs w:val="20"/>
          <w:color w:val="auto"/>
        </w:rPr>
      </w:pPr>
    </w:p>
    <w:p>
      <w:pPr>
        <w:ind w:right="200" w:firstLine="432"/>
        <w:spacing w:after="0" w:line="261" w:lineRule="auto"/>
        <w:rPr>
          <w:sz w:val="20"/>
          <w:szCs w:val="20"/>
          <w:color w:val="auto"/>
        </w:rPr>
      </w:pPr>
      <w:r>
        <w:rPr>
          <w:rFonts w:ascii="Times New Roman" w:cs="Times New Roman" w:eastAsia="Times New Roman" w:hAnsi="Times New Roman"/>
          <w:sz w:val="18"/>
          <w:szCs w:val="18"/>
          <w:color w:val="auto"/>
        </w:rPr>
        <w:t>Research and development expenses increased by $123.5 million in the nine months ended November 3, 2018, compared to the nine months ended October 28, 2017. The increase was due primarily to additional costs from our acquisition of Cavium. The increase primarily consisted of $103.5 million of higher employee personnel-related costs, $5.9 million of higher other personnel-related costs and $5.0 million of higher depreciation and amortization expense.</w:t>
      </w:r>
    </w:p>
    <w:p>
      <w:pPr>
        <w:spacing w:after="0" w:line="20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Selling, general and administrative</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332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400" w:type="dxa"/>
            <w:vAlign w:val="bottom"/>
            <w:tcBorders>
              <w:bottom w:val="single" w:sz="8" w:color="auto"/>
            </w:tcBorders>
            <w:gridSpan w:val="3"/>
          </w:tcPr>
          <w:p>
            <w:pPr>
              <w:jc w:val="right"/>
              <w:ind w:right="616"/>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36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2400" w:type="dxa"/>
            <w:vAlign w:val="bottom"/>
            <w:tcBorders>
              <w:bottom w:val="single" w:sz="8" w:color="auto"/>
            </w:tcBorders>
            <w:gridSpan w:val="3"/>
          </w:tcPr>
          <w:p>
            <w:pPr>
              <w:jc w:val="right"/>
              <w:ind w:right="656"/>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3320" w:type="dxa"/>
            <w:vAlign w:val="bottom"/>
          </w:tcPr>
          <w:p>
            <w:pPr>
              <w:spacing w:after="0"/>
              <w:rPr>
                <w:sz w:val="11"/>
                <w:szCs w:val="11"/>
                <w:color w:val="auto"/>
              </w:rPr>
            </w:pPr>
          </w:p>
        </w:tc>
        <w:tc>
          <w:tcPr>
            <w:tcW w:w="1360" w:type="dxa"/>
            <w:vAlign w:val="bottom"/>
            <w:gridSpan w:val="2"/>
            <w:vMerge w:val="restart"/>
          </w:tcPr>
          <w:p>
            <w:pPr>
              <w:jc w:val="right"/>
              <w:ind w:right="76"/>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80" w:type="dxa"/>
            <w:vAlign w:val="bottom"/>
          </w:tcPr>
          <w:p>
            <w:pPr>
              <w:spacing w:after="0"/>
              <w:rPr>
                <w:sz w:val="11"/>
                <w:szCs w:val="11"/>
                <w:color w:val="auto"/>
              </w:rPr>
            </w:pPr>
          </w:p>
        </w:tc>
        <w:tc>
          <w:tcPr>
            <w:tcW w:w="1180" w:type="dxa"/>
            <w:vAlign w:val="bottom"/>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360" w:type="dxa"/>
            <w:vAlign w:val="bottom"/>
          </w:tcPr>
          <w:p>
            <w:pPr>
              <w:jc w:val="right"/>
              <w:ind w:right="524"/>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1360" w:type="dxa"/>
            <w:vAlign w:val="bottom"/>
            <w:gridSpan w:val="2"/>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00" w:type="dxa"/>
            <w:vAlign w:val="bottom"/>
          </w:tcPr>
          <w:p>
            <w:pPr>
              <w:spacing w:after="0"/>
              <w:rPr>
                <w:sz w:val="11"/>
                <w:szCs w:val="11"/>
                <w:color w:val="auto"/>
              </w:rPr>
            </w:pPr>
          </w:p>
        </w:tc>
        <w:tc>
          <w:tcPr>
            <w:tcW w:w="1180" w:type="dxa"/>
            <w:vAlign w:val="bottom"/>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280" w:type="dxa"/>
            <w:vAlign w:val="bottom"/>
          </w:tcPr>
          <w:p>
            <w:pPr>
              <w:jc w:val="right"/>
              <w:ind w:right="44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3320" w:type="dxa"/>
            <w:vAlign w:val="bottom"/>
          </w:tcPr>
          <w:p>
            <w:pPr>
              <w:spacing w:after="0"/>
              <w:rPr>
                <w:sz w:val="16"/>
                <w:szCs w:val="16"/>
                <w:color w:val="auto"/>
              </w:rPr>
            </w:pPr>
          </w:p>
        </w:tc>
        <w:tc>
          <w:tcPr>
            <w:tcW w:w="1360" w:type="dxa"/>
            <w:vAlign w:val="bottom"/>
            <w:tcBorders>
              <w:bottom w:val="single" w:sz="8" w:color="auto"/>
            </w:tcBorders>
            <w:gridSpan w:val="2"/>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360" w:type="dxa"/>
            <w:vAlign w:val="bottom"/>
            <w:tcBorders>
              <w:bottom w:val="single" w:sz="8" w:color="auto"/>
            </w:tcBorders>
            <w:gridSpan w:val="2"/>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3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720" w:type="dxa"/>
            <w:vAlign w:val="bottom"/>
            <w:gridSpan w:val="3"/>
          </w:tcPr>
          <w:p>
            <w:pPr>
              <w:jc w:val="right"/>
              <w:ind w:right="276"/>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2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320" w:type="dxa"/>
            <w:vAlign w:val="bottom"/>
            <w:tcBorders>
              <w:bottom w:val="single" w:sz="8" w:color="CCEEFF"/>
            </w:tcBorders>
            <w:shd w:val="clear" w:color="auto" w:fill="CCEEFF"/>
          </w:tcPr>
          <w:p>
            <w:pPr>
              <w:jc w:val="right"/>
              <w:ind w:right="119"/>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ind w:right="156"/>
              <w:spacing w:after="0"/>
              <w:rPr>
                <w:sz w:val="20"/>
                <w:szCs w:val="20"/>
                <w:color w:val="auto"/>
              </w:rPr>
            </w:pPr>
            <w:r>
              <w:rPr>
                <w:rFonts w:ascii="Times New Roman" w:cs="Times New Roman" w:eastAsia="Times New Roman" w:hAnsi="Times New Roman"/>
                <w:sz w:val="18"/>
                <w:szCs w:val="18"/>
                <w:color w:val="auto"/>
              </w:rPr>
              <w:t>112,178</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59,112</w:t>
            </w:r>
          </w:p>
        </w:tc>
        <w:tc>
          <w:tcPr>
            <w:tcW w:w="1360" w:type="dxa"/>
            <w:vAlign w:val="bottom"/>
            <w:tcBorders>
              <w:bottom w:val="single" w:sz="8" w:color="CCEEFF"/>
            </w:tcBorders>
            <w:shd w:val="clear" w:color="auto" w:fill="CCEEFF"/>
          </w:tcPr>
          <w:p>
            <w:pPr>
              <w:jc w:val="right"/>
              <w:ind w:right="64"/>
              <w:spacing w:after="0"/>
              <w:rPr>
                <w:sz w:val="20"/>
                <w:szCs w:val="20"/>
                <w:color w:val="auto"/>
              </w:rPr>
            </w:pPr>
            <w:r>
              <w:rPr>
                <w:rFonts w:ascii="Times New Roman" w:cs="Times New Roman" w:eastAsia="Times New Roman" w:hAnsi="Times New Roman"/>
                <w:sz w:val="18"/>
                <w:szCs w:val="18"/>
                <w:color w:val="auto"/>
              </w:rPr>
              <w:t>89.8%</w:t>
            </w:r>
          </w:p>
        </w:tc>
        <w:tc>
          <w:tcPr>
            <w:tcW w:w="340" w:type="dxa"/>
            <w:vAlign w:val="bottom"/>
            <w:tcBorders>
              <w:bottom w:val="single" w:sz="8" w:color="CCEEFF"/>
            </w:tcBorders>
            <w:shd w:val="clear" w:color="auto" w:fill="CCEEFF"/>
          </w:tcPr>
          <w:p>
            <w:pPr>
              <w:jc w:val="right"/>
              <w:ind w:right="139"/>
              <w:spacing w:after="0"/>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CCEEFF"/>
            </w:tcBorders>
            <w:shd w:val="clear" w:color="auto" w:fill="CCEEFF"/>
          </w:tcPr>
          <w:p>
            <w:pPr>
              <w:jc w:val="right"/>
              <w:ind w:right="136"/>
              <w:spacing w:after="0"/>
              <w:rPr>
                <w:sz w:val="20"/>
                <w:szCs w:val="20"/>
                <w:color w:val="auto"/>
              </w:rPr>
            </w:pPr>
            <w:r>
              <w:rPr>
                <w:rFonts w:ascii="Times New Roman" w:cs="Times New Roman" w:eastAsia="Times New Roman" w:hAnsi="Times New Roman"/>
                <w:sz w:val="18"/>
                <w:szCs w:val="18"/>
                <w:color w:val="auto"/>
              </w:rPr>
              <w:t>318,192</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169,875</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87.3%</w:t>
            </w:r>
          </w:p>
        </w:tc>
        <w:tc>
          <w:tcPr>
            <w:tcW w:w="0" w:type="dxa"/>
            <w:vAlign w:val="bottom"/>
          </w:tcPr>
          <w:p>
            <w:pPr>
              <w:spacing w:after="0"/>
              <w:rPr>
                <w:sz w:val="1"/>
                <w:szCs w:val="1"/>
                <w:color w:val="auto"/>
              </w:rPr>
            </w:pPr>
          </w:p>
        </w:tc>
      </w:tr>
      <w:tr>
        <w:trPr>
          <w:trHeight w:val="243"/>
        </w:trPr>
        <w:tc>
          <w:tcPr>
            <w:tcW w:w="3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320" w:type="dxa"/>
            <w:vAlign w:val="bottom"/>
          </w:tcPr>
          <w:p>
            <w:pPr>
              <w:spacing w:after="0"/>
              <w:rPr>
                <w:sz w:val="21"/>
                <w:szCs w:val="21"/>
                <w:color w:val="auto"/>
              </w:rPr>
            </w:pPr>
          </w:p>
        </w:tc>
        <w:tc>
          <w:tcPr>
            <w:tcW w:w="104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13.2%</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9.6%</w:t>
            </w:r>
          </w:p>
        </w:tc>
        <w:tc>
          <w:tcPr>
            <w:tcW w:w="13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15.0%</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1" w:lineRule="exact"/>
        <w:rPr>
          <w:sz w:val="20"/>
          <w:szCs w:val="20"/>
          <w:color w:val="auto"/>
        </w:rPr>
      </w:pPr>
    </w:p>
    <w:p>
      <w:pPr>
        <w:ind w:right="400" w:firstLine="432"/>
        <w:spacing w:after="0" w:line="261" w:lineRule="auto"/>
        <w:rPr>
          <w:sz w:val="20"/>
          <w:szCs w:val="20"/>
          <w:color w:val="auto"/>
        </w:rPr>
      </w:pPr>
      <w:r>
        <w:rPr>
          <w:rFonts w:ascii="Times New Roman" w:cs="Times New Roman" w:eastAsia="Times New Roman" w:hAnsi="Times New Roman"/>
          <w:sz w:val="18"/>
          <w:szCs w:val="18"/>
          <w:color w:val="auto"/>
        </w:rPr>
        <w:t>Selling, general and administrative expense increased by $53.1 million in the three months ended November 3, 2018 compared to the three months ended October 28, 2017. The increase was primarily due to additional costs from our acquisition of Cavium, including $20.0 million of intangibles amortization expense, $13.9 million of higher employee personnel-related costs $10.8 million of merger-related costs and $8.2 million of higher facility-related expenses.</w:t>
      </w:r>
    </w:p>
    <w:p>
      <w:pPr>
        <w:spacing w:after="0" w:line="20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1420"/>
          </w:cols>
          <w:pgMar w:left="240" w:top="126" w:right="239" w:bottom="1440" w:gutter="0" w:footer="0" w:header="0"/>
        </w:sectPr>
      </w:pPr>
    </w:p>
    <w:bookmarkStart w:id="35" w:name="page36"/>
    <w:bookmarkEnd w:id="35"/>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06" w:lineRule="exact"/>
        <w:rPr>
          <w:sz w:val="20"/>
          <w:szCs w:val="20"/>
          <w:color w:val="auto"/>
        </w:rPr>
      </w:pPr>
    </w:p>
    <w:p>
      <w:pPr>
        <w:jc w:val="both"/>
        <w:ind w:right="340" w:firstLine="432"/>
        <w:spacing w:after="0" w:line="261" w:lineRule="auto"/>
        <w:rPr>
          <w:sz w:val="20"/>
          <w:szCs w:val="20"/>
          <w:color w:val="auto"/>
        </w:rPr>
      </w:pPr>
      <w:r>
        <w:rPr>
          <w:rFonts w:ascii="Times New Roman" w:cs="Times New Roman" w:eastAsia="Times New Roman" w:hAnsi="Times New Roman"/>
          <w:sz w:val="18"/>
          <w:szCs w:val="18"/>
          <w:color w:val="auto"/>
        </w:rPr>
        <w:t>Selling, general and administrative expense increased by $148.3 million in the nine months ended November 3, 2018 compared to the nine months ended October 28, 2017. The increase was due primarily to additional costs from our acquisition of Cavium, including $55.6 million of higher employee personnel-related costs, $53.9 million of merger-related costs,$24.8 million of intangibles amortization expense and $9.3 million of higher facility-related expenses.</w:t>
      </w:r>
    </w:p>
    <w:p>
      <w:pPr>
        <w:spacing w:after="0" w:line="20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Restructuring Related Charges</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334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3"/>
          </w:tcPr>
          <w:p>
            <w:pPr>
              <w:jc w:val="right"/>
              <w:ind w:right="616"/>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380" w:type="dxa"/>
            <w:vAlign w:val="bottom"/>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3"/>
          </w:tcPr>
          <w:p>
            <w:pPr>
              <w:jc w:val="right"/>
              <w:ind w:right="656"/>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280" w:type="dxa"/>
            <w:vAlign w:val="bottom"/>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1340" w:type="dxa"/>
            <w:vAlign w:val="bottom"/>
            <w:tcBorders>
              <w:bottom w:val="single" w:sz="8" w:color="auto"/>
            </w:tcBorders>
            <w:gridSpan w:val="2"/>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80" w:type="dxa"/>
            <w:vAlign w:val="bottom"/>
            <w:tcBorders>
              <w:bottom w:val="single" w:sz="8" w:color="auto"/>
            </w:tcBorders>
          </w:tcPr>
          <w:p>
            <w:pPr>
              <w:spacing w:after="0"/>
              <w:rPr>
                <w:sz w:val="22"/>
                <w:szCs w:val="22"/>
                <w:color w:val="auto"/>
              </w:rPr>
            </w:pPr>
          </w:p>
        </w:tc>
        <w:tc>
          <w:tcPr>
            <w:tcW w:w="1180" w:type="dxa"/>
            <w:vAlign w:val="bottom"/>
            <w:tcBorders>
              <w:bottom w:val="single" w:sz="8" w:color="auto"/>
            </w:tcBorders>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380" w:type="dxa"/>
            <w:vAlign w:val="bottom"/>
            <w:tcBorders>
              <w:bottom w:val="single" w:sz="8" w:color="auto"/>
            </w:tcBorders>
          </w:tcPr>
          <w:p>
            <w:pPr>
              <w:jc w:val="right"/>
              <w:ind w:right="282"/>
              <w:spacing w:after="0"/>
              <w:rPr>
                <w:sz w:val="20"/>
                <w:szCs w:val="20"/>
                <w:color w:val="auto"/>
              </w:rPr>
            </w:pPr>
            <w:r>
              <w:rPr>
                <w:rFonts w:ascii="Times New Roman" w:cs="Times New Roman" w:eastAsia="Times New Roman" w:hAnsi="Times New Roman"/>
                <w:sz w:val="14"/>
                <w:szCs w:val="14"/>
                <w:b w:val="1"/>
                <w:bCs w:val="1"/>
                <w:color w:val="auto"/>
              </w:rPr>
              <w:t>% Change</w:t>
            </w:r>
          </w:p>
        </w:tc>
        <w:tc>
          <w:tcPr>
            <w:tcW w:w="1360" w:type="dxa"/>
            <w:vAlign w:val="bottom"/>
            <w:tcBorders>
              <w:bottom w:val="single" w:sz="8" w:color="auto"/>
            </w:tcBorders>
            <w:gridSpan w:val="2"/>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80" w:type="dxa"/>
            <w:vAlign w:val="bottom"/>
            <w:tcBorders>
              <w:bottom w:val="single" w:sz="8" w:color="auto"/>
            </w:tcBorders>
          </w:tcPr>
          <w:p>
            <w:pPr>
              <w:spacing w:after="0"/>
              <w:rPr>
                <w:sz w:val="22"/>
                <w:szCs w:val="22"/>
                <w:color w:val="auto"/>
              </w:rPr>
            </w:pPr>
          </w:p>
        </w:tc>
        <w:tc>
          <w:tcPr>
            <w:tcW w:w="1180" w:type="dxa"/>
            <w:vAlign w:val="bottom"/>
            <w:tcBorders>
              <w:bottom w:val="single" w:sz="8" w:color="auto"/>
            </w:tcBorders>
          </w:tcPr>
          <w:p>
            <w:pPr>
              <w:jc w:val="right"/>
              <w:ind w:right="3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280" w:type="dxa"/>
            <w:vAlign w:val="bottom"/>
            <w:tcBorders>
              <w:bottom w:val="single" w:sz="8" w:color="auto"/>
            </w:tcBorders>
          </w:tcPr>
          <w:p>
            <w:pPr>
              <w:jc w:val="right"/>
              <w:ind w:right="179"/>
              <w:spacing w:after="0"/>
              <w:rPr>
                <w:sz w:val="20"/>
                <w:szCs w:val="20"/>
                <w:color w:val="auto"/>
              </w:rPr>
            </w:pPr>
            <w:r>
              <w:rPr>
                <w:rFonts w:ascii="Times New Roman" w:cs="Times New Roman" w:eastAsia="Times New Roman" w:hAnsi="Times New Roman"/>
                <w:sz w:val="14"/>
                <w:szCs w:val="14"/>
                <w:b w:val="1"/>
                <w:bCs w:val="1"/>
                <w:color w:val="auto"/>
              </w:rPr>
              <w:t>% Change</w:t>
            </w:r>
          </w:p>
        </w:tc>
      </w:tr>
      <w:tr>
        <w:trPr>
          <w:trHeight w:val="196"/>
        </w:trPr>
        <w:tc>
          <w:tcPr>
            <w:tcW w:w="334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740" w:type="dxa"/>
            <w:vAlign w:val="bottom"/>
            <w:gridSpan w:val="3"/>
          </w:tcPr>
          <w:p>
            <w:pPr>
              <w:jc w:val="right"/>
              <w:ind w:right="276"/>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255"/>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360" w:type="dxa"/>
            <w:vAlign w:val="bottom"/>
            <w:tcBorders>
              <w:bottom w:val="single" w:sz="8" w:color="CCEEFF"/>
            </w:tcBorders>
            <w:shd w:val="clear" w:color="auto" w:fill="CCEEFF"/>
          </w:tcPr>
          <w:p>
            <w:pPr>
              <w:jc w:val="right"/>
              <w:ind w:right="179"/>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CCEEFF"/>
            </w:tcBorders>
            <w:shd w:val="clear" w:color="auto" w:fill="CCEEFF"/>
          </w:tcPr>
          <w:p>
            <w:pPr>
              <w:jc w:val="right"/>
              <w:ind w:right="156"/>
              <w:spacing w:after="0"/>
              <w:rPr>
                <w:sz w:val="20"/>
                <w:szCs w:val="20"/>
                <w:color w:val="auto"/>
              </w:rPr>
            </w:pPr>
            <w:r>
              <w:rPr>
                <w:rFonts w:ascii="Times New Roman" w:cs="Times New Roman" w:eastAsia="Times New Roman" w:hAnsi="Times New Roman"/>
                <w:sz w:val="18"/>
                <w:szCs w:val="18"/>
                <w:color w:val="auto"/>
              </w:rPr>
              <w:t>27,031</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3,284</w:t>
            </w:r>
          </w:p>
        </w:tc>
        <w:tc>
          <w:tcPr>
            <w:tcW w:w="1380" w:type="dxa"/>
            <w:vAlign w:val="bottom"/>
            <w:tcBorders>
              <w:bottom w:val="single" w:sz="8" w:color="CCEEFF"/>
            </w:tcBorders>
            <w:shd w:val="clear" w:color="auto" w:fill="CCEEFF"/>
          </w:tcPr>
          <w:p>
            <w:pPr>
              <w:jc w:val="right"/>
              <w:ind w:right="62"/>
              <w:spacing w:after="0"/>
              <w:rPr>
                <w:sz w:val="20"/>
                <w:szCs w:val="20"/>
                <w:color w:val="auto"/>
              </w:rPr>
            </w:pPr>
            <w:r>
              <w:rPr>
                <w:rFonts w:ascii="Times New Roman" w:cs="Times New Roman" w:eastAsia="Times New Roman" w:hAnsi="Times New Roman"/>
                <w:sz w:val="18"/>
                <w:szCs w:val="18"/>
                <w:color w:val="auto"/>
              </w:rPr>
              <w:t>723.1%</w:t>
            </w:r>
          </w:p>
        </w:tc>
        <w:tc>
          <w:tcPr>
            <w:tcW w:w="380" w:type="dxa"/>
            <w:vAlign w:val="bottom"/>
            <w:tcBorders>
              <w:bottom w:val="single" w:sz="8" w:color="CCEEFF"/>
            </w:tcBorders>
            <w:shd w:val="clear" w:color="auto" w:fill="CCEEFF"/>
          </w:tcPr>
          <w:p>
            <w:pPr>
              <w:jc w:val="right"/>
              <w:ind w:right="179"/>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CCEEFF"/>
            </w:tcBorders>
            <w:shd w:val="clear" w:color="auto" w:fill="CCEEFF"/>
          </w:tcPr>
          <w:p>
            <w:pPr>
              <w:jc w:val="right"/>
              <w:ind w:right="156"/>
              <w:spacing w:after="0"/>
              <w:rPr>
                <w:sz w:val="20"/>
                <w:szCs w:val="20"/>
                <w:color w:val="auto"/>
              </w:rPr>
            </w:pPr>
            <w:r>
              <w:rPr>
                <w:rFonts w:ascii="Times New Roman" w:cs="Times New Roman" w:eastAsia="Times New Roman" w:hAnsi="Times New Roman"/>
                <w:sz w:val="18"/>
                <w:szCs w:val="18"/>
                <w:color w:val="auto"/>
              </w:rPr>
              <w:t>64,013</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8,455</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657.1%</w:t>
            </w:r>
          </w:p>
        </w:tc>
      </w:tr>
      <w:tr>
        <w:trPr>
          <w:trHeight w:val="243"/>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36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3.2%</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138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1280" w:type="dxa"/>
            <w:vAlign w:val="bottom"/>
          </w:tcPr>
          <w:p>
            <w:pPr>
              <w:spacing w:after="0"/>
              <w:rPr>
                <w:sz w:val="21"/>
                <w:szCs w:val="21"/>
                <w:color w:val="auto"/>
              </w:rPr>
            </w:pPr>
          </w:p>
        </w:tc>
      </w:tr>
    </w:tbl>
    <w:p>
      <w:pPr>
        <w:spacing w:after="0" w:line="225" w:lineRule="exact"/>
        <w:rPr>
          <w:sz w:val="20"/>
          <w:szCs w:val="20"/>
          <w:color w:val="auto"/>
        </w:rPr>
      </w:pPr>
    </w:p>
    <w:p>
      <w:pPr>
        <w:ind w:right="60" w:firstLine="392"/>
        <w:spacing w:after="0" w:line="266" w:lineRule="auto"/>
        <w:rPr>
          <w:sz w:val="20"/>
          <w:szCs w:val="20"/>
          <w:color w:val="auto"/>
        </w:rPr>
      </w:pPr>
      <w:r>
        <w:rPr>
          <w:rFonts w:ascii="Times New Roman" w:cs="Times New Roman" w:eastAsia="Times New Roman" w:hAnsi="Times New Roman"/>
          <w:sz w:val="18"/>
          <w:szCs w:val="18"/>
          <w:color w:val="auto"/>
        </w:rPr>
        <w:t>We recognized $27.0 million and $64.0 million of total restructuring related charges in the three and nine months ended November 3, 2018 as the Company continues to evaluate its existing operations to increase operational efficiency, decrease costs and increase profitability. See “Note 6 - Restructuring and Other Related Charges” for further information.</w:t>
      </w:r>
    </w:p>
    <w:p>
      <w:pPr>
        <w:spacing w:after="0" w:line="20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Interest Income</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322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2320" w:type="dxa"/>
            <w:vAlign w:val="bottom"/>
            <w:tcBorders>
              <w:bottom w:val="single" w:sz="8" w:color="auto"/>
            </w:tcBorders>
            <w:gridSpan w:val="3"/>
          </w:tcPr>
          <w:p>
            <w:pPr>
              <w:jc w:val="right"/>
              <w:ind w:right="616"/>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420" w:type="dxa"/>
            <w:vAlign w:val="bottom"/>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3"/>
          </w:tcPr>
          <w:p>
            <w:pPr>
              <w:jc w:val="right"/>
              <w:ind w:right="656"/>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3220" w:type="dxa"/>
            <w:vAlign w:val="bottom"/>
          </w:tcPr>
          <w:p>
            <w:pPr>
              <w:spacing w:after="0"/>
              <w:rPr>
                <w:sz w:val="11"/>
                <w:szCs w:val="11"/>
                <w:color w:val="auto"/>
              </w:rPr>
            </w:pPr>
          </w:p>
        </w:tc>
        <w:tc>
          <w:tcPr>
            <w:tcW w:w="1360" w:type="dxa"/>
            <w:vAlign w:val="bottom"/>
            <w:gridSpan w:val="2"/>
            <w:vMerge w:val="restart"/>
          </w:tcPr>
          <w:p>
            <w:pPr>
              <w:jc w:val="right"/>
              <w:ind w:right="76"/>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80" w:type="dxa"/>
            <w:vAlign w:val="bottom"/>
          </w:tcPr>
          <w:p>
            <w:pPr>
              <w:spacing w:after="0"/>
              <w:rPr>
                <w:sz w:val="11"/>
                <w:szCs w:val="11"/>
                <w:color w:val="auto"/>
              </w:rPr>
            </w:pPr>
          </w:p>
        </w:tc>
        <w:tc>
          <w:tcPr>
            <w:tcW w:w="1200" w:type="dxa"/>
            <w:vAlign w:val="bottom"/>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420" w:type="dxa"/>
            <w:vAlign w:val="bottom"/>
          </w:tcPr>
          <w:p>
            <w:pPr>
              <w:jc w:val="right"/>
              <w:ind w:right="564"/>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1360" w:type="dxa"/>
            <w:vAlign w:val="bottom"/>
            <w:gridSpan w:val="2"/>
            <w:vMerge w:val="restart"/>
          </w:tcPr>
          <w:p>
            <w:pPr>
              <w:jc w:val="right"/>
              <w:ind w:right="76"/>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80" w:type="dxa"/>
            <w:vAlign w:val="bottom"/>
          </w:tcPr>
          <w:p>
            <w:pPr>
              <w:spacing w:after="0"/>
              <w:rPr>
                <w:sz w:val="11"/>
                <w:szCs w:val="11"/>
                <w:color w:val="auto"/>
              </w:rPr>
            </w:pPr>
          </w:p>
        </w:tc>
        <w:tc>
          <w:tcPr>
            <w:tcW w:w="1180" w:type="dxa"/>
            <w:vAlign w:val="bottom"/>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320" w:type="dxa"/>
            <w:vAlign w:val="bottom"/>
          </w:tcPr>
          <w:p>
            <w:pPr>
              <w:jc w:val="right"/>
              <w:ind w:right="46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3220" w:type="dxa"/>
            <w:vAlign w:val="bottom"/>
          </w:tcPr>
          <w:p>
            <w:pPr>
              <w:spacing w:after="0"/>
              <w:rPr>
                <w:sz w:val="16"/>
                <w:szCs w:val="16"/>
                <w:color w:val="auto"/>
              </w:rPr>
            </w:pPr>
          </w:p>
        </w:tc>
        <w:tc>
          <w:tcPr>
            <w:tcW w:w="1360" w:type="dxa"/>
            <w:vAlign w:val="bottom"/>
            <w:tcBorders>
              <w:bottom w:val="single" w:sz="8" w:color="auto"/>
            </w:tcBorders>
            <w:gridSpan w:val="2"/>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4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360" w:type="dxa"/>
            <w:vAlign w:val="bottom"/>
            <w:tcBorders>
              <w:bottom w:val="single" w:sz="8" w:color="auto"/>
            </w:tcBorders>
            <w:gridSpan w:val="2"/>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2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780" w:type="dxa"/>
            <w:vAlign w:val="bottom"/>
            <w:gridSpan w:val="3"/>
          </w:tcPr>
          <w:p>
            <w:pPr>
              <w:jc w:val="right"/>
              <w:ind w:right="296"/>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2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Interest income</w:t>
            </w:r>
          </w:p>
        </w:tc>
        <w:tc>
          <w:tcPr>
            <w:tcW w:w="420" w:type="dxa"/>
            <w:vAlign w:val="bottom"/>
            <w:tcBorders>
              <w:bottom w:val="single" w:sz="8" w:color="CCEEFF"/>
            </w:tcBorders>
            <w:shd w:val="clear" w:color="auto" w:fill="CCEEFF"/>
          </w:tcPr>
          <w:p>
            <w:pPr>
              <w:jc w:val="right"/>
              <w:ind w:right="219"/>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tcBorders>
              <w:bottom w:val="single" w:sz="8" w:color="CCEEFF"/>
            </w:tcBorders>
            <w:shd w:val="clear" w:color="auto" w:fill="CCEEFF"/>
          </w:tcPr>
          <w:p>
            <w:pPr>
              <w:jc w:val="right"/>
              <w:ind w:right="156"/>
              <w:spacing w:after="0"/>
              <w:rPr>
                <w:sz w:val="20"/>
                <w:szCs w:val="20"/>
                <w:color w:val="auto"/>
              </w:rPr>
            </w:pPr>
            <w:r>
              <w:rPr>
                <w:rFonts w:ascii="Times New Roman" w:cs="Times New Roman" w:eastAsia="Times New Roman" w:hAnsi="Times New Roman"/>
                <w:sz w:val="18"/>
                <w:szCs w:val="18"/>
                <w:color w:val="auto"/>
              </w:rPr>
              <w:t>1,046</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4,301</w:t>
            </w:r>
          </w:p>
        </w:tc>
        <w:tc>
          <w:tcPr>
            <w:tcW w:w="1420" w:type="dxa"/>
            <w:vAlign w:val="bottom"/>
            <w:tcBorders>
              <w:bottom w:val="single" w:sz="8" w:color="CCEEFF"/>
            </w:tcBorders>
            <w:shd w:val="clear" w:color="auto" w:fill="CCEEFF"/>
          </w:tcPr>
          <w:p>
            <w:pPr>
              <w:jc w:val="right"/>
              <w:ind w:right="64"/>
              <w:spacing w:after="0"/>
              <w:rPr>
                <w:sz w:val="20"/>
                <w:szCs w:val="20"/>
                <w:color w:val="auto"/>
              </w:rPr>
            </w:pPr>
            <w:r>
              <w:rPr>
                <w:rFonts w:ascii="Times New Roman" w:cs="Times New Roman" w:eastAsia="Times New Roman" w:hAnsi="Times New Roman"/>
                <w:sz w:val="18"/>
                <w:szCs w:val="18"/>
                <w:color w:val="auto"/>
              </w:rPr>
              <w:t>(75.7)%</w:t>
            </w:r>
          </w:p>
        </w:tc>
        <w:tc>
          <w:tcPr>
            <w:tcW w:w="380" w:type="dxa"/>
            <w:vAlign w:val="bottom"/>
            <w:tcBorders>
              <w:bottom w:val="single" w:sz="8" w:color="CCEEFF"/>
            </w:tcBorders>
            <w:shd w:val="clear" w:color="auto" w:fill="CCEEFF"/>
          </w:tcPr>
          <w:p>
            <w:pPr>
              <w:jc w:val="right"/>
              <w:ind w:right="179"/>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CCEEFF"/>
            </w:tcBorders>
            <w:shd w:val="clear" w:color="auto" w:fill="CCEEFF"/>
          </w:tcPr>
          <w:p>
            <w:pPr>
              <w:jc w:val="right"/>
              <w:ind w:right="156"/>
              <w:spacing w:after="0"/>
              <w:rPr>
                <w:sz w:val="20"/>
                <w:szCs w:val="20"/>
                <w:color w:val="auto"/>
              </w:rPr>
            </w:pPr>
            <w:r>
              <w:rPr>
                <w:rFonts w:ascii="Times New Roman" w:cs="Times New Roman" w:eastAsia="Times New Roman" w:hAnsi="Times New Roman"/>
                <w:sz w:val="18"/>
                <w:szCs w:val="18"/>
                <w:color w:val="auto"/>
              </w:rPr>
              <w:t>10,690</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11,643</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w:t>
            </w:r>
          </w:p>
        </w:tc>
        <w:tc>
          <w:tcPr>
            <w:tcW w:w="0" w:type="dxa"/>
            <w:vAlign w:val="bottom"/>
          </w:tcPr>
          <w:p>
            <w:pPr>
              <w:spacing w:after="0"/>
              <w:rPr>
                <w:sz w:val="1"/>
                <w:szCs w:val="1"/>
                <w:color w:val="auto"/>
              </w:rPr>
            </w:pPr>
          </w:p>
        </w:tc>
      </w:tr>
      <w:tr>
        <w:trPr>
          <w:trHeight w:val="243"/>
        </w:trPr>
        <w:tc>
          <w:tcPr>
            <w:tcW w:w="32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42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0.7%</w:t>
            </w:r>
          </w:p>
        </w:tc>
        <w:tc>
          <w:tcPr>
            <w:tcW w:w="14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0.6%</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1" w:lineRule="exact"/>
        <w:rPr>
          <w:sz w:val="20"/>
          <w:szCs w:val="20"/>
          <w:color w:val="auto"/>
        </w:rPr>
      </w:pPr>
    </w:p>
    <w:p>
      <w:pPr>
        <w:ind w:right="180" w:firstLine="432"/>
        <w:spacing w:after="0" w:line="282" w:lineRule="auto"/>
        <w:rPr>
          <w:sz w:val="20"/>
          <w:szCs w:val="20"/>
          <w:color w:val="auto"/>
        </w:rPr>
      </w:pPr>
      <w:r>
        <w:rPr>
          <w:rFonts w:ascii="Times New Roman" w:cs="Times New Roman" w:eastAsia="Times New Roman" w:hAnsi="Times New Roman"/>
          <w:sz w:val="18"/>
          <w:szCs w:val="18"/>
          <w:color w:val="auto"/>
        </w:rPr>
        <w:t>Interest income decreased by $3.3 million and $1.0 million in the three and nine months ended November 3, 2018, respectively, compared to the three and nine months ended October 28, 2017. The decrease is primarily due to the sale of investments in the first and second quarter of fiscal 2019.</w:t>
      </w:r>
    </w:p>
    <w:p>
      <w:pPr>
        <w:spacing w:after="0" w:line="18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Interest Expense</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31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3"/>
          </w:tcPr>
          <w:p>
            <w:pPr>
              <w:jc w:val="right"/>
              <w:ind w:right="636"/>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3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3"/>
          </w:tcPr>
          <w:p>
            <w:pPr>
              <w:jc w:val="right"/>
              <w:ind w:right="696"/>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3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60" w:type="dxa"/>
            <w:vAlign w:val="bottom"/>
            <w:vMerge w:val="restart"/>
          </w:tcPr>
          <w:p>
            <w:pPr>
              <w:jc w:val="right"/>
              <w:ind w:right="7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00" w:type="dxa"/>
            <w:vAlign w:val="bottom"/>
          </w:tcPr>
          <w:p>
            <w:pPr>
              <w:spacing w:after="0"/>
              <w:rPr>
                <w:sz w:val="11"/>
                <w:szCs w:val="11"/>
                <w:color w:val="auto"/>
              </w:rPr>
            </w:pPr>
          </w:p>
        </w:tc>
        <w:tc>
          <w:tcPr>
            <w:tcW w:w="1200" w:type="dxa"/>
            <w:vAlign w:val="bottom"/>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380" w:type="dxa"/>
            <w:vAlign w:val="bottom"/>
          </w:tcPr>
          <w:p>
            <w:pPr>
              <w:jc w:val="right"/>
              <w:ind w:right="544"/>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120" w:type="dxa"/>
            <w:vAlign w:val="bottom"/>
          </w:tcPr>
          <w:p>
            <w:pPr>
              <w:spacing w:after="0"/>
              <w:rPr>
                <w:sz w:val="11"/>
                <w:szCs w:val="11"/>
                <w:color w:val="auto"/>
              </w:rPr>
            </w:pPr>
          </w:p>
        </w:tc>
        <w:tc>
          <w:tcPr>
            <w:tcW w:w="1280" w:type="dxa"/>
            <w:vAlign w:val="bottom"/>
            <w:vMerge w:val="restart"/>
          </w:tcPr>
          <w:p>
            <w:pPr>
              <w:jc w:val="right"/>
              <w:ind w:right="9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200" w:type="dxa"/>
            <w:vAlign w:val="bottom"/>
          </w:tcPr>
          <w:p>
            <w:pPr>
              <w:spacing w:after="0"/>
              <w:rPr>
                <w:sz w:val="11"/>
                <w:szCs w:val="11"/>
                <w:color w:val="auto"/>
              </w:rPr>
            </w:pPr>
          </w:p>
        </w:tc>
        <w:tc>
          <w:tcPr>
            <w:tcW w:w="1200" w:type="dxa"/>
            <w:vAlign w:val="bottom"/>
            <w:vMerge w:val="restart"/>
          </w:tcPr>
          <w:p>
            <w:pPr>
              <w:jc w:val="right"/>
              <w:ind w:right="7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280" w:type="dxa"/>
            <w:vAlign w:val="bottom"/>
          </w:tcPr>
          <w:p>
            <w:pPr>
              <w:jc w:val="right"/>
              <w:ind w:right="44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31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500" w:type="dxa"/>
            <w:vAlign w:val="bottom"/>
            <w:tcBorders>
              <w:bottom w:val="single" w:sz="8" w:color="auto"/>
            </w:tcBorders>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28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780" w:type="dxa"/>
            <w:vAlign w:val="bottom"/>
            <w:gridSpan w:val="3"/>
          </w:tcPr>
          <w:p>
            <w:pPr>
              <w:jc w:val="right"/>
              <w:ind w:right="319"/>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2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1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Interest expense</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bottom w:val="single" w:sz="8" w:color="CCEEFF"/>
            </w:tcBorders>
            <w:shd w:val="clear" w:color="auto" w:fill="CCEEFF"/>
          </w:tcPr>
          <w:p>
            <w:pPr>
              <w:jc w:val="right"/>
              <w:ind w:right="139"/>
              <w:spacing w:after="0"/>
              <w:rPr>
                <w:sz w:val="20"/>
                <w:szCs w:val="20"/>
                <w:color w:val="auto"/>
              </w:rPr>
            </w:pPr>
            <w:r>
              <w:rPr>
                <w:rFonts w:ascii="Times New Roman" w:cs="Times New Roman" w:eastAsia="Times New Roman" w:hAnsi="Times New Roman"/>
                <w:sz w:val="18"/>
                <w:szCs w:val="18"/>
                <w:color w:val="auto"/>
              </w:rPr>
              <w:t>(22,370)</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76"/>
              <w:spacing w:after="0"/>
              <w:rPr>
                <w:sz w:val="20"/>
                <w:szCs w:val="20"/>
                <w:color w:val="auto"/>
              </w:rPr>
            </w:pPr>
            <w:r>
              <w:rPr>
                <w:rFonts w:ascii="Times New Roman" w:cs="Times New Roman" w:eastAsia="Times New Roman" w:hAnsi="Times New Roman"/>
                <w:sz w:val="18"/>
                <w:szCs w:val="18"/>
                <w:color w:val="auto"/>
              </w:rPr>
              <w:t>(262)</w:t>
            </w:r>
          </w:p>
        </w:tc>
        <w:tc>
          <w:tcPr>
            <w:tcW w:w="150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8,438.2%  $</w:t>
            </w:r>
          </w:p>
        </w:tc>
        <w:tc>
          <w:tcPr>
            <w:tcW w:w="1280" w:type="dxa"/>
            <w:vAlign w:val="bottom"/>
            <w:tcBorders>
              <w:bottom w:val="single" w:sz="8" w:color="CCEEFF"/>
            </w:tcBorders>
            <w:shd w:val="clear" w:color="auto" w:fill="CCEEFF"/>
          </w:tcPr>
          <w:p>
            <w:pPr>
              <w:jc w:val="right"/>
              <w:ind w:right="159"/>
              <w:spacing w:after="0"/>
              <w:rPr>
                <w:sz w:val="20"/>
                <w:szCs w:val="20"/>
                <w:color w:val="auto"/>
              </w:rPr>
            </w:pPr>
            <w:r>
              <w:rPr>
                <w:rFonts w:ascii="Times New Roman" w:cs="Times New Roman" w:eastAsia="Times New Roman" w:hAnsi="Times New Roman"/>
                <w:sz w:val="18"/>
                <w:szCs w:val="18"/>
                <w:color w:val="auto"/>
              </w:rPr>
              <w:t>(38,409)</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96"/>
              <w:spacing w:after="0"/>
              <w:rPr>
                <w:sz w:val="20"/>
                <w:szCs w:val="20"/>
                <w:color w:val="auto"/>
              </w:rPr>
            </w:pPr>
            <w:r>
              <w:rPr>
                <w:rFonts w:ascii="Times New Roman" w:cs="Times New Roman" w:eastAsia="Times New Roman" w:hAnsi="Times New Roman"/>
                <w:sz w:val="18"/>
                <w:szCs w:val="18"/>
                <w:color w:val="auto"/>
              </w:rPr>
              <w:t>(393)</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9,673.3%</w:t>
            </w:r>
          </w:p>
        </w:tc>
        <w:tc>
          <w:tcPr>
            <w:tcW w:w="0" w:type="dxa"/>
            <w:vAlign w:val="bottom"/>
          </w:tcPr>
          <w:p>
            <w:pPr>
              <w:spacing w:after="0"/>
              <w:rPr>
                <w:sz w:val="1"/>
                <w:szCs w:val="1"/>
                <w:color w:val="auto"/>
              </w:rPr>
            </w:pPr>
          </w:p>
        </w:tc>
      </w:tr>
      <w:tr>
        <w:trPr>
          <w:trHeight w:val="243"/>
        </w:trPr>
        <w:tc>
          <w:tcPr>
            <w:tcW w:w="31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c>
          <w:tcPr>
            <w:tcW w:w="2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13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c>
          <w:tcPr>
            <w:tcW w:w="2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1" w:lineRule="exact"/>
        <w:rPr>
          <w:sz w:val="20"/>
          <w:szCs w:val="20"/>
          <w:color w:val="auto"/>
        </w:rPr>
      </w:pPr>
    </w:p>
    <w:p>
      <w:pPr>
        <w:ind w:right="40" w:firstLine="432"/>
        <w:spacing w:after="0" w:line="266" w:lineRule="auto"/>
        <w:rPr>
          <w:sz w:val="20"/>
          <w:szCs w:val="20"/>
          <w:color w:val="auto"/>
        </w:rPr>
      </w:pPr>
      <w:r>
        <w:rPr>
          <w:rFonts w:ascii="Times New Roman" w:cs="Times New Roman" w:eastAsia="Times New Roman" w:hAnsi="Times New Roman"/>
          <w:sz w:val="18"/>
          <w:szCs w:val="18"/>
          <w:color w:val="auto"/>
        </w:rPr>
        <w:t>Interest expense increased by $22.1 million and $38.0 million in the three and nine months ended November 3, 2018, respectively, compared to the three and nine months ended October 28, 2017. The increase is primarily due to interest expense incurred resulting from the issuance of our 2023 Notes, 2028 Notes and amounts borrowed under our credit agreement.</w:t>
      </w:r>
    </w:p>
    <w:p>
      <w:pPr>
        <w:spacing w:after="0" w:line="20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Other Income (Loss), Net</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31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620" w:type="dxa"/>
            <w:vAlign w:val="bottom"/>
            <w:tcBorders>
              <w:bottom w:val="single" w:sz="8" w:color="auto"/>
            </w:tcBorders>
            <w:gridSpan w:val="3"/>
          </w:tcPr>
          <w:p>
            <w:pPr>
              <w:jc w:val="right"/>
              <w:ind w:right="614"/>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44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620" w:type="dxa"/>
            <w:vAlign w:val="bottom"/>
            <w:tcBorders>
              <w:bottom w:val="single" w:sz="8" w:color="auto"/>
            </w:tcBorders>
            <w:gridSpan w:val="3"/>
          </w:tcPr>
          <w:p>
            <w:pPr>
              <w:jc w:val="right"/>
              <w:ind w:right="656"/>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3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60" w:type="dxa"/>
            <w:vAlign w:val="bottom"/>
            <w:vMerge w:val="restart"/>
          </w:tcPr>
          <w:p>
            <w:pPr>
              <w:jc w:val="right"/>
              <w:ind w:right="7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80" w:type="dxa"/>
            <w:vAlign w:val="bottom"/>
          </w:tcPr>
          <w:p>
            <w:pPr>
              <w:spacing w:after="0"/>
              <w:rPr>
                <w:sz w:val="11"/>
                <w:szCs w:val="11"/>
                <w:color w:val="auto"/>
              </w:rPr>
            </w:pPr>
          </w:p>
        </w:tc>
        <w:tc>
          <w:tcPr>
            <w:tcW w:w="1180" w:type="dxa"/>
            <w:vAlign w:val="bottom"/>
            <w:vMerge w:val="restart"/>
          </w:tcPr>
          <w:p>
            <w:pPr>
              <w:jc w:val="right"/>
              <w:ind w:right="34"/>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440" w:type="dxa"/>
            <w:vAlign w:val="bottom"/>
          </w:tcPr>
          <w:p>
            <w:pPr>
              <w:jc w:val="right"/>
              <w:ind w:right="564"/>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120" w:type="dxa"/>
            <w:vAlign w:val="bottom"/>
          </w:tcPr>
          <w:p>
            <w:pPr>
              <w:spacing w:after="0"/>
              <w:rPr>
                <w:sz w:val="11"/>
                <w:szCs w:val="11"/>
                <w:color w:val="auto"/>
              </w:rPr>
            </w:pPr>
          </w:p>
        </w:tc>
        <w:tc>
          <w:tcPr>
            <w:tcW w:w="1260" w:type="dxa"/>
            <w:vAlign w:val="bottom"/>
            <w:vMerge w:val="restart"/>
          </w:tcPr>
          <w:p>
            <w:pPr>
              <w:jc w:val="right"/>
              <w:ind w:right="7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80" w:type="dxa"/>
            <w:vAlign w:val="bottom"/>
          </w:tcPr>
          <w:p>
            <w:pPr>
              <w:spacing w:after="0"/>
              <w:rPr>
                <w:sz w:val="11"/>
                <w:szCs w:val="11"/>
                <w:color w:val="auto"/>
              </w:rPr>
            </w:pPr>
          </w:p>
        </w:tc>
        <w:tc>
          <w:tcPr>
            <w:tcW w:w="1180" w:type="dxa"/>
            <w:vAlign w:val="bottom"/>
            <w:vMerge w:val="restart"/>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320" w:type="dxa"/>
            <w:vAlign w:val="bottom"/>
          </w:tcPr>
          <w:p>
            <w:pPr>
              <w:jc w:val="right"/>
              <w:ind w:right="46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31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560" w:type="dxa"/>
            <w:vAlign w:val="bottom"/>
            <w:tcBorders>
              <w:bottom w:val="single" w:sz="8" w:color="auto"/>
            </w:tcBorders>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26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820" w:type="dxa"/>
            <w:vAlign w:val="bottom"/>
            <w:gridSpan w:val="3"/>
          </w:tcPr>
          <w:p>
            <w:pPr>
              <w:jc w:val="right"/>
              <w:ind w:right="319"/>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1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Other income (loss), net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tcBorders>
              <w:bottom w:val="single" w:sz="8" w:color="CCEEFF"/>
            </w:tcBorders>
            <w:shd w:val="clear" w:color="auto" w:fill="CCEEFF"/>
          </w:tcPr>
          <w:p>
            <w:pPr>
              <w:jc w:val="right"/>
              <w:ind w:right="139"/>
              <w:spacing w:after="0"/>
              <w:rPr>
                <w:sz w:val="20"/>
                <w:szCs w:val="20"/>
                <w:color w:val="auto"/>
              </w:rPr>
            </w:pPr>
            <w:r>
              <w:rPr>
                <w:rFonts w:ascii="Times New Roman" w:cs="Times New Roman" w:eastAsia="Times New Roman" w:hAnsi="Times New Roman"/>
                <w:sz w:val="18"/>
                <w:szCs w:val="18"/>
                <w:color w:val="auto"/>
              </w:rPr>
              <w:t>(2,628)</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2,161</w:t>
            </w:r>
          </w:p>
        </w:tc>
        <w:tc>
          <w:tcPr>
            <w:tcW w:w="1560" w:type="dxa"/>
            <w:vAlign w:val="bottom"/>
            <w:tcBorders>
              <w:bottom w:val="single" w:sz="8" w:color="CCEEFF"/>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(221.6)%  $</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Times New Roman" w:cs="Times New Roman" w:eastAsia="Times New Roman" w:hAnsi="Times New Roman"/>
                <w:sz w:val="18"/>
                <w:szCs w:val="18"/>
                <w:color w:val="auto"/>
              </w:rPr>
              <w:t>(3,858)</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5,471</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(170.5)%</w:t>
            </w:r>
          </w:p>
        </w:tc>
        <w:tc>
          <w:tcPr>
            <w:tcW w:w="0" w:type="dxa"/>
            <w:vAlign w:val="bottom"/>
          </w:tcPr>
          <w:p>
            <w:pPr>
              <w:spacing w:after="0"/>
              <w:rPr>
                <w:sz w:val="1"/>
                <w:szCs w:val="1"/>
                <w:color w:val="auto"/>
              </w:rPr>
            </w:pPr>
          </w:p>
        </w:tc>
      </w:tr>
      <w:tr>
        <w:trPr>
          <w:trHeight w:val="243"/>
        </w:trPr>
        <w:tc>
          <w:tcPr>
            <w:tcW w:w="31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14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6"/>
        </w:trPr>
        <w:tc>
          <w:tcPr>
            <w:tcW w:w="3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34</w:t>
            </w:r>
          </w:p>
        </w:tc>
        <w:tc>
          <w:tcPr>
            <w:tcW w:w="1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6" w:right="239" w:bottom="1440" w:gutter="0" w:footer="0" w:header="0"/>
        </w:sectPr>
      </w:pPr>
    </w:p>
    <w:bookmarkStart w:id="36" w:name="page37"/>
    <w:bookmarkEnd w:id="36"/>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06" w:lineRule="exact"/>
        <w:rPr>
          <w:sz w:val="20"/>
          <w:szCs w:val="20"/>
          <w:color w:val="auto"/>
        </w:rPr>
      </w:pPr>
    </w:p>
    <w:p>
      <w:pPr>
        <w:ind w:right="40" w:firstLine="432"/>
        <w:spacing w:after="0" w:line="261" w:lineRule="auto"/>
        <w:rPr>
          <w:sz w:val="20"/>
          <w:szCs w:val="20"/>
          <w:color w:val="auto"/>
        </w:rPr>
      </w:pPr>
      <w:r>
        <w:rPr>
          <w:rFonts w:ascii="Times New Roman" w:cs="Times New Roman" w:eastAsia="Times New Roman" w:hAnsi="Times New Roman"/>
          <w:sz w:val="18"/>
          <w:szCs w:val="18"/>
          <w:color w:val="auto"/>
        </w:rPr>
        <w:t>Other income (loss), net, was a loss of $2.7 million in the three months ended November 3, 2018, compared to a gain of $2.2 million in the three months ended October 28, 2017. This was primarily a result of a loss from the sale of a business and foreign currency remeasurement loss in the three months ended November 3, 2018 compared with a gain from sale of a private equity investment and foreign currency remeasurement gain in the three months ended October 28, 2017.</w:t>
      </w:r>
    </w:p>
    <w:p>
      <w:pPr>
        <w:spacing w:after="0" w:line="126" w:lineRule="exact"/>
        <w:rPr>
          <w:sz w:val="20"/>
          <w:szCs w:val="20"/>
          <w:color w:val="auto"/>
        </w:rPr>
      </w:pPr>
    </w:p>
    <w:p>
      <w:pPr>
        <w:ind w:right="140" w:firstLine="432"/>
        <w:spacing w:after="0" w:line="266" w:lineRule="auto"/>
        <w:rPr>
          <w:sz w:val="20"/>
          <w:szCs w:val="20"/>
          <w:color w:val="auto"/>
        </w:rPr>
      </w:pPr>
      <w:r>
        <w:rPr>
          <w:rFonts w:ascii="Times New Roman" w:cs="Times New Roman" w:eastAsia="Times New Roman" w:hAnsi="Times New Roman"/>
          <w:sz w:val="18"/>
          <w:szCs w:val="18"/>
          <w:color w:val="auto"/>
        </w:rPr>
        <w:t>Other income (loss), net, was a loss of $3.9 million in the nine months ended November 3, 2018 compared to a gain of $5.5 million in the nine months ended October 28, 2017. This was primarily a result of a loss from the sale of a business and foreign currency measurement loss in the nine months ended November 3, 2018 compared with a $5.1 million gain from the sale of a business recognized in the nine months ended October 28, 2017.</w:t>
      </w:r>
    </w:p>
    <w:p>
      <w:pPr>
        <w:spacing w:after="0" w:line="12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Provision (benefit) for Income Taxes</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3420" w:type="dxa"/>
            <w:vAlign w:val="bottom"/>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580" w:type="dxa"/>
            <w:vAlign w:val="bottom"/>
            <w:tcBorders>
              <w:bottom w:val="single" w:sz="8" w:color="auto"/>
            </w:tcBorders>
          </w:tcPr>
          <w:p>
            <w:pPr>
              <w:spacing w:after="0"/>
              <w:rPr>
                <w:sz w:val="16"/>
                <w:szCs w:val="16"/>
                <w:color w:val="auto"/>
              </w:rPr>
            </w:pPr>
          </w:p>
        </w:tc>
        <w:tc>
          <w:tcPr>
            <w:tcW w:w="142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600" w:type="dxa"/>
            <w:vAlign w:val="bottom"/>
            <w:tcBorders>
              <w:bottom w:val="single" w:sz="8" w:color="auto"/>
            </w:tcBorders>
          </w:tcPr>
          <w:p>
            <w:pPr>
              <w:spacing w:after="0"/>
              <w:rPr>
                <w:sz w:val="16"/>
                <w:szCs w:val="16"/>
                <w:color w:val="auto"/>
              </w:rPr>
            </w:pPr>
          </w:p>
        </w:tc>
        <w:tc>
          <w:tcPr>
            <w:tcW w:w="13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3420" w:type="dxa"/>
            <w:vAlign w:val="bottom"/>
          </w:tcPr>
          <w:p>
            <w:pPr>
              <w:spacing w:after="0"/>
              <w:rPr>
                <w:sz w:val="11"/>
                <w:szCs w:val="11"/>
                <w:color w:val="auto"/>
              </w:rPr>
            </w:pPr>
          </w:p>
        </w:tc>
        <w:tc>
          <w:tcPr>
            <w:tcW w:w="1280" w:type="dxa"/>
            <w:vAlign w:val="bottom"/>
            <w:gridSpan w:val="2"/>
            <w:vMerge w:val="restart"/>
          </w:tcPr>
          <w:p>
            <w:pPr>
              <w:jc w:val="right"/>
              <w:ind w:right="1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320" w:type="dxa"/>
            <w:vAlign w:val="bottom"/>
            <w:gridSpan w:val="2"/>
            <w:vMerge w:val="restart"/>
          </w:tcPr>
          <w:p>
            <w:pPr>
              <w:jc w:val="right"/>
              <w:ind w:right="10"/>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420" w:type="dxa"/>
            <w:vAlign w:val="bottom"/>
          </w:tcPr>
          <w:p>
            <w:pPr>
              <w:jc w:val="right"/>
              <w:ind w:right="564"/>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1300" w:type="dxa"/>
            <w:vAlign w:val="bottom"/>
            <w:gridSpan w:val="2"/>
            <w:vMerge w:val="restart"/>
          </w:tcPr>
          <w:p>
            <w:pPr>
              <w:jc w:val="right"/>
              <w:ind w:right="39"/>
              <w:spacing w:after="0"/>
              <w:rPr>
                <w:sz w:val="20"/>
                <w:szCs w:val="20"/>
                <w:color w:val="auto"/>
              </w:rPr>
            </w:pPr>
            <w:r>
              <w:rPr>
                <w:rFonts w:ascii="Times New Roman" w:cs="Times New Roman" w:eastAsia="Times New Roman" w:hAnsi="Times New Roman"/>
                <w:sz w:val="14"/>
                <w:szCs w:val="14"/>
                <w:b w:val="1"/>
                <w:bCs w:val="1"/>
                <w:color w:val="auto"/>
              </w:rPr>
              <w:t>November 3, 2018</w:t>
            </w:r>
          </w:p>
        </w:tc>
        <w:tc>
          <w:tcPr>
            <w:tcW w:w="1320" w:type="dxa"/>
            <w:vAlign w:val="bottom"/>
            <w:gridSpan w:val="2"/>
            <w:vMerge w:val="restart"/>
          </w:tcPr>
          <w:p>
            <w:pPr>
              <w:jc w:val="right"/>
              <w:ind w:right="30"/>
              <w:spacing w:after="0"/>
              <w:rPr>
                <w:sz w:val="20"/>
                <w:szCs w:val="20"/>
                <w:color w:val="auto"/>
              </w:rPr>
            </w:pPr>
            <w:r>
              <w:rPr>
                <w:rFonts w:ascii="Times New Roman" w:cs="Times New Roman" w:eastAsia="Times New Roman" w:hAnsi="Times New Roman"/>
                <w:sz w:val="14"/>
                <w:szCs w:val="14"/>
                <w:b w:val="1"/>
                <w:bCs w:val="1"/>
                <w:color w:val="auto"/>
              </w:rPr>
              <w:t>October 28, 2017</w:t>
            </w:r>
          </w:p>
        </w:tc>
        <w:tc>
          <w:tcPr>
            <w:tcW w:w="1360" w:type="dxa"/>
            <w:vAlign w:val="bottom"/>
          </w:tcPr>
          <w:p>
            <w:pPr>
              <w:ind w:left="660"/>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3420" w:type="dxa"/>
            <w:vAlign w:val="bottom"/>
          </w:tcPr>
          <w:p>
            <w:pPr>
              <w:spacing w:after="0"/>
              <w:rPr>
                <w:sz w:val="16"/>
                <w:szCs w:val="16"/>
                <w:color w:val="auto"/>
              </w:rPr>
            </w:pPr>
          </w:p>
        </w:tc>
        <w:tc>
          <w:tcPr>
            <w:tcW w:w="1280" w:type="dxa"/>
            <w:vAlign w:val="bottom"/>
            <w:tcBorders>
              <w:bottom w:val="single" w:sz="8" w:color="auto"/>
            </w:tcBorders>
            <w:gridSpan w:val="2"/>
            <w:vMerge w:val="continue"/>
          </w:tcPr>
          <w:p>
            <w:pPr>
              <w:spacing w:after="0"/>
              <w:rPr>
                <w:sz w:val="16"/>
                <w:szCs w:val="16"/>
                <w:color w:val="auto"/>
              </w:rPr>
            </w:pPr>
          </w:p>
        </w:tc>
        <w:tc>
          <w:tcPr>
            <w:tcW w:w="1320" w:type="dxa"/>
            <w:vAlign w:val="bottom"/>
            <w:tcBorders>
              <w:bottom w:val="single" w:sz="8" w:color="auto"/>
            </w:tcBorders>
            <w:gridSpan w:val="2"/>
            <w:vMerge w:val="continue"/>
          </w:tcPr>
          <w:p>
            <w:pPr>
              <w:spacing w:after="0"/>
              <w:rPr>
                <w:sz w:val="16"/>
                <w:szCs w:val="16"/>
                <w:color w:val="auto"/>
              </w:rPr>
            </w:pPr>
          </w:p>
        </w:tc>
        <w:tc>
          <w:tcPr>
            <w:tcW w:w="14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300" w:type="dxa"/>
            <w:vAlign w:val="bottom"/>
            <w:tcBorders>
              <w:bottom w:val="single" w:sz="8" w:color="auto"/>
            </w:tcBorders>
            <w:gridSpan w:val="2"/>
            <w:vMerge w:val="continue"/>
          </w:tcPr>
          <w:p>
            <w:pPr>
              <w:spacing w:after="0"/>
              <w:rPr>
                <w:sz w:val="16"/>
                <w:szCs w:val="16"/>
                <w:color w:val="auto"/>
              </w:rPr>
            </w:pPr>
          </w:p>
        </w:tc>
        <w:tc>
          <w:tcPr>
            <w:tcW w:w="1320" w:type="dxa"/>
            <w:vAlign w:val="bottom"/>
            <w:tcBorders>
              <w:bottom w:val="single" w:sz="8" w:color="auto"/>
            </w:tcBorders>
            <w:gridSpan w:val="2"/>
            <w:vMerge w:val="continue"/>
          </w:tcPr>
          <w:p>
            <w:pPr>
              <w:spacing w:after="0"/>
              <w:rPr>
                <w:sz w:val="16"/>
                <w:szCs w:val="16"/>
                <w:color w:val="auto"/>
              </w:rPr>
            </w:pPr>
          </w:p>
        </w:tc>
        <w:tc>
          <w:tcPr>
            <w:tcW w:w="1360" w:type="dxa"/>
            <w:vAlign w:val="bottom"/>
            <w:tcBorders>
              <w:bottom w:val="single" w:sz="8" w:color="auto"/>
            </w:tcBorders>
          </w:tcPr>
          <w:p>
            <w:pPr>
              <w:ind w:left="500"/>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4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720" w:type="dxa"/>
            <w:vAlign w:val="bottom"/>
            <w:gridSpan w:val="3"/>
          </w:tcPr>
          <w:p>
            <w:pPr>
              <w:jc w:val="right"/>
              <w:ind w:right="199"/>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8"/>
        </w:trPr>
        <w:tc>
          <w:tcPr>
            <w:tcW w:w="3420" w:type="dxa"/>
            <w:vAlign w:val="bottom"/>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400" w:type="dxa"/>
            <w:vAlign w:val="bottom"/>
            <w:shd w:val="clear" w:color="auto" w:fill="CCEEFF"/>
          </w:tcPr>
          <w:p>
            <w:pPr>
              <w:jc w:val="right"/>
              <w:ind w:right="199"/>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shd w:val="clear" w:color="auto" w:fill="CCEEFF"/>
          </w:tcPr>
          <w:p>
            <w:pPr>
              <w:jc w:val="right"/>
              <w:ind w:right="59"/>
              <w:spacing w:after="0"/>
              <w:rPr>
                <w:sz w:val="20"/>
                <w:szCs w:val="20"/>
                <w:color w:val="auto"/>
              </w:rPr>
            </w:pPr>
            <w:r>
              <w:rPr>
                <w:rFonts w:ascii="Times New Roman" w:cs="Times New Roman" w:eastAsia="Times New Roman" w:hAnsi="Times New Roman"/>
                <w:sz w:val="18"/>
                <w:szCs w:val="18"/>
                <w:color w:val="auto"/>
              </w:rPr>
              <w:t>9,305</w:t>
            </w:r>
          </w:p>
        </w:tc>
        <w:tc>
          <w:tcPr>
            <w:tcW w:w="740" w:type="dxa"/>
            <w:vAlign w:val="bottom"/>
            <w:shd w:val="clear" w:color="auto" w:fill="CCEEFF"/>
          </w:tcPr>
          <w:p>
            <w:pPr>
              <w:jc w:val="right"/>
              <w:ind w:right="459"/>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6,759</w:t>
            </w:r>
          </w:p>
        </w:tc>
        <w:tc>
          <w:tcPr>
            <w:tcW w:w="1420" w:type="dxa"/>
            <w:vAlign w:val="bottom"/>
            <w:shd w:val="clear" w:color="auto" w:fill="CCEEFF"/>
          </w:tcPr>
          <w:p>
            <w:pPr>
              <w:jc w:val="right"/>
              <w:ind w:right="84"/>
              <w:spacing w:after="0"/>
              <w:rPr>
                <w:sz w:val="20"/>
                <w:szCs w:val="20"/>
                <w:color w:val="auto"/>
              </w:rPr>
            </w:pPr>
            <w:r>
              <w:rPr>
                <w:rFonts w:ascii="Times New Roman" w:cs="Times New Roman" w:eastAsia="Times New Roman" w:hAnsi="Times New Roman"/>
                <w:sz w:val="18"/>
                <w:szCs w:val="18"/>
                <w:color w:val="auto"/>
              </w:rPr>
              <w:t>37.7%</w:t>
            </w:r>
          </w:p>
        </w:tc>
        <w:tc>
          <w:tcPr>
            <w:tcW w:w="360" w:type="dxa"/>
            <w:vAlign w:val="bottom"/>
            <w:shd w:val="clear" w:color="auto" w:fill="CCEEFF"/>
          </w:tcPr>
          <w:p>
            <w:pPr>
              <w:jc w:val="right"/>
              <w:ind w:right="159"/>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(16,903)</w:t>
            </w:r>
          </w:p>
        </w:tc>
        <w:tc>
          <w:tcPr>
            <w:tcW w:w="720" w:type="dxa"/>
            <w:vAlign w:val="bottom"/>
            <w:shd w:val="clear" w:color="auto" w:fill="CCEEFF"/>
          </w:tcPr>
          <w:p>
            <w:pPr>
              <w:jc w:val="right"/>
              <w:ind w:right="459"/>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8,026</w:t>
            </w:r>
          </w:p>
        </w:tc>
        <w:tc>
          <w:tcPr>
            <w:tcW w:w="136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(310.6)%</w:t>
            </w:r>
          </w:p>
        </w:tc>
        <w:tc>
          <w:tcPr>
            <w:tcW w:w="0" w:type="dxa"/>
            <w:vAlign w:val="bottom"/>
          </w:tcPr>
          <w:p>
            <w:pPr>
              <w:spacing w:after="0"/>
              <w:rPr>
                <w:sz w:val="1"/>
                <w:szCs w:val="1"/>
                <w:color w:val="auto"/>
              </w:rPr>
            </w:pPr>
          </w:p>
        </w:tc>
      </w:tr>
      <w:tr>
        <w:trPr>
          <w:trHeight w:val="27"/>
        </w:trPr>
        <w:tc>
          <w:tcPr>
            <w:tcW w:w="3420" w:type="dxa"/>
            <w:vAlign w:val="bottom"/>
            <w:shd w:val="clear" w:color="auto" w:fill="CCEEFF"/>
          </w:tcPr>
          <w:p>
            <w:pPr>
              <w:spacing w:after="0"/>
              <w:rPr>
                <w:sz w:val="2"/>
                <w:szCs w:val="2"/>
                <w:color w:val="auto"/>
              </w:rPr>
            </w:pPr>
          </w:p>
        </w:tc>
        <w:tc>
          <w:tcPr>
            <w:tcW w:w="400" w:type="dxa"/>
            <w:vAlign w:val="bottom"/>
            <w:shd w:val="clear" w:color="auto" w:fill="CCEEFF"/>
          </w:tcPr>
          <w:p>
            <w:pPr>
              <w:spacing w:after="0"/>
              <w:rPr>
                <w:sz w:val="2"/>
                <w:szCs w:val="2"/>
                <w:color w:val="auto"/>
              </w:rPr>
            </w:pPr>
          </w:p>
        </w:tc>
        <w:tc>
          <w:tcPr>
            <w:tcW w:w="880" w:type="dxa"/>
            <w:vAlign w:val="bottom"/>
            <w:shd w:val="clear" w:color="auto" w:fill="CCEEFF"/>
          </w:tcPr>
          <w:p>
            <w:pPr>
              <w:spacing w:after="0"/>
              <w:rPr>
                <w:sz w:val="2"/>
                <w:szCs w:val="2"/>
                <w:color w:val="auto"/>
              </w:rPr>
            </w:pPr>
          </w:p>
        </w:tc>
        <w:tc>
          <w:tcPr>
            <w:tcW w:w="740" w:type="dxa"/>
            <w:vAlign w:val="bottom"/>
            <w:shd w:val="clear" w:color="auto" w:fill="CCEEFF"/>
          </w:tcPr>
          <w:p>
            <w:pPr>
              <w:spacing w:after="0"/>
              <w:rPr>
                <w:sz w:val="2"/>
                <w:szCs w:val="2"/>
                <w:color w:val="auto"/>
              </w:rPr>
            </w:pPr>
          </w:p>
        </w:tc>
        <w:tc>
          <w:tcPr>
            <w:tcW w:w="58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c>
          <w:tcPr>
            <w:tcW w:w="360" w:type="dxa"/>
            <w:vAlign w:val="bottom"/>
            <w:shd w:val="clear" w:color="auto" w:fill="CCEEFF"/>
          </w:tcPr>
          <w:p>
            <w:pPr>
              <w:spacing w:after="0"/>
              <w:rPr>
                <w:sz w:val="2"/>
                <w:szCs w:val="2"/>
                <w:color w:val="auto"/>
              </w:rPr>
            </w:pPr>
          </w:p>
        </w:tc>
        <w:tc>
          <w:tcPr>
            <w:tcW w:w="940" w:type="dxa"/>
            <w:vAlign w:val="bottom"/>
            <w:shd w:val="clear" w:color="auto" w:fill="CCEEFF"/>
          </w:tcPr>
          <w:p>
            <w:pPr>
              <w:spacing w:after="0"/>
              <w:rPr>
                <w:sz w:val="2"/>
                <w:szCs w:val="2"/>
                <w:color w:val="auto"/>
              </w:rPr>
            </w:pPr>
          </w:p>
        </w:tc>
        <w:tc>
          <w:tcPr>
            <w:tcW w:w="720" w:type="dxa"/>
            <w:vAlign w:val="bottom"/>
            <w:shd w:val="clear" w:color="auto" w:fill="CCEEFF"/>
          </w:tcPr>
          <w:p>
            <w:pPr>
              <w:spacing w:after="0"/>
              <w:rPr>
                <w:sz w:val="2"/>
                <w:szCs w:val="2"/>
                <w:color w:val="auto"/>
              </w:rPr>
            </w:pPr>
          </w:p>
        </w:tc>
        <w:tc>
          <w:tcPr>
            <w:tcW w:w="600" w:type="dxa"/>
            <w:vAlign w:val="bottom"/>
            <w:shd w:val="clear" w:color="auto" w:fill="CCEEFF"/>
          </w:tcPr>
          <w:p>
            <w:pPr>
              <w:spacing w:after="0"/>
              <w:rPr>
                <w:sz w:val="2"/>
                <w:szCs w:val="2"/>
                <w:color w:val="auto"/>
              </w:rPr>
            </w:pPr>
          </w:p>
        </w:tc>
        <w:tc>
          <w:tcPr>
            <w:tcW w:w="136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ind w:right="60" w:firstLine="405"/>
        <w:spacing w:after="0" w:line="255" w:lineRule="auto"/>
        <w:rPr>
          <w:sz w:val="20"/>
          <w:szCs w:val="20"/>
          <w:color w:val="auto"/>
        </w:rPr>
      </w:pPr>
      <w:r>
        <w:rPr>
          <w:rFonts w:ascii="Times New Roman" w:cs="Times New Roman" w:eastAsia="Times New Roman" w:hAnsi="Times New Roman"/>
          <w:sz w:val="18"/>
          <w:szCs w:val="18"/>
          <w:color w:val="auto"/>
        </w:rPr>
        <w:t>Our income tax expense for the three months ended November 3, 2018 was $9.3 million compared to tax expense of $6.8 million for the three months ended October 28, 2017. Our income tax expense for the three months ended November 3, 2018 differs from the same period in the prior year primarily as a result of combining our projected Cavium and Marvell results in estimating our annual effective tax rate. With this acquisition, we are projecting significant amounts of pre-tax losses in the U.S. for the current fiscal year for which an income tax benefit will be realized at the U.S. statutory rate of 21%. This projected income tax benefit is in excess of our projected income taxes from other jurisdictions. During the three months ended November 3, 2018, our estimated annual effective tax rate was adjusted requiring us to true up our year to date income tax benefit in the current three month period. The effective tax rate for the three months ended November 3, 2018 and October 28, 2017 differs from the statutory Federal rate of 21% and 35%, respectively, primarily due to non-U.S. earnings that are taxed at a substantially lower tax rate.</w:t>
      </w:r>
    </w:p>
    <w:p>
      <w:pPr>
        <w:spacing w:after="0" w:line="185" w:lineRule="exact"/>
        <w:rPr>
          <w:sz w:val="20"/>
          <w:szCs w:val="20"/>
          <w:color w:val="auto"/>
        </w:rPr>
      </w:pPr>
    </w:p>
    <w:p>
      <w:pPr>
        <w:ind w:firstLine="405"/>
        <w:spacing w:after="0" w:line="255" w:lineRule="auto"/>
        <w:rPr>
          <w:sz w:val="20"/>
          <w:szCs w:val="20"/>
          <w:color w:val="auto"/>
        </w:rPr>
      </w:pPr>
      <w:r>
        <w:rPr>
          <w:rFonts w:ascii="Times New Roman" w:cs="Times New Roman" w:eastAsia="Times New Roman" w:hAnsi="Times New Roman"/>
          <w:sz w:val="18"/>
          <w:szCs w:val="18"/>
          <w:color w:val="auto"/>
        </w:rPr>
        <w:t>Our income tax benefit for the nine months ended November 3, 2018 was $16.9 million compared to tax expense of $8.0 million for the nine months ended October 28, 2017. Our income tax provision for the nine months ended November 3, 2018 differs from the same period in the prior year primarily as a result of combining our projected Cavium and Marvell results. With this acquisition, we are projecting significant amounts of pre-tax losses in the U.S. for the current fiscal year for which an income tax benefit is realized at the U.S. statutory rate of 21%. This income tax benefit is in excess of our projected income taxes from other jurisdictions. As a result, our effective tax rate in the current period reflects a significant consolidated income tax benefit, in addition to the reversal of uncertain tax positions and other prior year tax positions. The effective tax rate for the nine months ended November 3, 2018 and October 28, 2017 differs from the statutory Federal rate of 21% and 35%, respectively, primarily due to non-U.S. earnings that are taxed at a substantially lower tax rate.</w:t>
      </w:r>
    </w:p>
    <w:p>
      <w:pPr>
        <w:spacing w:after="0" w:line="189" w:lineRule="exact"/>
        <w:rPr>
          <w:sz w:val="20"/>
          <w:szCs w:val="20"/>
          <w:color w:val="auto"/>
        </w:rPr>
      </w:pPr>
    </w:p>
    <w:p>
      <w:pPr>
        <w:ind w:right="20" w:firstLine="405"/>
        <w:spacing w:after="0" w:line="256" w:lineRule="auto"/>
        <w:rPr>
          <w:sz w:val="20"/>
          <w:szCs w:val="20"/>
          <w:color w:val="auto"/>
        </w:rPr>
      </w:pPr>
      <w:r>
        <w:rPr>
          <w:rFonts w:ascii="Times New Roman" w:cs="Times New Roman" w:eastAsia="Times New Roman" w:hAnsi="Times New Roman"/>
          <w:sz w:val="18"/>
          <w:szCs w:val="18"/>
          <w:color w:val="auto"/>
        </w:rPr>
        <w:t>Our provision for income taxes may be affected by changes in the geographic mix of earnings with different applicable tax rates,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It is possible that significant negative evidence may become available to reach a conclusion that a valuation allowance will be needed, and as such, we may recognize a valuation allowance in the next 12 months. Additionally, please see the information in "Item 1A: Risk Factors" under the caption "Changes in existing taxation benefits, rules or practices may adversely affect our financial results.”</w:t>
      </w:r>
    </w:p>
    <w:p>
      <w:pPr>
        <w:spacing w:after="0" w:line="200" w:lineRule="exact"/>
        <w:rPr>
          <w:sz w:val="20"/>
          <w:szCs w:val="20"/>
          <w:color w:val="auto"/>
        </w:rPr>
      </w:pPr>
    </w:p>
    <w:p>
      <w:pPr>
        <w:spacing w:after="0" w:line="2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420"/>
          </w:cols>
          <w:pgMar w:left="240" w:top="126" w:right="239" w:bottom="1440" w:gutter="0" w:footer="0" w:header="0"/>
        </w:sectPr>
      </w:pPr>
    </w:p>
    <w:bookmarkStart w:id="37" w:name="page38"/>
    <w:bookmarkEnd w:id="37"/>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4" w:lineRule="exact"/>
        <w:rPr>
          <w:sz w:val="20"/>
          <w:szCs w:val="20"/>
          <w:color w:val="auto"/>
        </w:rPr>
      </w:pPr>
    </w:p>
    <w:p>
      <w:pPr>
        <w:ind w:firstLine="405"/>
        <w:spacing w:after="0" w:line="254" w:lineRule="auto"/>
        <w:rPr>
          <w:sz w:val="20"/>
          <w:szCs w:val="20"/>
          <w:color w:val="auto"/>
        </w:rPr>
      </w:pPr>
      <w:r>
        <w:rPr>
          <w:rFonts w:ascii="Times New Roman" w:cs="Times New Roman" w:eastAsia="Times New Roman" w:hAnsi="Times New Roman"/>
          <w:sz w:val="18"/>
          <w:szCs w:val="18"/>
          <w:color w:val="auto"/>
        </w:rPr>
        <w:t>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The 2017 Tax Act also enhanced and extended through 2026 the option to claim accelerated depreciation deductions on qualified property. We have not completed our determination of the accounting implications of the 2017 Tax Act on our tax accruals. However, we reasonably estimated the effects of the 2017 Tax Act and recorded provisional amounts in our financial statements as of February 3, 2018. There were no additional adjustments made to these amounts in the three or nine month period ended November 3, 2018. As we continue our analysis of the 2017 Tax Act, collect and prepare necessary data, and interpret any additional guidance issued by the U.S. Treasury Department, the IRS, and other standard-setting bodies, we may make adjustments to the provisional amounts. Those adjustments may materially impact our provision for income taxes in the period in which the adjustments are made.</w:t>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Liquidity and Capital Resources</w:t>
      </w:r>
    </w:p>
    <w:p>
      <w:pPr>
        <w:spacing w:after="0" w:line="94" w:lineRule="exact"/>
        <w:rPr>
          <w:sz w:val="20"/>
          <w:szCs w:val="20"/>
          <w:color w:val="auto"/>
        </w:rPr>
      </w:pPr>
    </w:p>
    <w:p>
      <w:pPr>
        <w:ind w:right="40" w:firstLine="405"/>
        <w:spacing w:after="0" w:line="256" w:lineRule="auto"/>
        <w:rPr>
          <w:sz w:val="20"/>
          <w:szCs w:val="20"/>
          <w:color w:val="auto"/>
        </w:rPr>
      </w:pPr>
      <w:r>
        <w:rPr>
          <w:rFonts w:ascii="Times New Roman" w:cs="Times New Roman" w:eastAsia="Times New Roman" w:hAnsi="Times New Roman"/>
          <w:sz w:val="18"/>
          <w:szCs w:val="18"/>
          <w:color w:val="auto"/>
        </w:rPr>
        <w:t>Our principal source of liquidity as of November 3, 2018 consisted of approximately $610 million of cash, cash equivalents and short-term investments, of which approximately $550 million was held by subsidiaries outside of Bermuda. We have not recognized a deferred tax liability on $440 million of the excess financial reporting basis over the tax basis of investments in foreign subsidiaries outside of Bermuda that is indefinitely reinvested. We plan to use such amounts to fund various activities outside of Bermuda, including working capital requirements, capital expenditures for expansion, funding of future acquisitions or other financing activities. If such amounts were no longer considered indefinitely reinvested, we would incur a tax expense of approximately $120 million.</w:t>
      </w:r>
    </w:p>
    <w:p>
      <w:pPr>
        <w:spacing w:after="0" w:line="53" w:lineRule="exact"/>
        <w:rPr>
          <w:sz w:val="20"/>
          <w:szCs w:val="20"/>
          <w:color w:val="auto"/>
        </w:rPr>
      </w:pPr>
    </w:p>
    <w:p>
      <w:pPr>
        <w:ind w:right="260" w:firstLine="405"/>
        <w:spacing w:after="0" w:line="266" w:lineRule="auto"/>
        <w:rPr>
          <w:sz w:val="20"/>
          <w:szCs w:val="20"/>
          <w:color w:val="auto"/>
        </w:rPr>
      </w:pPr>
      <w:r>
        <w:rPr>
          <w:rFonts w:ascii="Times New Roman" w:cs="Times New Roman" w:eastAsia="Times New Roman" w:hAnsi="Times New Roman"/>
          <w:sz w:val="18"/>
          <w:szCs w:val="18"/>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which was undrawn as of November 3, 2018. See “Note 10 - Debt” for further information.</w:t>
      </w:r>
    </w:p>
    <w:p>
      <w:pPr>
        <w:spacing w:after="0" w:line="68" w:lineRule="exact"/>
        <w:rPr>
          <w:sz w:val="20"/>
          <w:szCs w:val="20"/>
          <w:color w:val="auto"/>
        </w:rPr>
      </w:pPr>
    </w:p>
    <w:p>
      <w:pPr>
        <w:ind w:right="60" w:firstLine="405"/>
        <w:spacing w:after="0" w:line="254" w:lineRule="auto"/>
        <w:rPr>
          <w:sz w:val="20"/>
          <w:szCs w:val="20"/>
          <w:color w:val="auto"/>
        </w:rPr>
      </w:pPr>
      <w:r>
        <w:rPr>
          <w:rFonts w:ascii="Times New Roman" w:cs="Times New Roman" w:eastAsia="Times New Roman" w:hAnsi="Times New Roman"/>
          <w:sz w:val="18"/>
          <w:szCs w:val="18"/>
          <w:color w:val="auto"/>
        </w:rPr>
        <w:t xml:space="preserve">We believe that our existing cash, cash equivalents and short-term investments,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have been named as defendants in several litigation actions and an unfavorable outcome in any current litigation matter could have a material adverse effect on our liquidity, cash flows and results of operations. For a discussion of litigation related risks, see Part II, Item 1A, "Risk Factors," including the risk detailed under the caption </w:t>
      </w:r>
      <w:r>
        <w:rPr>
          <w:rFonts w:ascii="Times New Roman" w:cs="Times New Roman" w:eastAsia="Times New Roman" w:hAnsi="Times New Roman"/>
          <w:sz w:val="18"/>
          <w:szCs w:val="18"/>
          <w:i w:val="1"/>
          <w:iCs w:val="1"/>
          <w:color w:val="auto"/>
        </w:rPr>
        <w:t>"We have been named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78" w:lineRule="exact"/>
        <w:rPr>
          <w:sz w:val="20"/>
          <w:szCs w:val="20"/>
          <w:color w:val="auto"/>
        </w:rPr>
      </w:pPr>
    </w:p>
    <w:p>
      <w:pPr>
        <w:ind w:right="140" w:firstLine="405"/>
        <w:spacing w:after="0" w:line="256" w:lineRule="auto"/>
        <w:rPr>
          <w:sz w:val="20"/>
          <w:szCs w:val="20"/>
          <w:color w:val="auto"/>
        </w:rPr>
      </w:pPr>
      <w:r>
        <w:rPr>
          <w:rFonts w:ascii="Times New Roman" w:cs="Times New Roman" w:eastAsia="Times New Roman" w:hAnsi="Times New Roman"/>
          <w:sz w:val="18"/>
          <w:szCs w:val="18"/>
          <w:color w:val="auto"/>
        </w:rPr>
        <w:t>To the extent that our existing cash, cash equivalents and short-term investments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188" w:lineRule="exact"/>
        <w:rPr>
          <w:sz w:val="20"/>
          <w:szCs w:val="20"/>
          <w:color w:val="auto"/>
        </w:rPr>
      </w:pPr>
    </w:p>
    <w:p>
      <w:pPr>
        <w:ind w:right="60" w:firstLine="405"/>
        <w:spacing w:after="0" w:line="258" w:lineRule="auto"/>
        <w:rPr>
          <w:sz w:val="20"/>
          <w:szCs w:val="20"/>
          <w:color w:val="auto"/>
        </w:rPr>
      </w:pPr>
      <w:r>
        <w:rPr>
          <w:rFonts w:ascii="Times New Roman" w:cs="Times New Roman" w:eastAsia="Times New Roman" w:hAnsi="Times New Roman"/>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w:t>
      </w:r>
    </w:p>
    <w:p>
      <w:pPr>
        <w:spacing w:after="0" w:line="21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420"/>
          </w:cols>
          <w:pgMar w:left="240" w:top="126" w:right="239" w:bottom="1440" w:gutter="0" w:footer="0" w:header="0"/>
        </w:sectPr>
      </w:pPr>
    </w:p>
    <w:bookmarkStart w:id="38" w:name="page39"/>
    <w:bookmarkEnd w:id="38"/>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Cash Flows from Operating Activities</w:t>
      </w:r>
    </w:p>
    <w:p>
      <w:pPr>
        <w:spacing w:after="0" w:line="94" w:lineRule="exact"/>
        <w:rPr>
          <w:sz w:val="20"/>
          <w:szCs w:val="20"/>
          <w:color w:val="auto"/>
        </w:rPr>
      </w:pPr>
    </w:p>
    <w:p>
      <w:pPr>
        <w:ind w:firstLine="405"/>
        <w:spacing w:after="0" w:line="254" w:lineRule="auto"/>
        <w:rPr>
          <w:sz w:val="20"/>
          <w:szCs w:val="20"/>
          <w:color w:val="auto"/>
        </w:rPr>
      </w:pPr>
      <w:r>
        <w:rPr>
          <w:rFonts w:ascii="Times New Roman" w:cs="Times New Roman" w:eastAsia="Times New Roman" w:hAnsi="Times New Roman"/>
          <w:sz w:val="18"/>
          <w:szCs w:val="18"/>
          <w:color w:val="auto"/>
        </w:rPr>
        <w:t>Net cash flow provided by operating activities for the nine months ended November 3, 2018 was $490.1 million. We had net income of $81.6 million, adjusted for the following non-cash items: share-based compensation expense of $133.5 million, amortization of inventory fair value adjustment associated with the acquisition of Cavium of $125.8 million, amortization of acquired intangible assets of $104.6 million, depreciation and amortization of $86.4 million, a non-cash gain on deferred income taxes of $27.7 million, restructuring related impairment charges of $11.9 million, amortization of deferred debt issuance costs and debt discounts of $9.3 million, and $5.4 million net loss from other non-cash items. Cash outflow from working capital of $40.6 million for the nine months ended November 3, 2018 was primarily driven by an increase in accounts receivable and a decrease in accrued compensation, partially offset by an increase in accrued liabilities. The increase in accounts receivable was driven primarily by an increase in sales. The decrease in accrued compensation was mainly driven by a decrease in our bonus accrual due to our annual bonus payout during the nine months ended November 3, 2018. The increase in accrued liabilities is primarily due to an increase in interest accrual related to debt, an increase in restructuring liabilities, as well as an increase in revenue-related liabilities</w:t>
      </w:r>
    </w:p>
    <w:p>
      <w:pPr>
        <w:spacing w:after="0" w:line="267" w:lineRule="exact"/>
        <w:rPr>
          <w:sz w:val="20"/>
          <w:szCs w:val="20"/>
          <w:color w:val="auto"/>
        </w:rPr>
      </w:pPr>
    </w:p>
    <w:p>
      <w:pPr>
        <w:ind w:right="240" w:firstLine="378"/>
        <w:spacing w:after="0" w:line="255" w:lineRule="auto"/>
        <w:rPr>
          <w:sz w:val="20"/>
          <w:szCs w:val="20"/>
          <w:color w:val="auto"/>
        </w:rPr>
      </w:pPr>
      <w:r>
        <w:rPr>
          <w:rFonts w:ascii="Times New Roman" w:cs="Times New Roman" w:eastAsia="Times New Roman" w:hAnsi="Times New Roman"/>
          <w:sz w:val="18"/>
          <w:szCs w:val="18"/>
          <w:color w:val="auto"/>
        </w:rPr>
        <w:t>Net cash flow provided by operating activities for the nine months ended October 28, 2017 was $451.4 million. We had $472.1 million of net income, adjusted for $38.8 million of non-cash items, which was primarily driven by gain on the sales of discontinued operations and businesses of $93.7 million, share-based compensation expense of $65.3 million, and depreciation and amortization of $62.6 million. The cash outflow from working capital of $59.5 million for the nine months ended October 28, 2017 was primarily driven by increases in accounts receivable and inventory and a decrease in accrued liabilities. This outflow was partially offset by an increase in accounts payable and a decrease in prepaid expenses and other current assets. The increase in accounts receivable was driven primarily by the increase in revenue. The increase in inventory is associated with the build up of inventory related to our networking and storage products in preparation for next quarter's demand. The decrease in accrued liabilities was driven by a reduction of accruals for restructuring expenses and rebates. The increase in accounts payable was due to additional amounts owed for assembly and test services.</w:t>
      </w:r>
    </w:p>
    <w:p>
      <w:pPr>
        <w:spacing w:after="0" w:line="20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Cash Flows from Investing Activities</w:t>
      </w:r>
    </w:p>
    <w:p>
      <w:pPr>
        <w:spacing w:after="0" w:line="94" w:lineRule="exact"/>
        <w:rPr>
          <w:sz w:val="20"/>
          <w:szCs w:val="20"/>
          <w:color w:val="auto"/>
        </w:rPr>
      </w:pPr>
    </w:p>
    <w:p>
      <w:pPr>
        <w:jc w:val="both"/>
        <w:ind w:right="280" w:firstLine="405"/>
        <w:spacing w:after="0" w:line="261" w:lineRule="auto"/>
        <w:rPr>
          <w:sz w:val="20"/>
          <w:szCs w:val="20"/>
          <w:color w:val="auto"/>
        </w:rPr>
      </w:pPr>
      <w:r>
        <w:rPr>
          <w:rFonts w:ascii="Times New Roman" w:cs="Times New Roman" w:eastAsia="Times New Roman" w:hAnsi="Times New Roman"/>
          <w:sz w:val="18"/>
          <w:szCs w:val="18"/>
          <w:color w:val="auto"/>
        </w:rPr>
        <w:t>Net cash flow used in investing activities was $1.8 billion for the nine months ended November 3, 2018 compared to net cash provided by investing activities of $63.0 million for the nine months ended October 28, 2017. For the nine months ended November 3, 2018, net cash used in investing activities was primarily driven by net cash paid to acquire Cavium of $2.6 billion, partially offset by proceeds for sales and maturities of available-for sale securities and time deposits of $986.9 million.</w:t>
      </w:r>
    </w:p>
    <w:p>
      <w:pPr>
        <w:spacing w:after="0" w:line="261" w:lineRule="exact"/>
        <w:rPr>
          <w:sz w:val="20"/>
          <w:szCs w:val="20"/>
          <w:color w:val="auto"/>
        </w:rPr>
      </w:pPr>
    </w:p>
    <w:p>
      <w:pPr>
        <w:ind w:right="220" w:firstLine="378"/>
        <w:spacing w:after="0" w:line="266" w:lineRule="auto"/>
        <w:rPr>
          <w:sz w:val="20"/>
          <w:szCs w:val="20"/>
          <w:color w:val="auto"/>
        </w:rPr>
      </w:pPr>
      <w:r>
        <w:rPr>
          <w:rFonts w:ascii="Times New Roman" w:cs="Times New Roman" w:eastAsia="Times New Roman" w:hAnsi="Times New Roman"/>
          <w:sz w:val="18"/>
          <w:szCs w:val="18"/>
          <w:color w:val="auto"/>
        </w:rPr>
        <w:t>For the nine months ended October 28, 2017, net cash provided by investing activities of $63.0 million was primarily driven by purchase of available-for-sale securities of $672.9 million, partially offset by sales and maturities of available-for-sale securities of $589.9 million and net proceeds of $165.9 million from the sale of our Broadband, Multimedia, and LTE thin-modem businesses.</w:t>
      </w:r>
    </w:p>
    <w:p>
      <w:pPr>
        <w:spacing w:after="0" w:line="19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Cash Flows from Financing Activities</w:t>
      </w:r>
    </w:p>
    <w:p>
      <w:pPr>
        <w:spacing w:after="0" w:line="94" w:lineRule="exact"/>
        <w:rPr>
          <w:sz w:val="20"/>
          <w:szCs w:val="20"/>
          <w:color w:val="auto"/>
        </w:rPr>
      </w:pPr>
    </w:p>
    <w:p>
      <w:pPr>
        <w:ind w:right="200" w:firstLine="405"/>
        <w:spacing w:after="0" w:line="266" w:lineRule="auto"/>
        <w:rPr>
          <w:sz w:val="20"/>
          <w:szCs w:val="20"/>
          <w:color w:val="auto"/>
        </w:rPr>
      </w:pPr>
      <w:r>
        <w:rPr>
          <w:rFonts w:ascii="Times New Roman" w:cs="Times New Roman" w:eastAsia="Times New Roman" w:hAnsi="Times New Roman"/>
          <w:sz w:val="18"/>
          <w:szCs w:val="18"/>
          <w:color w:val="auto"/>
        </w:rPr>
        <w:t>For the nine months ended November 3, 2018, net cash provided by financing activities of $1.0 billion was primarily attributable to $1.9 billion proceeds from issuance of debt and $60.8 million proceeds from employee stock plans, partially offset by $681.1 million repayment of debt, $108.6 million for payment of our quarterly dividends, $52.5 million payments for technology license obligations, and $54.0 million for repurchases of our common stock.</w:t>
      </w:r>
    </w:p>
    <w:p>
      <w:pPr>
        <w:spacing w:after="0" w:line="176" w:lineRule="exact"/>
        <w:rPr>
          <w:sz w:val="20"/>
          <w:szCs w:val="20"/>
          <w:color w:val="auto"/>
        </w:rPr>
      </w:pPr>
    </w:p>
    <w:p>
      <w:pPr>
        <w:ind w:right="140" w:firstLine="378"/>
        <w:spacing w:after="0" w:line="266" w:lineRule="auto"/>
        <w:rPr>
          <w:sz w:val="20"/>
          <w:szCs w:val="20"/>
          <w:color w:val="auto"/>
        </w:rPr>
      </w:pPr>
      <w:r>
        <w:rPr>
          <w:rFonts w:ascii="Times New Roman" w:cs="Times New Roman" w:eastAsia="Times New Roman" w:hAnsi="Times New Roman"/>
          <w:sz w:val="18"/>
          <w:szCs w:val="18"/>
          <w:color w:val="auto"/>
        </w:rPr>
        <w:t>For the nine months ended October 28, 2017, net cash used in financing activities of $528.3 million was primarily attributable to $527.6 million for repurchases of our common stock, $89.6 million for payment of our quarterly dividends, and $25.9 million minimum tax withholding payments on behalf of employees for net share settlements. These outflows were partially offset by proceeds of $137.4 million from employee stock plans.</w:t>
      </w:r>
    </w:p>
    <w:p>
      <w:pPr>
        <w:spacing w:after="0" w:line="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Contractual Obligations and Commitments</w:t>
      </w:r>
    </w:p>
    <w:p>
      <w:pPr>
        <w:spacing w:after="0" w:line="94" w:lineRule="exact"/>
        <w:rPr>
          <w:sz w:val="20"/>
          <w:szCs w:val="20"/>
          <w:color w:val="auto"/>
        </w:rPr>
      </w:pPr>
    </w:p>
    <w:p>
      <w:pPr>
        <w:ind w:right="220" w:firstLine="486"/>
        <w:spacing w:after="0" w:line="282" w:lineRule="auto"/>
        <w:rPr>
          <w:sz w:val="20"/>
          <w:szCs w:val="20"/>
          <w:color w:val="auto"/>
        </w:rPr>
      </w:pPr>
      <w:r>
        <w:rPr>
          <w:rFonts w:ascii="Times New Roman" w:cs="Times New Roman" w:eastAsia="Times New Roman" w:hAnsi="Times New Roman"/>
          <w:sz w:val="18"/>
          <w:szCs w:val="18"/>
          <w:color w:val="auto"/>
        </w:rPr>
        <w:t>We presented our contractual obligations at August 4, 2018 in our Quarterly Report on Form 10-Q for the fiscal quarter then ended. There have been no material changes outside the ordinary course of business in those obligations during the three months ended November 3, 2018.</w:t>
      </w:r>
    </w:p>
    <w:p>
      <w:pPr>
        <w:spacing w:after="0" w:line="200" w:lineRule="exact"/>
        <w:rPr>
          <w:sz w:val="20"/>
          <w:szCs w:val="20"/>
          <w:color w:val="auto"/>
        </w:rPr>
      </w:pPr>
    </w:p>
    <w:p>
      <w:pPr>
        <w:spacing w:after="0" w:line="36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420"/>
          </w:cols>
          <w:pgMar w:left="240" w:top="126" w:right="239" w:bottom="1440" w:gutter="0" w:footer="0" w:header="0"/>
        </w:sectPr>
      </w:pPr>
    </w:p>
    <w:bookmarkStart w:id="39" w:name="page40"/>
    <w:bookmarkEnd w:id="39"/>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Indemnification Obligations</w:t>
      </w:r>
    </w:p>
    <w:p>
      <w:pPr>
        <w:spacing w:after="0" w:line="94" w:lineRule="exact"/>
        <w:rPr>
          <w:sz w:val="20"/>
          <w:szCs w:val="20"/>
          <w:color w:val="auto"/>
        </w:rPr>
      </w:pPr>
    </w:p>
    <w:p>
      <w:pPr>
        <w:ind w:firstLine="405"/>
        <w:spacing w:after="0" w:line="282" w:lineRule="auto"/>
        <w:rPr>
          <w:sz w:val="20"/>
          <w:szCs w:val="20"/>
          <w:color w:val="auto"/>
        </w:rPr>
      </w:pPr>
      <w:r>
        <w:rPr>
          <w:rFonts w:ascii="Times New Roman" w:cs="Times New Roman" w:eastAsia="Times New Roman" w:hAnsi="Times New Roman"/>
          <w:sz w:val="18"/>
          <w:szCs w:val="18"/>
          <w:color w:val="auto"/>
        </w:rPr>
        <w:t>See “Note 11 – Commitments and Contingencies” in the Notes to the Unaudited Condensed Consolidated Financial Statements set forth in Part I, Item 1 of this Quarterly Report on Form 10-Q.</w:t>
      </w:r>
    </w:p>
    <w:p>
      <w:pPr>
        <w:spacing w:after="0" w:line="18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400"/>
          </w:cols>
          <w:pgMar w:left="240" w:top="126" w:right="259" w:bottom="1440" w:gutter="0" w:footer="0" w:header="0"/>
        </w:sectPr>
      </w:pPr>
    </w:p>
    <w:bookmarkStart w:id="40" w:name="page41"/>
    <w:bookmarkEnd w:id="40"/>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3. </w:t>
      </w:r>
      <w:r>
        <w:rPr>
          <w:rFonts w:ascii="Times New Roman" w:cs="Times New Roman" w:eastAsia="Times New Roman" w:hAnsi="Times New Roman"/>
          <w:sz w:val="18"/>
          <w:szCs w:val="18"/>
          <w:b w:val="1"/>
          <w:bCs w:val="1"/>
          <w:i w:val="1"/>
          <w:iCs w:val="1"/>
          <w:color w:val="auto"/>
        </w:rPr>
        <w:t>Quantitative and Qualitative Disclosures About Market Risk</w:t>
      </w:r>
    </w:p>
    <w:p>
      <w:pPr>
        <w:spacing w:after="0" w:line="92" w:lineRule="exact"/>
        <w:rPr>
          <w:sz w:val="20"/>
          <w:szCs w:val="20"/>
          <w:color w:val="auto"/>
        </w:rPr>
      </w:pPr>
    </w:p>
    <w:p>
      <w:pPr>
        <w:ind w:right="320" w:firstLine="405"/>
        <w:spacing w:after="0" w:line="261" w:lineRule="auto"/>
        <w:rPr>
          <w:sz w:val="20"/>
          <w:szCs w:val="20"/>
          <w:color w:val="auto"/>
        </w:rPr>
      </w:pPr>
      <w:r>
        <w:rPr>
          <w:rFonts w:ascii="Times New Roman" w:cs="Times New Roman" w:eastAsia="Times New Roman" w:hAnsi="Times New Roman"/>
          <w:sz w:val="18"/>
          <w:szCs w:val="18"/>
          <w:i w:val="1"/>
          <w:iCs w:val="1"/>
          <w:color w:val="auto"/>
        </w:rPr>
        <w:t>Interest Rate Risk</w:t>
      </w:r>
      <w:r>
        <w:rPr>
          <w:rFonts w:ascii="Times New Roman" w:cs="Times New Roman" w:eastAsia="Times New Roman" w:hAnsi="Times New Roman"/>
          <w:sz w:val="18"/>
          <w:szCs w:val="18"/>
          <w:color w:val="auto"/>
        </w:rPr>
        <w:t>. With our outstanding debt following our acquisition of Cavium, we are exposed to various forms of market risk, including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potential losses arising from adverse changes in interest rates on our outstanding Term Loan. See “Note 10 - Debt” for further information. A hypothetical increase or decrease in the interest rate by 1% would result in an increase or decrease in annual interest expense by approximately $3.6 million to $8.3 million.</w:t>
      </w:r>
    </w:p>
    <w:p>
      <w:pPr>
        <w:spacing w:after="0" w:line="47" w:lineRule="exact"/>
        <w:rPr>
          <w:sz w:val="20"/>
          <w:szCs w:val="20"/>
          <w:color w:val="auto"/>
        </w:rPr>
      </w:pPr>
    </w:p>
    <w:p>
      <w:pPr>
        <w:ind w:right="40" w:firstLine="405"/>
        <w:spacing w:after="0" w:line="255" w:lineRule="auto"/>
        <w:rPr>
          <w:sz w:val="20"/>
          <w:szCs w:val="20"/>
          <w:color w:val="auto"/>
        </w:rPr>
      </w:pPr>
      <w:r>
        <w:rPr>
          <w:rFonts w:ascii="Times New Roman" w:cs="Times New Roman" w:eastAsia="Times New Roman" w:hAnsi="Times New Roman"/>
          <w:sz w:val="18"/>
          <w:szCs w:val="18"/>
          <w:color w:val="auto"/>
        </w:rPr>
        <w:t>We maintain an investment policy that requires minimum credit ratings, diversification of credit risk and limits the long-term interest rate risk by requiring effective maturities of generally less than five years. We invest our excess cash in highly liquid and highly rated debt instruments of the U.S. government and its agencies, money market mutual funds, asset backed securities,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statements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At November 3, 2018, our investment portfolio balance was $0.</w:t>
      </w:r>
    </w:p>
    <w:p>
      <w:pPr>
        <w:spacing w:after="0" w:line="183" w:lineRule="exact"/>
        <w:rPr>
          <w:sz w:val="20"/>
          <w:szCs w:val="20"/>
          <w:color w:val="auto"/>
        </w:rPr>
      </w:pPr>
    </w:p>
    <w:p>
      <w:pPr>
        <w:ind w:right="20" w:firstLine="378"/>
        <w:spacing w:after="0" w:line="254" w:lineRule="auto"/>
        <w:rPr>
          <w:sz w:val="20"/>
          <w:szCs w:val="20"/>
          <w:color w:val="auto"/>
        </w:rPr>
      </w:pPr>
      <w:r>
        <w:rPr>
          <w:rFonts w:ascii="Times New Roman" w:cs="Times New Roman" w:eastAsia="Times New Roman" w:hAnsi="Times New Roman"/>
          <w:sz w:val="18"/>
          <w:szCs w:val="18"/>
          <w:i w:val="1"/>
          <w:iCs w:val="1"/>
          <w:color w:val="auto"/>
        </w:rPr>
        <w:t>Foreign Currency Exchange Risk</w:t>
      </w:r>
      <w:r>
        <w:rPr>
          <w:rFonts w:ascii="Times New Roman" w:cs="Times New Roman" w:eastAsia="Times New Roman" w:hAnsi="Times New Roman"/>
          <w:sz w:val="18"/>
          <w:szCs w:val="18"/>
          <w:color w:val="auto"/>
        </w:rPr>
        <w:t>. All of our sales and the majority of our expenses are denominated in U.S. dollars. Since we operate in many countries,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91" w:lineRule="exact"/>
        <w:rPr>
          <w:sz w:val="20"/>
          <w:szCs w:val="20"/>
          <w:color w:val="auto"/>
        </w:rPr>
      </w:pPr>
    </w:p>
    <w:p>
      <w:pPr>
        <w:ind w:firstLine="378"/>
        <w:spacing w:after="0" w:line="261" w:lineRule="auto"/>
        <w:rPr>
          <w:sz w:val="20"/>
          <w:szCs w:val="20"/>
          <w:color w:val="auto"/>
        </w:rPr>
      </w:pPr>
      <w:r>
        <w:rPr>
          <w:rFonts w:ascii="Times New Roman" w:cs="Times New Roman" w:eastAsia="Times New Roman" w:hAnsi="Times New Roman"/>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180" w:lineRule="exact"/>
        <w:rPr>
          <w:sz w:val="20"/>
          <w:szCs w:val="20"/>
          <w:color w:val="auto"/>
        </w:rPr>
      </w:pPr>
    </w:p>
    <w:p>
      <w:pPr>
        <w:jc w:val="both"/>
        <w:ind w:right="40" w:firstLine="378"/>
        <w:spacing w:after="0" w:line="266" w:lineRule="auto"/>
        <w:rPr>
          <w:sz w:val="20"/>
          <w:szCs w:val="20"/>
          <w:color w:val="auto"/>
        </w:rPr>
      </w:pPr>
      <w:r>
        <w:rPr>
          <w:rFonts w:ascii="Times New Roman" w:cs="Times New Roman" w:eastAsia="Times New Roman" w:hAnsi="Times New Roman"/>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4. </w:t>
      </w:r>
      <w:r>
        <w:rPr>
          <w:rFonts w:ascii="Times New Roman" w:cs="Times New Roman" w:eastAsia="Times New Roman" w:hAnsi="Times New Roman"/>
          <w:sz w:val="18"/>
          <w:szCs w:val="18"/>
          <w:b w:val="1"/>
          <w:bCs w:val="1"/>
          <w:i w:val="1"/>
          <w:iCs w:val="1"/>
          <w:color w:val="auto"/>
        </w:rPr>
        <w:t>Controls and Procedures</w:t>
      </w:r>
    </w:p>
    <w:p>
      <w:pPr>
        <w:spacing w:after="0" w:line="14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Management’s Evaluation of Disclosure Controls and Procedures</w:t>
      </w:r>
    </w:p>
    <w:p>
      <w:pPr>
        <w:spacing w:after="0" w:line="229" w:lineRule="exact"/>
        <w:rPr>
          <w:sz w:val="20"/>
          <w:szCs w:val="20"/>
          <w:color w:val="auto"/>
        </w:rPr>
      </w:pPr>
    </w:p>
    <w:p>
      <w:pPr>
        <w:ind w:right="20" w:firstLine="648"/>
        <w:spacing w:after="0" w:line="256" w:lineRule="auto"/>
        <w:rPr>
          <w:sz w:val="20"/>
          <w:szCs w:val="20"/>
          <w:color w:val="auto"/>
        </w:rPr>
      </w:pPr>
      <w:r>
        <w:rPr>
          <w:rFonts w:ascii="Times New Roman" w:cs="Times New Roman" w:eastAsia="Times New Roman" w:hAnsi="Times New Roman"/>
          <w:sz w:val="18"/>
          <w:szCs w:val="18"/>
          <w:color w:val="auto"/>
        </w:rPr>
        <w:t>Our management, with the participation of our principal executive officer and our principal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Chief Financial Officer, as appropriate, to allow timely decisions regarding required disclosure. Based on this evaluation, our principal executive officer and our principal financial officer concluded that, as of November 3, 2018, our disclosure controls and procedures were effective.</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Changes in Internal Control Over Financial Reporting</w:t>
      </w:r>
    </w:p>
    <w:p>
      <w:pPr>
        <w:spacing w:after="0" w:line="229" w:lineRule="exact"/>
        <w:rPr>
          <w:sz w:val="20"/>
          <w:szCs w:val="20"/>
          <w:color w:val="auto"/>
        </w:rPr>
      </w:pPr>
    </w:p>
    <w:p>
      <w:pPr>
        <w:ind w:right="260" w:firstLine="648"/>
        <w:spacing w:after="0" w:line="282" w:lineRule="auto"/>
        <w:rPr>
          <w:sz w:val="20"/>
          <w:szCs w:val="20"/>
          <w:color w:val="auto"/>
        </w:rPr>
      </w:pPr>
      <w:r>
        <w:rPr>
          <w:rFonts w:ascii="Times New Roman" w:cs="Times New Roman" w:eastAsia="Times New Roman" w:hAnsi="Times New Roman"/>
          <w:sz w:val="18"/>
          <w:szCs w:val="18"/>
          <w:color w:val="auto"/>
        </w:rPr>
        <w:t>There have been no changes in our internal control over financial reporting during the three months ended November 3, 2018 that have materially affected, or are reasonably likely to materially affect, our internal control over financial reporting.</w:t>
      </w: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1420"/>
          </w:cols>
          <w:pgMar w:left="240" w:top="126" w:right="239" w:bottom="1440" w:gutter="0" w:footer="0" w:header="0"/>
        </w:sectPr>
      </w:pPr>
    </w:p>
    <w:bookmarkStart w:id="41" w:name="page42"/>
    <w:bookmarkEnd w:id="41"/>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Limitation on Effectiveness of Controls</w:t>
      </w:r>
    </w:p>
    <w:p>
      <w:pPr>
        <w:spacing w:after="0" w:line="202" w:lineRule="exact"/>
        <w:rPr>
          <w:sz w:val="20"/>
          <w:szCs w:val="20"/>
          <w:color w:val="auto"/>
        </w:rPr>
      </w:pPr>
    </w:p>
    <w:p>
      <w:pPr>
        <w:ind w:firstLine="648"/>
        <w:spacing w:after="0" w:line="254" w:lineRule="auto"/>
        <w:rPr>
          <w:sz w:val="20"/>
          <w:szCs w:val="20"/>
          <w:color w:val="auto"/>
        </w:rPr>
      </w:pPr>
      <w:r>
        <w:rPr>
          <w:rFonts w:ascii="Times New Roman" w:cs="Times New Roman" w:eastAsia="Times New Roman" w:hAnsi="Times New Roman"/>
          <w:sz w:val="18"/>
          <w:szCs w:val="18"/>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1420"/>
          </w:cols>
          <w:pgMar w:left="240" w:top="126" w:right="239" w:bottom="1440" w:gutter="0" w:footer="0" w:header="0"/>
        </w:sectPr>
      </w:pPr>
    </w:p>
    <w:bookmarkStart w:id="42" w:name="page43"/>
    <w:bookmarkEnd w:id="42"/>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 </w:t>
      </w:r>
      <w:r>
        <w:rPr>
          <w:rFonts w:ascii="Times New Roman" w:cs="Times New Roman" w:eastAsia="Times New Roman" w:hAnsi="Times New Roman"/>
          <w:sz w:val="18"/>
          <w:szCs w:val="18"/>
          <w:b w:val="1"/>
          <w:bCs w:val="1"/>
          <w:i w:val="1"/>
          <w:iCs w:val="1"/>
          <w:color w:val="auto"/>
        </w:rPr>
        <w:t>Legal Proceedings</w:t>
      </w:r>
    </w:p>
    <w:p>
      <w:pPr>
        <w:spacing w:after="0" w:line="94" w:lineRule="exact"/>
        <w:rPr>
          <w:sz w:val="20"/>
          <w:szCs w:val="20"/>
          <w:color w:val="auto"/>
        </w:rPr>
      </w:pPr>
    </w:p>
    <w:p>
      <w:pPr>
        <w:ind w:right="160" w:firstLine="405"/>
        <w:spacing w:after="0" w:line="266" w:lineRule="auto"/>
        <w:rPr>
          <w:sz w:val="20"/>
          <w:szCs w:val="20"/>
          <w:color w:val="auto"/>
        </w:rPr>
      </w:pPr>
      <w:r>
        <w:rPr>
          <w:rFonts w:ascii="Times New Roman" w:cs="Times New Roman" w:eastAsia="Times New Roman" w:hAnsi="Times New Roman"/>
          <w:sz w:val="18"/>
          <w:szCs w:val="18"/>
          <w:color w:val="auto"/>
        </w:rPr>
        <w:t>The information under the caption “Contingencies” as set forth in “Note 11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3" w:lineRule="exact"/>
        <w:rPr>
          <w:sz w:val="20"/>
          <w:szCs w:val="20"/>
          <w:color w:val="auto"/>
        </w:rPr>
      </w:pPr>
    </w:p>
    <w:p>
      <w:pPr>
        <w:spacing w:after="0"/>
        <w:tabs>
          <w:tab w:leader="none" w:pos="840" w:val="left"/>
        </w:tabs>
        <w:rPr>
          <w:sz w:val="20"/>
          <w:szCs w:val="20"/>
          <w:color w:val="auto"/>
        </w:rPr>
      </w:pPr>
      <w:r>
        <w:rPr>
          <w:rFonts w:ascii="Times New Roman" w:cs="Times New Roman" w:eastAsia="Times New Roman" w:hAnsi="Times New Roman"/>
          <w:sz w:val="18"/>
          <w:szCs w:val="18"/>
          <w:b w:val="1"/>
          <w:bCs w:val="1"/>
          <w:color w:val="auto"/>
        </w:rPr>
        <w:t>Item 1A.</w:t>
      </w:r>
      <w:r>
        <w:rPr>
          <w:sz w:val="20"/>
          <w:szCs w:val="20"/>
          <w:color w:val="auto"/>
        </w:rPr>
        <w:tab/>
      </w:r>
      <w:r>
        <w:rPr>
          <w:rFonts w:ascii="Times New Roman" w:cs="Times New Roman" w:eastAsia="Times New Roman" w:hAnsi="Times New Roman"/>
          <w:sz w:val="17"/>
          <w:szCs w:val="17"/>
          <w:b w:val="1"/>
          <w:bCs w:val="1"/>
          <w:i w:val="1"/>
          <w:iCs w:val="1"/>
          <w:color w:val="auto"/>
        </w:rPr>
        <w:t>Risk Factors</w:t>
      </w:r>
    </w:p>
    <w:p>
      <w:pPr>
        <w:spacing w:after="0" w:line="119" w:lineRule="exact"/>
        <w:rPr>
          <w:sz w:val="20"/>
          <w:szCs w:val="20"/>
          <w:color w:val="auto"/>
        </w:rPr>
      </w:pPr>
    </w:p>
    <w:p>
      <w:pPr>
        <w:ind w:right="80" w:firstLine="405"/>
        <w:spacing w:after="0" w:line="257" w:lineRule="auto"/>
        <w:rPr>
          <w:sz w:val="20"/>
          <w:szCs w:val="20"/>
          <w:color w:val="auto"/>
        </w:rPr>
      </w:pPr>
      <w:r>
        <w:rPr>
          <w:rFonts w:ascii="Times New Roman" w:cs="Times New Roman" w:eastAsia="Times New Roman" w:hAnsi="Times New Roman"/>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39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Risks Related to Our Acquisition of Cavium</w:t>
      </w:r>
    </w:p>
    <w:p>
      <w:pPr>
        <w:spacing w:after="0" w:line="117" w:lineRule="exact"/>
        <w:rPr>
          <w:sz w:val="20"/>
          <w:szCs w:val="20"/>
          <w:color w:val="auto"/>
        </w:rPr>
      </w:pPr>
    </w:p>
    <w:p>
      <w:pPr>
        <w:ind w:right="200"/>
        <w:spacing w:after="0" w:line="317" w:lineRule="auto"/>
        <w:rPr>
          <w:sz w:val="20"/>
          <w:szCs w:val="20"/>
          <w:color w:val="auto"/>
        </w:rPr>
      </w:pPr>
      <w:r>
        <w:rPr>
          <w:rFonts w:ascii="Times New Roman" w:cs="Times New Roman" w:eastAsia="Times New Roman" w:hAnsi="Times New Roman"/>
          <w:sz w:val="17"/>
          <w:szCs w:val="17"/>
          <w:b w:val="1"/>
          <w:bCs w:val="1"/>
          <w:i w:val="1"/>
          <w:iCs w:val="1"/>
          <w:color w:val="auto"/>
        </w:rPr>
        <w:t>Our acquisition of Cavium involves a number of risks, including, among others, associated with our use of a significant portion of our cash and our taking on significant indebtedness, other financial risks, integration risks, and risk associated with the reactions of customers, suppliers and employees.</w:t>
      </w:r>
    </w:p>
    <w:p>
      <w:pPr>
        <w:spacing w:after="0" w:line="28" w:lineRule="exact"/>
        <w:rPr>
          <w:sz w:val="20"/>
          <w:szCs w:val="20"/>
          <w:color w:val="auto"/>
        </w:rPr>
      </w:pPr>
    </w:p>
    <w:p>
      <w:pPr>
        <w:ind w:right="500" w:firstLine="405"/>
        <w:spacing w:after="0" w:line="266" w:lineRule="auto"/>
        <w:rPr>
          <w:sz w:val="20"/>
          <w:szCs w:val="20"/>
          <w:color w:val="auto"/>
        </w:rPr>
      </w:pPr>
      <w:r>
        <w:rPr>
          <w:rFonts w:ascii="Times New Roman" w:cs="Times New Roman" w:eastAsia="Times New Roman" w:hAnsi="Times New Roman"/>
          <w:sz w:val="18"/>
          <w:szCs w:val="18"/>
          <w:color w:val="auto"/>
        </w:rPr>
        <w:t>We used a significant portion of our cash and incurred substantial indebtedness in connection with the financing of our acquisition of Cavium (the "Cavium acquisition") that will reduce our liquidity and may (i) limit our flexibility in responding to other business opportunities and (ii) increase our vulnerability to adverse economic and industry conditions.</w:t>
      </w:r>
    </w:p>
    <w:p>
      <w:pPr>
        <w:spacing w:after="0" w:line="68" w:lineRule="exact"/>
        <w:rPr>
          <w:sz w:val="20"/>
          <w:szCs w:val="20"/>
          <w:color w:val="auto"/>
        </w:rPr>
      </w:pPr>
    </w:p>
    <w:p>
      <w:pPr>
        <w:ind w:right="40" w:firstLine="405"/>
        <w:spacing w:after="0" w:line="254" w:lineRule="auto"/>
        <w:rPr>
          <w:sz w:val="20"/>
          <w:szCs w:val="20"/>
          <w:color w:val="auto"/>
        </w:rPr>
      </w:pPr>
      <w:r>
        <w:rPr>
          <w:rFonts w:ascii="Times New Roman" w:cs="Times New Roman" w:eastAsia="Times New Roman" w:hAnsi="Times New Roman"/>
          <w:sz w:val="18"/>
          <w:szCs w:val="18"/>
          <w:color w:val="auto"/>
        </w:rPr>
        <w:t>The benefits we expect to realize from the Cavium acquisition will depend, in part, on our ability to integrate the businesses successfully and efficiently. See also the Risk Factor entitled “</w:t>
      </w:r>
      <w:r>
        <w:rPr>
          <w:rFonts w:ascii="Times New Roman" w:cs="Times New Roman" w:eastAsia="Times New Roman" w:hAnsi="Times New Roman"/>
          <w:sz w:val="18"/>
          <w:szCs w:val="18"/>
          <w:i w:val="1"/>
          <w:iCs w:val="1"/>
          <w:color w:val="auto"/>
        </w:rPr>
        <w:t>Any potential future acquisitions, strategic investments, divestitures, mergers or joint ventures may subject us to significant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risks, any of which could harm our business." </w:t>
      </w:r>
      <w:r>
        <w:rPr>
          <w:rFonts w:ascii="Times New Roman" w:cs="Times New Roman" w:eastAsia="Times New Roman" w:hAnsi="Times New Roman"/>
          <w:sz w:val="18"/>
          <w:szCs w:val="18"/>
          <w:color w:val="auto"/>
        </w:rPr>
        <w:t>If we are unable to successfully integrate the businesses of Cavium with that of the Company, the combined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company’s business, results of operations, financial condition or cash flows could be harmed. The challenges in integrating the operations of the companies include, among others:</w:t>
      </w:r>
    </w:p>
    <w:p>
      <w:pPr>
        <w:spacing w:after="0" w:line="3" w:lineRule="exact"/>
        <w:rPr>
          <w:sz w:val="20"/>
          <w:szCs w:val="20"/>
          <w:color w:val="auto"/>
        </w:rPr>
      </w:pPr>
    </w:p>
    <w:p>
      <w:pPr>
        <w:ind w:left="900" w:hanging="406"/>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achieving anticipated cost savings, synergies, business opportunities and growth prospects from combining the businesses;</w:t>
      </w:r>
    </w:p>
    <w:p>
      <w:pPr>
        <w:spacing w:after="0" w:line="9" w:lineRule="exact"/>
        <w:rPr>
          <w:rFonts w:ascii="Times New Roman" w:cs="Times New Roman" w:eastAsia="Times New Roman" w:hAnsi="Times New Roman"/>
          <w:sz w:val="18"/>
          <w:szCs w:val="18"/>
          <w:color w:val="auto"/>
        </w:rPr>
      </w:pPr>
    </w:p>
    <w:p>
      <w:pPr>
        <w:ind w:left="900" w:hanging="406"/>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entering new markets or manufacturing in new geographies where we have no or limited direct prior experience;</w:t>
      </w:r>
    </w:p>
    <w:p>
      <w:pPr>
        <w:spacing w:after="0" w:line="9" w:lineRule="exact"/>
        <w:rPr>
          <w:rFonts w:ascii="Times New Roman" w:cs="Times New Roman" w:eastAsia="Times New Roman" w:hAnsi="Times New Roman"/>
          <w:sz w:val="18"/>
          <w:szCs w:val="18"/>
          <w:color w:val="auto"/>
        </w:rPr>
      </w:pPr>
    </w:p>
    <w:p>
      <w:pPr>
        <w:ind w:left="900" w:hanging="406"/>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the integration of operations and systems;</w:t>
      </w:r>
    </w:p>
    <w:p>
      <w:pPr>
        <w:spacing w:after="0" w:line="9" w:lineRule="exact"/>
        <w:rPr>
          <w:rFonts w:ascii="Times New Roman" w:cs="Times New Roman" w:eastAsia="Times New Roman" w:hAnsi="Times New Roman"/>
          <w:sz w:val="18"/>
          <w:szCs w:val="18"/>
          <w:color w:val="auto"/>
        </w:rPr>
      </w:pPr>
    </w:p>
    <w:p>
      <w:pPr>
        <w:ind w:left="900" w:hanging="406"/>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the assimilation of employees;</w:t>
      </w:r>
    </w:p>
    <w:p>
      <w:pPr>
        <w:spacing w:after="0" w:line="9" w:lineRule="exact"/>
        <w:rPr>
          <w:rFonts w:ascii="Times New Roman" w:cs="Times New Roman" w:eastAsia="Times New Roman" w:hAnsi="Times New Roman"/>
          <w:sz w:val="18"/>
          <w:szCs w:val="18"/>
          <w:color w:val="auto"/>
        </w:rPr>
      </w:pPr>
    </w:p>
    <w:p>
      <w:pPr>
        <w:ind w:left="900" w:hanging="406"/>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managing the expanded operations of a significantly larger and more complex company; and</w:t>
      </w:r>
    </w:p>
    <w:p>
      <w:pPr>
        <w:spacing w:after="0" w:line="9" w:lineRule="exact"/>
        <w:rPr>
          <w:rFonts w:ascii="Times New Roman" w:cs="Times New Roman" w:eastAsia="Times New Roman" w:hAnsi="Times New Roman"/>
          <w:sz w:val="18"/>
          <w:szCs w:val="18"/>
          <w:color w:val="auto"/>
        </w:rPr>
      </w:pPr>
    </w:p>
    <w:p>
      <w:pPr>
        <w:ind w:left="900" w:hanging="406"/>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challenges in maintaining existing, and establishing new, business relationships.</w:t>
      </w:r>
    </w:p>
    <w:p>
      <w:pPr>
        <w:spacing w:after="0" w:line="315" w:lineRule="exact"/>
        <w:rPr>
          <w:sz w:val="20"/>
          <w:szCs w:val="20"/>
          <w:color w:val="auto"/>
        </w:rPr>
      </w:pPr>
    </w:p>
    <w:p>
      <w:pPr>
        <w:ind w:right="60" w:firstLine="405"/>
        <w:spacing w:after="0" w:line="261" w:lineRule="auto"/>
        <w:rPr>
          <w:sz w:val="20"/>
          <w:szCs w:val="20"/>
          <w:color w:val="auto"/>
        </w:rPr>
      </w:pPr>
      <w:r>
        <w:rPr>
          <w:rFonts w:ascii="Times New Roman" w:cs="Times New Roman" w:eastAsia="Times New Roman" w:hAnsi="Times New Roman"/>
          <w:sz w:val="18"/>
          <w:szCs w:val="18"/>
          <w:color w:val="auto"/>
        </w:rPr>
        <w:t>Our and/or Cavium’s existing or prospective customers, licensees, suppliers and/or partners may delay, defer or cease purchasing products or services from or providing products or services to the combined company, delay or defer other decisions concerning the combined company, or otherwise seek to change the terms on which they do business with the combined company. Any of the above could harm the combined company and thus decrease the benefits we expect to receive from the acquisition.</w:t>
      </w:r>
    </w:p>
    <w:p>
      <w:pPr>
        <w:spacing w:after="0" w:line="180" w:lineRule="exact"/>
        <w:rPr>
          <w:sz w:val="20"/>
          <w:szCs w:val="20"/>
          <w:color w:val="auto"/>
        </w:rPr>
      </w:pPr>
    </w:p>
    <w:p>
      <w:pPr>
        <w:ind w:right="80" w:firstLine="405"/>
        <w:spacing w:after="0" w:line="256" w:lineRule="auto"/>
        <w:rPr>
          <w:sz w:val="20"/>
          <w:szCs w:val="20"/>
          <w:color w:val="auto"/>
        </w:rPr>
      </w:pPr>
      <w:r>
        <w:rPr>
          <w:rFonts w:ascii="Times New Roman" w:cs="Times New Roman" w:eastAsia="Times New Roman" w:hAnsi="Times New Roman"/>
          <w:sz w:val="18"/>
          <w:szCs w:val="18"/>
          <w:color w:val="auto"/>
        </w:rPr>
        <w:t>We may not fully realize the benefits we expect to receive from the transaction, such as increasing revenue or profits, or receive them in the anticipated time frame. In addition, if we have not identified or accurately assessed the magnitude of Cavium’s liabilities, it could result in unexpected litigation or regulatory exposure, unfavorable accounting charges, unexpected increases in taxes due, a loss of anticipated tax benefits or other adverse effects on our business, results of operations, financial condition or cash flows. Moreover, the completion of the acquisition and integration of the businesses could result in increased employee voluntary attrition. Loss of key or skilled personnel could adversely impact product development or other aspects of the Company's business and operations.</w:t>
      </w:r>
    </w:p>
    <w:p>
      <w:pPr>
        <w:spacing w:after="0" w:line="188" w:lineRule="exact"/>
        <w:rPr>
          <w:sz w:val="20"/>
          <w:szCs w:val="20"/>
          <w:color w:val="auto"/>
        </w:rPr>
      </w:pPr>
    </w:p>
    <w:p>
      <w:pPr>
        <w:ind w:firstLine="405"/>
        <w:spacing w:after="0" w:line="282" w:lineRule="auto"/>
        <w:rPr>
          <w:sz w:val="20"/>
          <w:szCs w:val="20"/>
          <w:color w:val="auto"/>
        </w:rPr>
      </w:pPr>
      <w:r>
        <w:rPr>
          <w:rFonts w:ascii="Times New Roman" w:cs="Times New Roman" w:eastAsia="Times New Roman" w:hAnsi="Times New Roman"/>
          <w:sz w:val="18"/>
          <w:szCs w:val="18"/>
          <w:color w:val="auto"/>
        </w:rPr>
        <w:t>The occurrence of any of these risks could have a material adverse effect on the combined company's business, results of operations, financial condition or cash flows.</w:t>
      </w:r>
    </w:p>
    <w:p>
      <w:pPr>
        <w:spacing w:after="0" w:line="18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1420"/>
          </w:cols>
          <w:pgMar w:left="240" w:top="126" w:right="239" w:bottom="1440" w:gutter="0" w:footer="0" w:header="0"/>
        </w:sectPr>
      </w:pPr>
    </w:p>
    <w:bookmarkStart w:id="43" w:name="page44"/>
    <w:bookmarkEnd w:id="43"/>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ind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indebtedness could adversely affect our financial condition and our ability to raise additional capital to fund our operations and limit our ability to react to changes in the economy or our industry.</w:t>
      </w:r>
    </w:p>
    <w:p>
      <w:pPr>
        <w:spacing w:after="0" w:line="159" w:lineRule="exact"/>
        <w:rPr>
          <w:sz w:val="20"/>
          <w:szCs w:val="20"/>
          <w:color w:val="auto"/>
        </w:rPr>
      </w:pPr>
    </w:p>
    <w:p>
      <w:pPr>
        <w:ind w:firstLine="405"/>
        <w:spacing w:after="0" w:line="266" w:lineRule="auto"/>
        <w:rPr>
          <w:sz w:val="20"/>
          <w:szCs w:val="20"/>
          <w:color w:val="auto"/>
        </w:rPr>
      </w:pPr>
      <w:r>
        <w:rPr>
          <w:rFonts w:ascii="Times New Roman" w:cs="Times New Roman" w:eastAsia="Times New Roman" w:hAnsi="Times New Roman"/>
          <w:sz w:val="18"/>
          <w:szCs w:val="18"/>
          <w:color w:val="auto"/>
        </w:rPr>
        <w:t>On July 6, 2018, in connection with our acquisition of Cavium, we incurred substantial indebtedness pursuant to a Credit Agreement. The Credit Agreement provides for a $900.0 million Term Loan. The Term Loan will mature on July 6, 2021. As of November 3, 2018, the outstanding principal balance of the Term Loan amounted to $825.0 million.</w:t>
      </w:r>
    </w:p>
    <w:p>
      <w:pPr>
        <w:spacing w:after="0" w:line="176" w:lineRule="exact"/>
        <w:rPr>
          <w:sz w:val="20"/>
          <w:szCs w:val="20"/>
          <w:color w:val="auto"/>
        </w:rPr>
      </w:pPr>
    </w:p>
    <w:p>
      <w:pPr>
        <w:ind w:right="180" w:firstLine="405"/>
        <w:spacing w:after="0" w:line="258" w:lineRule="auto"/>
        <w:rPr>
          <w:sz w:val="20"/>
          <w:szCs w:val="20"/>
          <w:color w:val="auto"/>
        </w:rPr>
      </w:pPr>
      <w:r>
        <w:rPr>
          <w:rFonts w:ascii="Times New Roman" w:cs="Times New Roman" w:eastAsia="Times New Roman" w:hAnsi="Times New Roman"/>
          <w:sz w:val="18"/>
          <w:szCs w:val="18"/>
          <w:color w:val="auto"/>
        </w:rPr>
        <w:t>In addition to the Term Loan under the Credit Agreement,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18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Our indebtedness could have important consequences to us including:</w:t>
      </w:r>
    </w:p>
    <w:p>
      <w:pPr>
        <w:spacing w:after="0" w:line="27" w:lineRule="exact"/>
        <w:rPr>
          <w:sz w:val="20"/>
          <w:szCs w:val="20"/>
          <w:color w:val="auto"/>
        </w:rPr>
      </w:pPr>
    </w:p>
    <w:p>
      <w:pPr>
        <w:ind w:left="820" w:hanging="326"/>
        <w:spacing w:after="0"/>
        <w:tabs>
          <w:tab w:leader="none" w:pos="8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increasing our vulnerability to adverse general economic and industry conditions;</w:t>
      </w:r>
    </w:p>
    <w:p>
      <w:pPr>
        <w:spacing w:after="0" w:line="9" w:lineRule="exact"/>
        <w:rPr>
          <w:rFonts w:ascii="Times New Roman" w:cs="Times New Roman" w:eastAsia="Times New Roman" w:hAnsi="Times New Roman"/>
          <w:sz w:val="18"/>
          <w:szCs w:val="18"/>
          <w:color w:val="auto"/>
        </w:rPr>
      </w:pPr>
    </w:p>
    <w:p>
      <w:pPr>
        <w:ind w:left="820" w:hanging="326"/>
        <w:spacing w:after="0"/>
        <w:tabs>
          <w:tab w:leader="none" w:pos="8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requiring us to dedicate a substantial portion of our cash flow from operations to payments on our indebtedness,</w:t>
      </w:r>
    </w:p>
    <w:p>
      <w:pPr>
        <w:spacing w:after="0" w:line="9" w:lineRule="exact"/>
        <w:rPr>
          <w:rFonts w:ascii="Times New Roman" w:cs="Times New Roman" w:eastAsia="Times New Roman" w:hAnsi="Times New Roman"/>
          <w:sz w:val="18"/>
          <w:szCs w:val="18"/>
          <w:color w:val="auto"/>
        </w:rPr>
      </w:pPr>
    </w:p>
    <w:p>
      <w:pPr>
        <w:ind w:left="820"/>
        <w:spacing w:after="0" w:line="25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thereby reducing the availability of our cash flow to fund working capital, capital expenditures, research and development efforts, execution of our business strategy, acquisitions and other general corporate purposes;</w:t>
      </w:r>
    </w:p>
    <w:p>
      <w:pPr>
        <w:ind w:left="820" w:hanging="326"/>
        <w:spacing w:after="0"/>
        <w:tabs>
          <w:tab w:leader="none" w:pos="8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limiting our flexibility in planning for, or reacting to, changes in the economy and the semiconductor industry;</w:t>
      </w:r>
    </w:p>
    <w:p>
      <w:pPr>
        <w:spacing w:after="0" w:line="9" w:lineRule="exact"/>
        <w:rPr>
          <w:rFonts w:ascii="Times New Roman" w:cs="Times New Roman" w:eastAsia="Times New Roman" w:hAnsi="Times New Roman"/>
          <w:sz w:val="18"/>
          <w:szCs w:val="18"/>
          <w:color w:val="auto"/>
        </w:rPr>
      </w:pPr>
    </w:p>
    <w:p>
      <w:pPr>
        <w:ind w:left="820" w:hanging="326"/>
        <w:spacing w:after="0"/>
        <w:tabs>
          <w:tab w:leader="none" w:pos="8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placing us at a competitive disadvantage compared to our competitors with less indebtedness;</w:t>
      </w:r>
    </w:p>
    <w:p>
      <w:pPr>
        <w:spacing w:after="0" w:line="9" w:lineRule="exact"/>
        <w:rPr>
          <w:rFonts w:ascii="Times New Roman" w:cs="Times New Roman" w:eastAsia="Times New Roman" w:hAnsi="Times New Roman"/>
          <w:sz w:val="18"/>
          <w:szCs w:val="18"/>
          <w:color w:val="auto"/>
        </w:rPr>
      </w:pPr>
    </w:p>
    <w:p>
      <w:pPr>
        <w:ind w:left="820" w:hanging="326"/>
        <w:spacing w:after="0"/>
        <w:tabs>
          <w:tab w:leader="none" w:pos="8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exposing us to interest rate risk to the extent of our variable rate indebtedness; and</w:t>
      </w:r>
    </w:p>
    <w:p>
      <w:pPr>
        <w:spacing w:after="0" w:line="9" w:lineRule="exact"/>
        <w:rPr>
          <w:rFonts w:ascii="Times New Roman" w:cs="Times New Roman" w:eastAsia="Times New Roman" w:hAnsi="Times New Roman"/>
          <w:sz w:val="18"/>
          <w:szCs w:val="18"/>
          <w:color w:val="auto"/>
        </w:rPr>
      </w:pPr>
    </w:p>
    <w:p>
      <w:pPr>
        <w:ind w:left="820" w:right="420" w:hanging="326"/>
        <w:spacing w:after="0" w:line="261" w:lineRule="auto"/>
        <w:tabs>
          <w:tab w:leader="none" w:pos="8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making it more difficult to borrow additional funds in the future to fund growth, acquisitions, working capital, capital expenditures and other purposes.</w:t>
      </w:r>
    </w:p>
    <w:p>
      <w:pPr>
        <w:spacing w:after="0" w:line="180" w:lineRule="exact"/>
        <w:rPr>
          <w:sz w:val="20"/>
          <w:szCs w:val="20"/>
          <w:color w:val="auto"/>
        </w:rPr>
      </w:pPr>
    </w:p>
    <w:p>
      <w:pPr>
        <w:jc w:val="both"/>
        <w:ind w:right="160" w:firstLine="405"/>
        <w:spacing w:after="0" w:line="266" w:lineRule="auto"/>
        <w:rPr>
          <w:sz w:val="20"/>
          <w:szCs w:val="20"/>
          <w:color w:val="auto"/>
        </w:rPr>
      </w:pPr>
      <w:r>
        <w:rPr>
          <w:rFonts w:ascii="Times New Roman" w:cs="Times New Roman" w:eastAsia="Times New Roman" w:hAnsi="Times New Roman"/>
          <w:sz w:val="18"/>
          <w:szCs w:val="18"/>
          <w:color w:val="auto"/>
        </w:rPr>
        <w:t>Although the Credit Agreement contains restriction on the incurrence of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176" w:lineRule="exact"/>
        <w:rPr>
          <w:sz w:val="20"/>
          <w:szCs w:val="20"/>
          <w:color w:val="auto"/>
        </w:rPr>
      </w:pPr>
    </w:p>
    <w:p>
      <w:pPr>
        <w:ind w:right="80" w:firstLine="405"/>
        <w:spacing w:after="0" w:line="261" w:lineRule="auto"/>
        <w:rPr>
          <w:sz w:val="20"/>
          <w:szCs w:val="20"/>
          <w:color w:val="auto"/>
        </w:rPr>
      </w:pPr>
      <w:r>
        <w:rPr>
          <w:rFonts w:ascii="Times New Roman" w:cs="Times New Roman" w:eastAsia="Times New Roman" w:hAnsi="Times New Roman"/>
          <w:sz w:val="18"/>
          <w:szCs w:val="18"/>
          <w:color w:val="auto"/>
        </w:rPr>
        <w:t>The Credit Agreement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3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Adverse changes to our debt ratings could negatively affect our ability to raise additional capital to fund our operations.</w:t>
      </w:r>
    </w:p>
    <w:p>
      <w:pPr>
        <w:spacing w:after="0" w:line="229" w:lineRule="exact"/>
        <w:rPr>
          <w:sz w:val="20"/>
          <w:szCs w:val="20"/>
          <w:color w:val="auto"/>
        </w:rPr>
      </w:pPr>
    </w:p>
    <w:p>
      <w:pPr>
        <w:ind w:right="40" w:firstLine="324"/>
        <w:spacing w:after="0" w:line="256" w:lineRule="auto"/>
        <w:rPr>
          <w:sz w:val="20"/>
          <w:szCs w:val="20"/>
          <w:color w:val="auto"/>
        </w:rPr>
      </w:pPr>
      <w:r>
        <w:rPr>
          <w:rFonts w:ascii="Times New Roman" w:cs="Times New Roman" w:eastAsia="Times New Roman" w:hAnsi="Times New Roman"/>
          <w:sz w:val="18"/>
          <w:szCs w:val="18"/>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21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380"/>
          </w:cols>
          <w:pgMar w:left="240" w:top="126" w:right="279" w:bottom="1440" w:gutter="0" w:footer="0" w:header="0"/>
        </w:sectPr>
      </w:pPr>
    </w:p>
    <w:bookmarkStart w:id="44" w:name="page45"/>
    <w:bookmarkEnd w:id="44"/>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The Credit Agreement and the indenture under which the Senior Notes were issued impose restrictions on our business.</w:t>
      </w:r>
    </w:p>
    <w:p>
      <w:pPr>
        <w:spacing w:after="0" w:line="121" w:lineRule="exact"/>
        <w:rPr>
          <w:sz w:val="20"/>
          <w:szCs w:val="20"/>
          <w:color w:val="auto"/>
        </w:rPr>
      </w:pPr>
    </w:p>
    <w:p>
      <w:pPr>
        <w:ind w:right="140" w:firstLine="405"/>
        <w:spacing w:after="0" w:line="256" w:lineRule="auto"/>
        <w:rPr>
          <w:sz w:val="20"/>
          <w:szCs w:val="20"/>
          <w:color w:val="auto"/>
        </w:rPr>
      </w:pPr>
      <w:r>
        <w:rPr>
          <w:rFonts w:ascii="Times New Roman" w:cs="Times New Roman" w:eastAsia="Times New Roman" w:hAnsi="Times New Roman"/>
          <w:sz w:val="18"/>
          <w:szCs w:val="18"/>
          <w:color w:val="auto"/>
        </w:rPr>
        <w:t>The Credit Agreement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 and the indenture for the Senior Notes. Our ability to meet the liquidity covenant set forth in the Credit Agreement may be affected by events beyond our control.</w:t>
      </w:r>
    </w:p>
    <w:p>
      <w:pPr>
        <w:spacing w:after="0" w:line="80" w:lineRule="exact"/>
        <w:rPr>
          <w:sz w:val="20"/>
          <w:szCs w:val="20"/>
          <w:color w:val="auto"/>
        </w:rPr>
      </w:pPr>
    </w:p>
    <w:p>
      <w:pPr>
        <w:jc w:val="both"/>
        <w:ind w:right="100" w:firstLine="405"/>
        <w:spacing w:after="0" w:line="266" w:lineRule="auto"/>
        <w:rPr>
          <w:sz w:val="20"/>
          <w:szCs w:val="20"/>
          <w:color w:val="auto"/>
        </w:rPr>
      </w:pPr>
      <w:r>
        <w:rPr>
          <w:rFonts w:ascii="Times New Roman" w:cs="Times New Roman" w:eastAsia="Times New Roman" w:hAnsi="Times New Roman"/>
          <w:sz w:val="18"/>
          <w:szCs w:val="18"/>
          <w:color w:val="auto"/>
        </w:rPr>
        <w:t>The foregoing restrictions could limit our ability to plan for, or react to, changes in market conditions or our capital needs. We do not know whether we will be granted waivers under, or amendments to, our Credit Agreement or to the Senior Notes if for any reason we are unable to meet these requirements, or whether we will be able to refinance our indebtedness on terms acceptable to us, or at all.</w:t>
      </w:r>
    </w:p>
    <w:p>
      <w:pPr>
        <w:spacing w:after="0" w:line="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may be unable to generate the cash flow to service our debt obligations.</w:t>
      </w:r>
    </w:p>
    <w:p>
      <w:pPr>
        <w:spacing w:after="0" w:line="121" w:lineRule="exact"/>
        <w:rPr>
          <w:sz w:val="20"/>
          <w:szCs w:val="20"/>
          <w:color w:val="auto"/>
        </w:rPr>
      </w:pPr>
    </w:p>
    <w:p>
      <w:pPr>
        <w:ind w:right="20" w:firstLine="405"/>
        <w:spacing w:after="0" w:line="254" w:lineRule="auto"/>
        <w:rPr>
          <w:sz w:val="20"/>
          <w:szCs w:val="20"/>
          <w:color w:val="auto"/>
        </w:rPr>
      </w:pPr>
      <w:r>
        <w:rPr>
          <w:rFonts w:ascii="Times New Roman" w:cs="Times New Roman" w:eastAsia="Times New Roman" w:hAnsi="Times New Roman"/>
          <w:sz w:val="18"/>
          <w:szCs w:val="18"/>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7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may, under certain circumstances, be required to repurchase the Senior Notes at the option of the holder.</w:t>
      </w:r>
    </w:p>
    <w:p>
      <w:pPr>
        <w:spacing w:after="0" w:line="121" w:lineRule="exact"/>
        <w:rPr>
          <w:sz w:val="20"/>
          <w:szCs w:val="20"/>
          <w:color w:val="auto"/>
        </w:rPr>
      </w:pPr>
    </w:p>
    <w:p>
      <w:pPr>
        <w:ind w:right="20" w:firstLine="486"/>
        <w:spacing w:after="0" w:line="255" w:lineRule="auto"/>
        <w:rPr>
          <w:sz w:val="20"/>
          <w:szCs w:val="20"/>
          <w:color w:val="auto"/>
        </w:rPr>
      </w:pPr>
      <w:r>
        <w:rPr>
          <w:rFonts w:ascii="Times New Roman" w:cs="Times New Roman" w:eastAsia="Times New Roman" w:hAnsi="Times New Roman"/>
          <w:sz w:val="18"/>
          <w:szCs w:val="18"/>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Factors That May Affect Our Future Results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financial condition and results of operations may vary from quarter to quarter, which may cause the price of our common shares to decline.</w:t>
      </w:r>
    </w:p>
    <w:p>
      <w:pPr>
        <w:spacing w:after="0" w:line="121" w:lineRule="exact"/>
        <w:rPr>
          <w:sz w:val="20"/>
          <w:szCs w:val="20"/>
          <w:color w:val="auto"/>
        </w:rPr>
      </w:pPr>
    </w:p>
    <w:p>
      <w:pPr>
        <w:ind w:firstLine="378"/>
        <w:spacing w:after="0" w:line="282" w:lineRule="auto"/>
        <w:rPr>
          <w:sz w:val="20"/>
          <w:szCs w:val="20"/>
          <w:color w:val="auto"/>
        </w:rPr>
      </w:pPr>
      <w:r>
        <w:rPr>
          <w:rFonts w:ascii="Times New Roman" w:cs="Times New Roman" w:eastAsia="Times New Roman" w:hAnsi="Times New Roman"/>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54" w:lineRule="exact"/>
        <w:rPr>
          <w:sz w:val="20"/>
          <w:szCs w:val="20"/>
          <w:color w:val="auto"/>
        </w:rPr>
      </w:pPr>
    </w:p>
    <w:p>
      <w:pPr>
        <w:ind w:right="20" w:firstLine="378"/>
        <w:spacing w:after="0" w:line="282" w:lineRule="auto"/>
        <w:rPr>
          <w:sz w:val="20"/>
          <w:szCs w:val="20"/>
          <w:color w:val="auto"/>
        </w:rPr>
      </w:pPr>
      <w:r>
        <w:rPr>
          <w:rFonts w:ascii="Times New Roman" w:cs="Times New Roman" w:eastAsia="Times New Roman" w:hAnsi="Times New Roman"/>
          <w:sz w:val="18"/>
          <w:szCs w:val="18"/>
          <w:color w:val="auto"/>
        </w:rPr>
        <w:t>Fluctuations in our results of operations may be due to a number of factors, including, but not limited to, those listed below and those identified throughout this “Risk Factors” section:</w:t>
      </w:r>
    </w:p>
    <w:p>
      <w:pPr>
        <w:spacing w:after="0" w:line="162" w:lineRule="exact"/>
        <w:rPr>
          <w:sz w:val="20"/>
          <w:szCs w:val="20"/>
          <w:color w:val="auto"/>
        </w:rPr>
      </w:pPr>
    </w:p>
    <w:p>
      <w:pPr>
        <w:ind w:left="820" w:hanging="420"/>
        <w:spacing w:after="0"/>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realize anticipated synergies in connection with the Cavium acquisition;</w:t>
      </w:r>
    </w:p>
    <w:p>
      <w:pPr>
        <w:spacing w:after="0" w:line="27" w:lineRule="exact"/>
        <w:rPr>
          <w:rFonts w:ascii="Times New Roman" w:cs="Times New Roman" w:eastAsia="Times New Roman" w:hAnsi="Times New Roman"/>
          <w:sz w:val="18"/>
          <w:szCs w:val="18"/>
          <w:color w:val="auto"/>
        </w:rPr>
      </w:pPr>
    </w:p>
    <w:p>
      <w:pPr>
        <w:ind w:left="820" w:right="140" w:hanging="420"/>
        <w:spacing w:after="0" w:line="250" w:lineRule="auto"/>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general economic and political conditions and specific conditions in the end markets we address, including the continuing volatility in the technology sector and semiconductor industry;</w:t>
      </w:r>
    </w:p>
    <w:p>
      <w:pPr>
        <w:ind w:left="820" w:hanging="420"/>
        <w:spacing w:after="0"/>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effects of any acquisitions, divestitures or significant investments, including the Cavium acquisition;</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highly competitive nature of the end markets we serve, particularly within the semiconductor industry;</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dependence on a few customers for a significant portion of our revenue;</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severe financial hardship or bankruptcy of one or more of our major customers;</w:t>
      </w:r>
    </w:p>
    <w:p>
      <w:pPr>
        <w:spacing w:after="0" w:line="23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1420"/>
          </w:cols>
          <w:pgMar w:left="240" w:top="126" w:right="239" w:bottom="1440" w:gutter="0" w:footer="0" w:header="0"/>
        </w:sectPr>
      </w:pPr>
    </w:p>
    <w:bookmarkStart w:id="45" w:name="page46"/>
    <w:bookmarkEnd w:id="45"/>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44" w:lineRule="exact"/>
        <w:rPr>
          <w:sz w:val="20"/>
          <w:szCs w:val="20"/>
          <w:color w:val="auto"/>
        </w:rPr>
      </w:pPr>
    </w:p>
    <w:p>
      <w:pPr>
        <w:ind w:left="820" w:right="460" w:hanging="420"/>
        <w:spacing w:after="0" w:line="261" w:lineRule="auto"/>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maintain a competitive cost structure for our manufacturing and assembly and test processes and our reliance on third parties to produce our products;</w:t>
      </w:r>
    </w:p>
    <w:p>
      <w:pPr>
        <w:ind w:left="820" w:right="260" w:hanging="420"/>
        <w:spacing w:after="0" w:line="250" w:lineRule="auto"/>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current and future litigation that could result in substantial costs and a diversion of management’s attention and resources that are needed to successfully maintain and grow our business;</w:t>
      </w: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cancellations, rescheduling or deferrals of significant customer orders or shipments, as well as the ability of our customers to manage inventory;</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gain or loss of a design win or key customer;</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seasonality in sales of consumer devices in which our products are incorporated;</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qualify our products or our suppliers’ manufacturing lines;</w:t>
      </w:r>
    </w:p>
    <w:p>
      <w:pPr>
        <w:spacing w:after="0" w:line="9" w:lineRule="exact"/>
        <w:rPr>
          <w:rFonts w:ascii="Times New Roman" w:cs="Times New Roman" w:eastAsia="Times New Roman" w:hAnsi="Times New Roman"/>
          <w:sz w:val="18"/>
          <w:szCs w:val="18"/>
          <w:color w:val="auto"/>
        </w:rPr>
      </w:pPr>
    </w:p>
    <w:p>
      <w:pPr>
        <w:ind w:left="820" w:right="180" w:hanging="420"/>
        <w:spacing w:after="0" w:line="250" w:lineRule="auto"/>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develop and introduce new and enhanced products in a timely and effective manner, as well as our ability to anticipate and adapt to changes in technology;</w:t>
      </w: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protect our intellectual property;</w:t>
      </w:r>
    </w:p>
    <w:p>
      <w:pPr>
        <w:spacing w:after="0" w:line="9" w:lineRule="exact"/>
        <w:rPr>
          <w:rFonts w:ascii="Times New Roman" w:cs="Times New Roman" w:eastAsia="Times New Roman" w:hAnsi="Times New Roman"/>
          <w:sz w:val="18"/>
          <w:szCs w:val="18"/>
          <w:color w:val="auto"/>
        </w:rPr>
      </w:pPr>
    </w:p>
    <w:p>
      <w:pPr>
        <w:ind w:left="820" w:right="380" w:hanging="420"/>
        <w:spacing w:after="0" w:line="265" w:lineRule="auto"/>
        <w:tabs>
          <w:tab w:leader="none" w:pos="820" w:val="left"/>
        </w:tabs>
        <w:numPr>
          <w:ilvl w:val="0"/>
          <w:numId w:val="1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attract, retain and motivate a highly skilled workforce, especially managerial, engineering, sales and marketing personnel.</w:t>
      </w:r>
    </w:p>
    <w:p>
      <w:pPr>
        <w:spacing w:after="0" w:line="99" w:lineRule="exact"/>
        <w:rPr>
          <w:sz w:val="20"/>
          <w:szCs w:val="20"/>
          <w:color w:val="auto"/>
        </w:rPr>
      </w:pPr>
    </w:p>
    <w:p>
      <w:pPr>
        <w:ind w:right="40" w:firstLine="405"/>
        <w:spacing w:after="0" w:line="256" w:lineRule="auto"/>
        <w:rPr>
          <w:sz w:val="20"/>
          <w:szCs w:val="20"/>
          <w:color w:val="auto"/>
        </w:rPr>
      </w:pPr>
      <w:r>
        <w:rPr>
          <w:rFonts w:ascii="Times New Roman" w:cs="Times New Roman" w:eastAsia="Times New Roman" w:hAnsi="Times New Roman"/>
          <w:sz w:val="18"/>
          <w:szCs w:val="18"/>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76" w:lineRule="exact"/>
        <w:rPr>
          <w:sz w:val="20"/>
          <w:szCs w:val="20"/>
          <w:color w:val="auto"/>
        </w:rPr>
      </w:pPr>
    </w:p>
    <w:p>
      <w:pPr>
        <w:jc w:val="both"/>
        <w:ind w:right="4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67" w:lineRule="exact"/>
        <w:rPr>
          <w:sz w:val="20"/>
          <w:szCs w:val="20"/>
          <w:color w:val="auto"/>
        </w:rPr>
      </w:pPr>
    </w:p>
    <w:p>
      <w:pPr>
        <w:ind w:right="120" w:firstLine="405"/>
        <w:spacing w:after="0" w:line="273" w:lineRule="auto"/>
        <w:rPr>
          <w:sz w:val="20"/>
          <w:szCs w:val="20"/>
          <w:color w:val="auto"/>
        </w:rPr>
      </w:pPr>
      <w:r>
        <w:rPr>
          <w:rFonts w:ascii="Times New Roman" w:cs="Times New Roman" w:eastAsia="Times New Roman" w:hAnsi="Times New Roman"/>
          <w:sz w:val="17"/>
          <w:szCs w:val="17"/>
          <w:color w:val="auto"/>
        </w:rPr>
        <w:t>We receive a significant amount of our revenue from a limited number of customers. Net revenue from our two largest customers represented 25% and 34% of our net revenue for the nine months ended November 3, 2018 and October 28, 2017,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64" w:lineRule="exact"/>
        <w:rPr>
          <w:sz w:val="20"/>
          <w:szCs w:val="20"/>
          <w:color w:val="auto"/>
        </w:rPr>
      </w:pPr>
    </w:p>
    <w:p>
      <w:pPr>
        <w:ind w:right="140" w:firstLine="405"/>
        <w:spacing w:after="0" w:line="266" w:lineRule="auto"/>
        <w:rPr>
          <w:sz w:val="20"/>
          <w:szCs w:val="20"/>
          <w:color w:val="auto"/>
        </w:rPr>
      </w:pPr>
      <w:r>
        <w:rPr>
          <w:rFonts w:ascii="Times New Roman" w:cs="Times New Roman" w:eastAsia="Times New Roman" w:hAnsi="Times New Roman"/>
          <w:sz w:val="18"/>
          <w:szCs w:val="18"/>
          <w:color w:val="auto"/>
        </w:rPr>
        <w:t>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68" w:lineRule="exact"/>
        <w:rPr>
          <w:sz w:val="20"/>
          <w:szCs w:val="20"/>
          <w:color w:val="auto"/>
        </w:rPr>
      </w:pPr>
    </w:p>
    <w:p>
      <w:pPr>
        <w:ind w:left="820" w:right="420" w:hanging="420"/>
        <w:spacing w:after="0" w:line="261" w:lineRule="auto"/>
        <w:tabs>
          <w:tab w:leader="none" w:pos="82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significant portion of our sales are made on a purchase order basis, which allows our customers to cancel, change or delay product purchase commitments with relatively short notice to us;</w:t>
      </w:r>
    </w:p>
    <w:p>
      <w:pPr>
        <w:ind w:left="820" w:hanging="420"/>
        <w:spacing w:after="0"/>
        <w:tabs>
          <w:tab w:leader="none" w:pos="82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purchase integrated circuits from our competitors;</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discontinue sales or lose market share in the markets for which they purchase our products;</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develop their own solutions or acquire fully developed solutions from third-parties;</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be subject to severe business disruptions, including, but not limited to, those driven by financial instability; or</w:t>
      </w:r>
    </w:p>
    <w:p>
      <w:pPr>
        <w:spacing w:after="0" w:line="9" w:lineRule="exact"/>
        <w:rPr>
          <w:rFonts w:ascii="Times New Roman" w:cs="Times New Roman" w:eastAsia="Times New Roman" w:hAnsi="Times New Roman"/>
          <w:sz w:val="18"/>
          <w:szCs w:val="18"/>
          <w:color w:val="auto"/>
        </w:rPr>
      </w:pPr>
    </w:p>
    <w:p>
      <w:pPr>
        <w:ind w:left="820" w:right="200" w:hanging="420"/>
        <w:spacing w:after="0" w:line="255" w:lineRule="auto"/>
        <w:tabs>
          <w:tab w:leader="none" w:pos="82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78" w:lineRule="exact"/>
        <w:rPr>
          <w:sz w:val="20"/>
          <w:szCs w:val="20"/>
          <w:color w:val="auto"/>
        </w:rPr>
      </w:pPr>
    </w:p>
    <w:p>
      <w:pPr>
        <w:ind w:firstLine="378"/>
        <w:spacing w:after="0" w:line="282" w:lineRule="auto"/>
        <w:rPr>
          <w:sz w:val="20"/>
          <w:szCs w:val="20"/>
          <w:color w:val="auto"/>
        </w:rPr>
      </w:pPr>
      <w:r>
        <w:rPr>
          <w:rFonts w:ascii="Times New Roman" w:cs="Times New Roman" w:eastAsia="Times New Roman" w:hAnsi="Times New Roman"/>
          <w:sz w:val="18"/>
          <w:szCs w:val="18"/>
          <w:color w:val="auto"/>
        </w:rPr>
        <w:t>In addition, if regulatory activity, such as enforcement of U.S. export control and sanctions laws, or the imposition of new tariffs, were to materially limit our ability to makes sales to any of our significant customers, it could harm our results of operations, reputation and financial condition.</w:t>
      </w:r>
    </w:p>
    <w:p>
      <w:pPr>
        <w:spacing w:after="0" w:line="18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1420"/>
          </w:cols>
          <w:pgMar w:left="240" w:top="126" w:right="239" w:bottom="1440" w:gutter="0" w:footer="0" w:header="0"/>
        </w:sectPr>
      </w:pPr>
    </w:p>
    <w:bookmarkStart w:id="46" w:name="page47"/>
    <w:bookmarkEnd w:id="46"/>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48" w:lineRule="exact"/>
        <w:rPr>
          <w:sz w:val="20"/>
          <w:szCs w:val="20"/>
          <w:color w:val="auto"/>
        </w:rPr>
      </w:pPr>
    </w:p>
    <w:p>
      <w:pPr>
        <w:ind w:right="3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51" w:lineRule="exact"/>
        <w:rPr>
          <w:sz w:val="20"/>
          <w:szCs w:val="20"/>
          <w:color w:val="auto"/>
        </w:rPr>
      </w:pPr>
    </w:p>
    <w:p>
      <w:pPr>
        <w:ind w:right="100" w:firstLine="378"/>
        <w:spacing w:after="0" w:line="261" w:lineRule="auto"/>
        <w:rPr>
          <w:sz w:val="20"/>
          <w:szCs w:val="20"/>
          <w:color w:val="auto"/>
        </w:rPr>
      </w:pPr>
      <w:r>
        <w:rPr>
          <w:rFonts w:ascii="Times New Roman" w:cs="Times New Roman" w:eastAsia="Times New Roman" w:hAnsi="Times New Roman"/>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72" w:lineRule="exact"/>
        <w:rPr>
          <w:sz w:val="20"/>
          <w:szCs w:val="20"/>
          <w:color w:val="auto"/>
        </w:rPr>
      </w:pPr>
    </w:p>
    <w:p>
      <w:pPr>
        <w:ind w:left="820" w:hanging="420"/>
        <w:spacing w:after="0"/>
        <w:tabs>
          <w:tab w:leader="none" w:pos="8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diversion of management attention from running our existing business;</w:t>
      </w:r>
    </w:p>
    <w:p>
      <w:pPr>
        <w:spacing w:after="0" w:line="27"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expenses, including, but not limited to, legal, administrative and compensation expenses related to newly hired or terminated employees;</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key personnel of an acquired company may decide not to work for us;</w:t>
      </w:r>
    </w:p>
    <w:p>
      <w:pPr>
        <w:spacing w:after="0" w:line="9" w:lineRule="exact"/>
        <w:rPr>
          <w:rFonts w:ascii="Times New Roman" w:cs="Times New Roman" w:eastAsia="Times New Roman" w:hAnsi="Times New Roman"/>
          <w:sz w:val="18"/>
          <w:szCs w:val="18"/>
          <w:color w:val="auto"/>
        </w:rPr>
      </w:pPr>
    </w:p>
    <w:p>
      <w:pPr>
        <w:ind w:left="820" w:right="20" w:hanging="420"/>
        <w:spacing w:after="0" w:line="250" w:lineRule="auto"/>
        <w:tabs>
          <w:tab w:leader="none" w:pos="8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costs to integrate or, in the case of a divestiture, separate the technology, personnel, customer base and business practices of the acquired or divested business or assets;</w:t>
      </w:r>
    </w:p>
    <w:p>
      <w:pPr>
        <w:ind w:left="820" w:right="340" w:hanging="420"/>
        <w:spacing w:after="0" w:line="250" w:lineRule="auto"/>
        <w:tabs>
          <w:tab w:leader="none" w:pos="8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assuming the legal obligations of the acquired company, including potential exposure to material liabilities not discovered in the due diligence process;</w:t>
      </w:r>
    </w:p>
    <w:p>
      <w:pPr>
        <w:ind w:left="820" w:hanging="420"/>
        <w:spacing w:after="0"/>
        <w:tabs>
          <w:tab w:leader="none" w:pos="8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ineffective or inadequate control, procedures and policies at the acquired company may negatively impact our results of operations;</w:t>
      </w:r>
    </w:p>
    <w:p>
      <w:pPr>
        <w:spacing w:after="0" w:line="9" w:lineRule="exact"/>
        <w:rPr>
          <w:rFonts w:ascii="Times New Roman" w:cs="Times New Roman" w:eastAsia="Times New Roman" w:hAnsi="Times New Roman"/>
          <w:sz w:val="18"/>
          <w:szCs w:val="18"/>
          <w:color w:val="auto"/>
        </w:rPr>
      </w:pPr>
    </w:p>
    <w:p>
      <w:pPr>
        <w:ind w:left="820" w:right="740" w:hanging="420"/>
        <w:spacing w:after="0" w:line="250" w:lineRule="auto"/>
        <w:tabs>
          <w:tab w:leader="none" w:pos="8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adverse effects on reported operating results due to possible write-down of goodwill and other intangible assets associated with acquisitions;</w:t>
      </w:r>
    </w:p>
    <w:p>
      <w:pPr>
        <w:ind w:left="820" w:hanging="420"/>
        <w:spacing w:after="0"/>
        <w:tabs>
          <w:tab w:leader="none" w:pos="8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damage to customer relationships or loss of synergies in the case of divestitures; and</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unavailability of acquisition financing on reasonable terms or at all.</w:t>
      </w:r>
    </w:p>
    <w:p>
      <w:pPr>
        <w:spacing w:after="0" w:line="99" w:lineRule="exact"/>
        <w:rPr>
          <w:sz w:val="20"/>
          <w:szCs w:val="20"/>
          <w:color w:val="auto"/>
        </w:rPr>
      </w:pPr>
    </w:p>
    <w:p>
      <w:pPr>
        <w:ind w:right="220" w:firstLine="378"/>
        <w:spacing w:after="0" w:line="289" w:lineRule="auto"/>
        <w:rPr>
          <w:sz w:val="20"/>
          <w:szCs w:val="20"/>
          <w:color w:val="auto"/>
        </w:rPr>
      </w:pPr>
      <w:r>
        <w:rPr>
          <w:rFonts w:ascii="Times New Roman" w:cs="Times New Roman" w:eastAsia="Times New Roman" w:hAnsi="Times New Roman"/>
          <w:sz w:val="17"/>
          <w:szCs w:val="17"/>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50" w:lineRule="exact"/>
        <w:rPr>
          <w:sz w:val="20"/>
          <w:szCs w:val="20"/>
          <w:color w:val="auto"/>
        </w:rPr>
      </w:pPr>
    </w:p>
    <w:p>
      <w:pPr>
        <w:jc w:val="both"/>
        <w:ind w:right="20" w:firstLine="378"/>
        <w:spacing w:after="0" w:line="266" w:lineRule="auto"/>
        <w:rPr>
          <w:sz w:val="20"/>
          <w:szCs w:val="20"/>
          <w:color w:val="auto"/>
        </w:rPr>
      </w:pPr>
      <w:r>
        <w:rPr>
          <w:rFonts w:ascii="Times New Roman" w:cs="Times New Roman" w:eastAsia="Times New Roman" w:hAnsi="Times New Roman"/>
          <w:sz w:val="18"/>
          <w:szCs w:val="18"/>
          <w:color w:val="auto"/>
        </w:rPr>
        <w:t>When we decide to sell assets or a business, we may have difficulty selling on acceptable terms in a timely manner.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68"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If we do enter into agreements with respect to acquisitions, divestitures, or other transactions, we may fail to complete them due to factors such as:</w:t>
      </w:r>
    </w:p>
    <w:p>
      <w:pPr>
        <w:spacing w:after="0" w:line="117" w:lineRule="exact"/>
        <w:rPr>
          <w:sz w:val="20"/>
          <w:szCs w:val="20"/>
          <w:color w:val="auto"/>
        </w:rPr>
      </w:pPr>
    </w:p>
    <w:p>
      <w:pPr>
        <w:ind w:left="820" w:hanging="420"/>
        <w:spacing w:after="0"/>
        <w:tabs>
          <w:tab w:leader="none" w:pos="82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obtain regulatory or other approvals;</w:t>
      </w:r>
    </w:p>
    <w:p>
      <w:pPr>
        <w:spacing w:after="0" w:line="27"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IP disputes or other litigation; or</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obtaining financing for the transaction.</w:t>
      </w:r>
    </w:p>
    <w:p>
      <w:pPr>
        <w:spacing w:after="0" w:line="99" w:lineRule="exact"/>
        <w:rPr>
          <w:sz w:val="20"/>
          <w:szCs w:val="20"/>
          <w:color w:val="auto"/>
        </w:rPr>
      </w:pPr>
    </w:p>
    <w:p>
      <w:pPr>
        <w:ind w:right="380" w:firstLine="378"/>
        <w:spacing w:after="0" w:line="282" w:lineRule="auto"/>
        <w:rPr>
          <w:sz w:val="20"/>
          <w:szCs w:val="20"/>
          <w:color w:val="auto"/>
        </w:rPr>
      </w:pPr>
      <w:r>
        <w:rPr>
          <w:rFonts w:ascii="Times New Roman" w:cs="Times New Roman" w:eastAsia="Times New Roman" w:hAnsi="Times New Roman"/>
          <w:sz w:val="18"/>
          <w:szCs w:val="18"/>
          <w:color w:val="auto"/>
        </w:rPr>
        <w:t>For all these reasons, our pursuit of an acquisition, investment, divestiture, merger or joint venture could cause our actual results to differ materially from those anticipated.</w:t>
      </w:r>
    </w:p>
    <w:p>
      <w:pPr>
        <w:spacing w:after="0" w:line="5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operate in intensely competitive markets. Our failure to compete effectively would harm our results of operations.</w:t>
      </w:r>
    </w:p>
    <w:p>
      <w:pPr>
        <w:spacing w:after="0" w:line="121" w:lineRule="exact"/>
        <w:rPr>
          <w:sz w:val="20"/>
          <w:szCs w:val="20"/>
          <w:color w:val="auto"/>
        </w:rPr>
      </w:pPr>
    </w:p>
    <w:p>
      <w:pPr>
        <w:ind w:right="80" w:firstLine="378"/>
        <w:spacing w:after="0" w:line="256" w:lineRule="auto"/>
        <w:rPr>
          <w:sz w:val="20"/>
          <w:szCs w:val="20"/>
          <w:color w:val="auto"/>
        </w:rPr>
      </w:pPr>
      <w:r>
        <w:rPr>
          <w:rFonts w:ascii="Times New Roman" w:cs="Times New Roman" w:eastAsia="Times New Roman" w:hAnsi="Times New Roman"/>
          <w:sz w:val="18"/>
          <w:szCs w:val="18"/>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1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1400"/>
          </w:cols>
          <w:pgMar w:left="240" w:top="126" w:right="259" w:bottom="1440" w:gutter="0" w:footer="0" w:header="0"/>
        </w:sectPr>
      </w:pPr>
    </w:p>
    <w:bookmarkStart w:id="47" w:name="page48"/>
    <w:bookmarkEnd w:id="47"/>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52" w:lineRule="exact"/>
        <w:rPr>
          <w:sz w:val="20"/>
          <w:szCs w:val="20"/>
          <w:color w:val="auto"/>
        </w:rPr>
      </w:pPr>
    </w:p>
    <w:p>
      <w:pPr>
        <w:ind w:firstLine="378"/>
        <w:spacing w:after="0" w:line="258" w:lineRule="auto"/>
        <w:rPr>
          <w:sz w:val="20"/>
          <w:szCs w:val="20"/>
          <w:color w:val="auto"/>
        </w:rPr>
      </w:pPr>
      <w:r>
        <w:rPr>
          <w:rFonts w:ascii="Times New Roman" w:cs="Times New Roman" w:eastAsia="Times New Roman" w:hAnsi="Times New Roman"/>
          <w:sz w:val="18"/>
          <w:szCs w:val="18"/>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 such as bundling multiple products and pricing. In addition, many of our competitors operate and maintain their own fabrication facilities and have longer operating histories, greater name recognition, larger customer bases, and greater sales, marketing and distribution resources than we do.</w:t>
      </w:r>
    </w:p>
    <w:p>
      <w:pPr>
        <w:spacing w:after="0" w:line="76" w:lineRule="exact"/>
        <w:rPr>
          <w:sz w:val="20"/>
          <w:szCs w:val="20"/>
          <w:color w:val="auto"/>
        </w:rPr>
      </w:pPr>
    </w:p>
    <w:p>
      <w:pPr>
        <w:ind w:right="20" w:firstLine="378"/>
        <w:spacing w:after="0" w:line="258" w:lineRule="auto"/>
        <w:rPr>
          <w:sz w:val="20"/>
          <w:szCs w:val="20"/>
          <w:color w:val="auto"/>
        </w:rPr>
      </w:pPr>
      <w:r>
        <w:rPr>
          <w:rFonts w:ascii="Times New Roman" w:cs="Times New Roman" w:eastAsia="Times New Roman" w:hAnsi="Times New Roman"/>
          <w:sz w:val="18"/>
          <w:szCs w:val="18"/>
          <w:color w:val="auto"/>
        </w:rPr>
        <w:t>In addition, the semiconductor industry has experienced increased consolidation over the past several years. For example, Microchip Technology acquired Microsemi in May 2018, Avago Technologies Limited (now Broadcom Limited (“Broadcom”)) acquired Broadcom Corporation in February 2016 and LSI Corporation in May 2014; Intel acquired Altera Corporation in December 2015; and NXP Semiconductors acquired Freescale Semiconductor, Ltd. in December 2015. Consolidation among our competitors could lead to a changing competitive landscape, capabilities and market share, which could put us at a competitive disadvantage and harm our results of operations.</w:t>
      </w:r>
    </w:p>
    <w:p>
      <w:pPr>
        <w:spacing w:after="0" w:line="180" w:lineRule="exact"/>
        <w:rPr>
          <w:sz w:val="20"/>
          <w:szCs w:val="20"/>
          <w:color w:val="auto"/>
        </w:rPr>
      </w:pPr>
    </w:p>
    <w:p>
      <w:pPr>
        <w:ind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51" w:lineRule="exact"/>
        <w:rPr>
          <w:sz w:val="20"/>
          <w:szCs w:val="20"/>
          <w:color w:val="auto"/>
        </w:rPr>
      </w:pPr>
    </w:p>
    <w:p>
      <w:pPr>
        <w:ind w:right="40" w:firstLine="405"/>
        <w:spacing w:after="0" w:line="255" w:lineRule="auto"/>
        <w:rPr>
          <w:sz w:val="20"/>
          <w:szCs w:val="20"/>
          <w:color w:val="auto"/>
        </w:rPr>
      </w:pPr>
      <w:r>
        <w:rPr>
          <w:rFonts w:ascii="Times New Roman" w:cs="Times New Roman" w:eastAsia="Times New Roman" w:hAnsi="Times New Roman"/>
          <w:sz w:val="18"/>
          <w:szCs w:val="18"/>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85" w:lineRule="exact"/>
        <w:rPr>
          <w:sz w:val="20"/>
          <w:szCs w:val="20"/>
          <w:color w:val="auto"/>
        </w:rPr>
      </w:pPr>
    </w:p>
    <w:p>
      <w:pPr>
        <w:ind w:right="60" w:firstLine="405"/>
        <w:spacing w:after="0" w:line="261" w:lineRule="auto"/>
        <w:rPr>
          <w:sz w:val="20"/>
          <w:szCs w:val="20"/>
          <w:color w:val="auto"/>
        </w:rPr>
      </w:pPr>
      <w:r>
        <w:rPr>
          <w:rFonts w:ascii="Times New Roman" w:cs="Times New Roman" w:eastAsia="Times New Roman" w:hAnsi="Times New Roman"/>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72"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reasons for this delay generally include the following elements of our product sales and development cycle timeline and related influences:</w:t>
      </w:r>
    </w:p>
    <w:p>
      <w:pPr>
        <w:spacing w:after="0" w:line="117" w:lineRule="exact"/>
        <w:rPr>
          <w:sz w:val="20"/>
          <w:szCs w:val="20"/>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usually require a comprehensive technical evaluation of our products before they incorporate them into their designs.</w:t>
      </w:r>
    </w:p>
    <w:p>
      <w:pPr>
        <w:spacing w:after="0" w:line="27"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it can take from six months to three years from the time our products are selected to commence commercial shipments; and</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may experience changed market conditions or product development issues.</w:t>
      </w:r>
    </w:p>
    <w:p>
      <w:pPr>
        <w:spacing w:after="0" w:line="200" w:lineRule="exact"/>
        <w:rPr>
          <w:sz w:val="20"/>
          <w:szCs w:val="20"/>
          <w:color w:val="auto"/>
        </w:rPr>
      </w:pPr>
    </w:p>
    <w:p>
      <w:pPr>
        <w:spacing w:after="0" w:line="223" w:lineRule="exact"/>
        <w:rPr>
          <w:sz w:val="20"/>
          <w:szCs w:val="20"/>
          <w:color w:val="auto"/>
        </w:rPr>
      </w:pPr>
    </w:p>
    <w:p>
      <w:pPr>
        <w:ind w:right="60"/>
        <w:spacing w:after="0" w:line="258" w:lineRule="auto"/>
        <w:rPr>
          <w:sz w:val="20"/>
          <w:szCs w:val="20"/>
          <w:color w:val="auto"/>
        </w:rPr>
      </w:pPr>
      <w:r>
        <w:rPr>
          <w:rFonts w:ascii="Times New Roman" w:cs="Times New Roman" w:eastAsia="Times New Roman" w:hAnsi="Times New Roman"/>
          <w:sz w:val="18"/>
          <w:szCs w:val="18"/>
          <w:color w:val="auto"/>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184" w:lineRule="exact"/>
        <w:rPr>
          <w:sz w:val="20"/>
          <w:szCs w:val="20"/>
          <w:color w:val="auto"/>
        </w:rPr>
      </w:pPr>
    </w:p>
    <w:p>
      <w:pPr>
        <w:ind w:right="80" w:firstLine="405"/>
        <w:spacing w:after="0" w:line="266" w:lineRule="auto"/>
        <w:rPr>
          <w:sz w:val="20"/>
          <w:szCs w:val="20"/>
          <w:color w:val="auto"/>
        </w:rPr>
      </w:pPr>
      <w:r>
        <w:rPr>
          <w:rFonts w:ascii="Times New Roman" w:cs="Times New Roman" w:eastAsia="Times New Roman" w:hAnsi="Times New Roman"/>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200" w:lineRule="exact"/>
        <w:rPr>
          <w:sz w:val="20"/>
          <w:szCs w:val="20"/>
          <w:color w:val="auto"/>
        </w:rPr>
      </w:pPr>
    </w:p>
    <w:p>
      <w:pPr>
        <w:spacing w:after="0" w:line="3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1400"/>
          </w:cols>
          <w:pgMar w:left="240" w:top="126" w:right="259" w:bottom="1440" w:gutter="0" w:footer="0" w:header="0"/>
        </w:sectPr>
      </w:pPr>
    </w:p>
    <w:bookmarkStart w:id="48" w:name="page49"/>
    <w:bookmarkEnd w:id="48"/>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48" w:lineRule="exact"/>
        <w:rPr>
          <w:sz w:val="20"/>
          <w:szCs w:val="20"/>
          <w:color w:val="auto"/>
        </w:rPr>
      </w:pPr>
    </w:p>
    <w:p>
      <w:pPr>
        <w:ind w:right="5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 significant portion of our business is dependent on the HDD and SSD storage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firstLine="378"/>
        <w:spacing w:after="0" w:line="266" w:lineRule="auto"/>
        <w:rPr>
          <w:sz w:val="20"/>
          <w:szCs w:val="20"/>
          <w:color w:val="auto"/>
        </w:rPr>
      </w:pPr>
      <w:r>
        <w:rPr>
          <w:rFonts w:ascii="Times New Roman" w:cs="Times New Roman" w:eastAsia="Times New Roman" w:hAnsi="Times New Roman"/>
          <w:sz w:val="18"/>
          <w:szCs w:val="18"/>
          <w:color w:val="auto"/>
        </w:rPr>
        <w:t>The HDD industry is intensely competitive and technology inflections are happening rapidly. 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68" w:lineRule="exact"/>
        <w:rPr>
          <w:sz w:val="20"/>
          <w:szCs w:val="20"/>
          <w:color w:val="auto"/>
        </w:rPr>
      </w:pPr>
    </w:p>
    <w:p>
      <w:pPr>
        <w:ind w:right="140" w:firstLine="378"/>
        <w:spacing w:after="0" w:line="266" w:lineRule="auto"/>
        <w:rPr>
          <w:sz w:val="20"/>
          <w:szCs w:val="20"/>
          <w:color w:val="auto"/>
        </w:rPr>
      </w:pPr>
      <w:r>
        <w:rPr>
          <w:rFonts w:ascii="Times New Roman" w:cs="Times New Roman" w:eastAsia="Times New Roman" w:hAnsi="Times New Roman"/>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68" w:lineRule="exact"/>
        <w:rPr>
          <w:sz w:val="20"/>
          <w:szCs w:val="20"/>
          <w:color w:val="auto"/>
        </w:rPr>
      </w:pPr>
    </w:p>
    <w:p>
      <w:pPr>
        <w:ind w:right="100" w:firstLine="378"/>
        <w:spacing w:after="0" w:line="261" w:lineRule="auto"/>
        <w:rPr>
          <w:sz w:val="20"/>
          <w:szCs w:val="20"/>
          <w:color w:val="auto"/>
        </w:rPr>
      </w:pPr>
      <w:r>
        <w:rPr>
          <w:rFonts w:ascii="Times New Roman" w:cs="Times New Roman" w:eastAsia="Times New Roman" w:hAnsi="Times New Roman"/>
          <w:sz w:val="18"/>
          <w:szCs w:val="18"/>
          <w:color w:val="auto"/>
        </w:rPr>
        <w:t>In addition, the HDD industry has experienced significant consolidation.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72" w:lineRule="exact"/>
        <w:rPr>
          <w:sz w:val="20"/>
          <w:szCs w:val="20"/>
          <w:color w:val="auto"/>
        </w:rPr>
      </w:pPr>
    </w:p>
    <w:p>
      <w:pPr>
        <w:ind w:right="180" w:firstLine="378"/>
        <w:spacing w:after="0" w:line="261" w:lineRule="auto"/>
        <w:rPr>
          <w:sz w:val="20"/>
          <w:szCs w:val="20"/>
          <w:color w:val="auto"/>
        </w:rPr>
      </w:pPr>
      <w:r>
        <w:rPr>
          <w:rFonts w:ascii="Times New Roman" w:cs="Times New Roman" w:eastAsia="Times New Roman" w:hAnsi="Times New Roman"/>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72" w:lineRule="exact"/>
        <w:rPr>
          <w:sz w:val="20"/>
          <w:szCs w:val="20"/>
          <w:color w:val="auto"/>
        </w:rPr>
      </w:pPr>
    </w:p>
    <w:p>
      <w:pPr>
        <w:ind w:right="100" w:firstLine="378"/>
        <w:spacing w:after="0" w:line="266" w:lineRule="auto"/>
        <w:rPr>
          <w:sz w:val="20"/>
          <w:szCs w:val="20"/>
          <w:color w:val="auto"/>
        </w:rPr>
      </w:pPr>
      <w:r>
        <w:rPr>
          <w:rFonts w:ascii="Times New Roman" w:cs="Times New Roman" w:eastAsia="Times New Roman" w:hAnsi="Times New Roman"/>
          <w:sz w:val="18"/>
          <w:szCs w:val="18"/>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w:t>
      </w:r>
    </w:p>
    <w:p>
      <w:pPr>
        <w:spacing w:after="0" w:line="64" w:lineRule="exact"/>
        <w:rPr>
          <w:sz w:val="20"/>
          <w:szCs w:val="20"/>
          <w:color w:val="auto"/>
        </w:rPr>
      </w:pPr>
    </w:p>
    <w:p>
      <w:pPr>
        <w:ind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firstLine="378"/>
        <w:spacing w:after="0" w:line="255" w:lineRule="auto"/>
        <w:rPr>
          <w:sz w:val="20"/>
          <w:szCs w:val="20"/>
          <w:color w:val="auto"/>
        </w:rPr>
      </w:pPr>
      <w:r>
        <w:rPr>
          <w:rFonts w:ascii="Times New Roman" w:cs="Times New Roman" w:eastAsia="Times New Roman" w:hAnsi="Times New Roman"/>
          <w:sz w:val="18"/>
          <w:szCs w:val="18"/>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Times New Roman" w:cs="Times New Roman" w:eastAsia="Times New Roman" w:hAnsi="Times New Roman"/>
          <w:sz w:val="18"/>
          <w:szCs w:val="18"/>
          <w:i w:val="1"/>
          <w:iCs w:val="1"/>
          <w:color w:val="auto"/>
        </w:rPr>
        <w:t>We may be unable to protect our intellectual property, which would negatively affect our ability to compete.”</w:t>
      </w:r>
    </w:p>
    <w:p>
      <w:pPr>
        <w:spacing w:after="0" w:line="81" w:lineRule="exact"/>
        <w:rPr>
          <w:sz w:val="20"/>
          <w:szCs w:val="20"/>
          <w:color w:val="auto"/>
        </w:rPr>
      </w:pPr>
    </w:p>
    <w:p>
      <w:pPr>
        <w:ind w:firstLine="378"/>
        <w:spacing w:after="0" w:line="258" w:lineRule="auto"/>
        <w:rPr>
          <w:sz w:val="20"/>
          <w:szCs w:val="20"/>
          <w:color w:val="auto"/>
        </w:rPr>
      </w:pPr>
      <w:r>
        <w:rPr>
          <w:rFonts w:ascii="Times New Roman" w:cs="Times New Roman" w:eastAsia="Times New Roman" w:hAnsi="Times New Roman"/>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72" w:lineRule="exact"/>
        <w:rPr>
          <w:sz w:val="20"/>
          <w:szCs w:val="20"/>
          <w:color w:val="auto"/>
        </w:rPr>
      </w:pPr>
    </w:p>
    <w:p>
      <w:pPr>
        <w:ind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40" w:firstLine="405"/>
        <w:spacing w:after="0" w:line="261" w:lineRule="auto"/>
        <w:rPr>
          <w:sz w:val="20"/>
          <w:szCs w:val="20"/>
          <w:color w:val="auto"/>
        </w:rPr>
      </w:pPr>
      <w:r>
        <w:rPr>
          <w:rFonts w:ascii="Times New Roman" w:cs="Times New Roman" w:eastAsia="Times New Roman" w:hAnsi="Times New Roman"/>
          <w:sz w:val="18"/>
          <w:szCs w:val="18"/>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1400"/>
          </w:cols>
          <w:pgMar w:left="240" w:top="126" w:right="259" w:bottom="1440" w:gutter="0" w:footer="0" w:header="0"/>
        </w:sectPr>
      </w:pPr>
    </w:p>
    <w:bookmarkStart w:id="49" w:name="page50"/>
    <w:bookmarkEnd w:id="49"/>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52" w:lineRule="exact"/>
        <w:rPr>
          <w:sz w:val="20"/>
          <w:szCs w:val="20"/>
          <w:color w:val="auto"/>
        </w:rPr>
      </w:pPr>
    </w:p>
    <w:p>
      <w:pPr>
        <w:ind w:firstLine="405"/>
        <w:spacing w:after="0" w:line="254" w:lineRule="auto"/>
        <w:rPr>
          <w:sz w:val="20"/>
          <w:szCs w:val="20"/>
          <w:color w:val="auto"/>
        </w:rPr>
      </w:pPr>
      <w:r>
        <w:rPr>
          <w:rFonts w:ascii="Times New Roman" w:cs="Times New Roman" w:eastAsia="Times New Roman" w:hAnsi="Times New Roman"/>
          <w:sz w:val="18"/>
          <w:szCs w:val="18"/>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81" w:lineRule="exact"/>
        <w:rPr>
          <w:sz w:val="20"/>
          <w:szCs w:val="20"/>
          <w:color w:val="auto"/>
        </w:rPr>
      </w:pPr>
    </w:p>
    <w:p>
      <w:pPr>
        <w:ind w:right="400" w:firstLine="405"/>
        <w:spacing w:after="0" w:line="282" w:lineRule="auto"/>
        <w:rPr>
          <w:sz w:val="20"/>
          <w:szCs w:val="20"/>
          <w:color w:val="auto"/>
        </w:rPr>
      </w:pPr>
      <w:r>
        <w:rPr>
          <w:rFonts w:ascii="Times New Roman" w:cs="Times New Roman" w:eastAsia="Times New Roman" w:hAnsi="Times New Roman"/>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50" w:lineRule="exact"/>
        <w:rPr>
          <w:sz w:val="20"/>
          <w:szCs w:val="20"/>
          <w:color w:val="auto"/>
        </w:rPr>
      </w:pPr>
    </w:p>
    <w:p>
      <w:pPr>
        <w:jc w:val="both"/>
        <w:ind w:right="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67" w:lineRule="exact"/>
        <w:rPr>
          <w:sz w:val="20"/>
          <w:szCs w:val="20"/>
          <w:color w:val="auto"/>
        </w:rPr>
      </w:pPr>
    </w:p>
    <w:p>
      <w:pPr>
        <w:jc w:val="both"/>
        <w:ind w:right="240" w:firstLine="378"/>
        <w:spacing w:after="0" w:line="266" w:lineRule="auto"/>
        <w:rPr>
          <w:sz w:val="20"/>
          <w:szCs w:val="20"/>
          <w:color w:val="auto"/>
        </w:rPr>
      </w:pPr>
      <w:r>
        <w:rPr>
          <w:rFonts w:ascii="Times New Roman" w:cs="Times New Roman" w:eastAsia="Times New Roman" w:hAnsi="Times New Roman"/>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66"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i w:val="1"/>
          <w:iCs w:val="1"/>
          <w:color w:val="auto"/>
        </w:rPr>
        <w:t>Regional Concentration</w:t>
      </w:r>
    </w:p>
    <w:p>
      <w:pPr>
        <w:spacing w:after="0" w:line="119" w:lineRule="exact"/>
        <w:rPr>
          <w:sz w:val="20"/>
          <w:szCs w:val="20"/>
          <w:color w:val="auto"/>
        </w:rPr>
      </w:pPr>
    </w:p>
    <w:p>
      <w:pPr>
        <w:ind w:right="180" w:firstLine="378"/>
        <w:spacing w:after="0" w:line="255" w:lineRule="auto"/>
        <w:rPr>
          <w:sz w:val="20"/>
          <w:szCs w:val="20"/>
          <w:color w:val="auto"/>
        </w:rPr>
      </w:pPr>
      <w:r>
        <w:rPr>
          <w:rFonts w:ascii="Times New Roman" w:cs="Times New Roman" w:eastAsia="Times New Roman" w:hAnsi="Times New Roman"/>
          <w:sz w:val="18"/>
          <w:szCs w:val="18"/>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75"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i w:val="1"/>
          <w:iCs w:val="1"/>
          <w:color w:val="auto"/>
        </w:rPr>
        <w:t>No Guarantee of Capacity or Supply</w:t>
      </w:r>
    </w:p>
    <w:p>
      <w:pPr>
        <w:spacing w:after="0" w:line="119" w:lineRule="exact"/>
        <w:rPr>
          <w:sz w:val="20"/>
          <w:szCs w:val="20"/>
          <w:color w:val="auto"/>
        </w:rPr>
      </w:pPr>
    </w:p>
    <w:p>
      <w:pPr>
        <w:ind w:firstLine="378"/>
        <w:spacing w:after="0" w:line="253" w:lineRule="auto"/>
        <w:rPr>
          <w:sz w:val="20"/>
          <w:szCs w:val="20"/>
          <w:color w:val="auto"/>
        </w:rPr>
      </w:pPr>
      <w:r>
        <w:rPr>
          <w:rFonts w:ascii="Times New Roman" w:cs="Times New Roman" w:eastAsia="Times New Roman" w:hAnsi="Times New Roman"/>
          <w:sz w:val="18"/>
          <w:szCs w:val="18"/>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Times New Roman" w:cs="Times New Roman" w:eastAsia="Times New Roman" w:hAnsi="Times New Roman"/>
          <w:sz w:val="18"/>
          <w:szCs w:val="18"/>
          <w:i w:val="1"/>
          <w:iCs w:val="1"/>
          <w:color w:val="auto"/>
        </w:rPr>
        <w:t>We may experience difficulties in transitioning to smaller geometry process technologies or in achieving higher levels of design integration, which may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result in reduced manufacturing yields, delays in product deliveries and increased expenses.” </w:t>
      </w:r>
      <w:r>
        <w:rPr>
          <w:rFonts w:ascii="Times New Roman" w:cs="Times New Roman" w:eastAsia="Times New Roman" w:hAnsi="Times New Roman"/>
          <w:sz w:val="18"/>
          <w:szCs w:val="18"/>
          <w:color w:val="auto"/>
        </w:rPr>
        <w:t>Moreover, if any of our third-party foundry suppliers are unable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81" w:lineRule="exact"/>
        <w:rPr>
          <w:sz w:val="20"/>
          <w:szCs w:val="20"/>
          <w:color w:val="auto"/>
        </w:rPr>
      </w:pPr>
    </w:p>
    <w:p>
      <w:pPr>
        <w:ind w:right="80" w:firstLine="378"/>
        <w:spacing w:after="0" w:line="258" w:lineRule="auto"/>
        <w:rPr>
          <w:sz w:val="20"/>
          <w:szCs w:val="20"/>
          <w:color w:val="auto"/>
        </w:rPr>
      </w:pPr>
      <w:r>
        <w:rPr>
          <w:rFonts w:ascii="Times New Roman" w:cs="Times New Roman" w:eastAsia="Times New Roman" w:hAnsi="Times New Roman"/>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21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1420"/>
          </w:cols>
          <w:pgMar w:left="240" w:top="126" w:right="239" w:bottom="1440" w:gutter="0" w:footer="0" w:header="0"/>
        </w:sectPr>
      </w:pPr>
    </w:p>
    <w:bookmarkStart w:id="50" w:name="page51"/>
    <w:bookmarkEnd w:id="50"/>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52" w:lineRule="exact"/>
        <w:rPr>
          <w:sz w:val="20"/>
          <w:szCs w:val="20"/>
          <w:color w:val="auto"/>
        </w:rPr>
      </w:pPr>
    </w:p>
    <w:p>
      <w:pPr>
        <w:ind w:right="20" w:firstLine="378"/>
        <w:spacing w:after="0" w:line="256" w:lineRule="auto"/>
        <w:rPr>
          <w:sz w:val="20"/>
          <w:szCs w:val="20"/>
          <w:color w:val="auto"/>
        </w:rPr>
      </w:pPr>
      <w:r>
        <w:rPr>
          <w:rFonts w:ascii="Times New Roman" w:cs="Times New Roman" w:eastAsia="Times New Roman" w:hAnsi="Times New Roman"/>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78"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i w:val="1"/>
          <w:iCs w:val="1"/>
          <w:color w:val="auto"/>
        </w:rPr>
        <w:t>Uncertain Yields and Quality</w:t>
      </w:r>
    </w:p>
    <w:p>
      <w:pPr>
        <w:spacing w:after="0" w:line="119" w:lineRule="exact"/>
        <w:rPr>
          <w:sz w:val="20"/>
          <w:szCs w:val="20"/>
          <w:color w:val="auto"/>
        </w:rPr>
      </w:pPr>
    </w:p>
    <w:p>
      <w:pPr>
        <w:ind w:firstLine="378"/>
        <w:spacing w:after="0" w:line="254" w:lineRule="auto"/>
        <w:rPr>
          <w:sz w:val="20"/>
          <w:szCs w:val="20"/>
          <w:color w:val="auto"/>
        </w:rPr>
      </w:pPr>
      <w:r>
        <w:rPr>
          <w:rFonts w:ascii="Times New Roman" w:cs="Times New Roman" w:eastAsia="Times New Roman" w:hAnsi="Times New Roman"/>
          <w:sz w:val="18"/>
          <w:szCs w:val="18"/>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Times New Roman" w:cs="Times New Roman" w:eastAsia="Times New Roman" w:hAnsi="Times New Roman"/>
          <w:sz w:val="18"/>
          <w:szCs w:val="18"/>
          <w:i w:val="1"/>
          <w:iCs w:val="1"/>
          <w:color w:val="auto"/>
        </w:rPr>
        <w:t>Costs related to defective products could have a material adverse effect 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us.</w:t>
      </w:r>
      <w:r>
        <w:rPr>
          <w:rFonts w:ascii="Times New Roman" w:cs="Times New Roman" w:eastAsia="Times New Roman" w:hAnsi="Times New Roman"/>
          <w:sz w:val="18"/>
          <w:szCs w:val="18"/>
          <w:color w:val="auto"/>
        </w:rPr>
        <w:t>”</w:t>
      </w:r>
    </w:p>
    <w:p>
      <w:pPr>
        <w:spacing w:after="0" w:line="78" w:lineRule="exact"/>
        <w:rPr>
          <w:sz w:val="20"/>
          <w:szCs w:val="20"/>
          <w:color w:val="auto"/>
        </w:rPr>
      </w:pPr>
    </w:p>
    <w:p>
      <w:pPr>
        <w:jc w:val="both"/>
        <w:ind w:right="500" w:firstLine="378"/>
        <w:spacing w:after="0" w:line="266" w:lineRule="auto"/>
        <w:rPr>
          <w:sz w:val="20"/>
          <w:szCs w:val="20"/>
          <w:color w:val="auto"/>
        </w:rPr>
      </w:pPr>
      <w:r>
        <w:rPr>
          <w:rFonts w:ascii="Times New Roman" w:cs="Times New Roman" w:eastAsia="Times New Roman" w:hAnsi="Times New Roman"/>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66"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i w:val="1"/>
          <w:iCs w:val="1"/>
          <w:color w:val="auto"/>
        </w:rPr>
        <w:t>Commodity Prices</w:t>
      </w:r>
    </w:p>
    <w:p>
      <w:pPr>
        <w:spacing w:after="0" w:line="119" w:lineRule="exact"/>
        <w:rPr>
          <w:sz w:val="20"/>
          <w:szCs w:val="20"/>
          <w:color w:val="auto"/>
        </w:rPr>
      </w:pPr>
    </w:p>
    <w:p>
      <w:pPr>
        <w:ind w:right="220" w:firstLine="378"/>
        <w:spacing w:after="0" w:line="266" w:lineRule="auto"/>
        <w:rPr>
          <w:sz w:val="20"/>
          <w:szCs w:val="20"/>
          <w:color w:val="auto"/>
        </w:rPr>
      </w:pPr>
      <w:r>
        <w:rPr>
          <w:rFonts w:ascii="Times New Roman" w:cs="Times New Roman" w:eastAsia="Times New Roman" w:hAnsi="Times New Roman"/>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64" w:lineRule="exact"/>
        <w:rPr>
          <w:sz w:val="20"/>
          <w:szCs w:val="20"/>
          <w:color w:val="auto"/>
        </w:rPr>
      </w:pPr>
    </w:p>
    <w:p>
      <w:pPr>
        <w:ind w:right="2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05"/>
        <w:spacing w:after="0" w:line="256" w:lineRule="auto"/>
        <w:rPr>
          <w:sz w:val="20"/>
          <w:szCs w:val="20"/>
          <w:color w:val="auto"/>
        </w:rPr>
      </w:pPr>
      <w:r>
        <w:rPr>
          <w:rFonts w:ascii="Times New Roman" w:cs="Times New Roman" w:eastAsia="Times New Roman" w:hAnsi="Times New Roman"/>
          <w:sz w:val="18"/>
          <w:szCs w:val="18"/>
          <w:color w:val="auto"/>
        </w:rPr>
        <w:t>In order to remain competitive, we expect to continue to transition our semiconductor products to increasingly smaller line width geometries. This transition requires us to modify the manufacturing processes for our products and to redesign some products. In addition, the cost of developing products with increasingly smaller line width geometries requires significantly higher investment and risk.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w:t>
      </w:r>
    </w:p>
    <w:p>
      <w:pPr>
        <w:spacing w:after="0" w:line="80" w:lineRule="exact"/>
        <w:rPr>
          <w:sz w:val="20"/>
          <w:szCs w:val="20"/>
          <w:color w:val="auto"/>
        </w:rPr>
      </w:pPr>
    </w:p>
    <w:p>
      <w:pPr>
        <w:ind w:right="140" w:firstLine="405"/>
        <w:spacing w:after="0" w:line="258" w:lineRule="auto"/>
        <w:rPr>
          <w:sz w:val="20"/>
          <w:szCs w:val="20"/>
          <w:color w:val="auto"/>
        </w:rPr>
      </w:pPr>
      <w:r>
        <w:rPr>
          <w:rFonts w:ascii="Times New Roman" w:cs="Times New Roman" w:eastAsia="Times New Roman" w:hAnsi="Times New Roman"/>
          <w:sz w:val="18"/>
          <w:szCs w:val="18"/>
          <w:color w:val="auto"/>
        </w:rPr>
        <w:t>We are dependent on our relationships with our foundry subcontractors to transition to smaller geometry processes successfully. We cannot ensure that the foundries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w:t>
      </w:r>
    </w:p>
    <w:p>
      <w:pPr>
        <w:spacing w:after="0" w:line="76" w:lineRule="exact"/>
        <w:rPr>
          <w:sz w:val="20"/>
          <w:szCs w:val="20"/>
          <w:color w:val="auto"/>
        </w:rPr>
      </w:pPr>
    </w:p>
    <w:p>
      <w:pPr>
        <w:ind w:right="20" w:firstLine="405"/>
        <w:spacing w:after="0" w:line="261" w:lineRule="auto"/>
        <w:rPr>
          <w:sz w:val="20"/>
          <w:szCs w:val="20"/>
          <w:color w:val="auto"/>
        </w:rPr>
      </w:pPr>
      <w:r>
        <w:rPr>
          <w:rFonts w:ascii="Times New Roman" w:cs="Times New Roman" w:eastAsia="Times New Roman" w:hAnsi="Times New Roman"/>
          <w:sz w:val="18"/>
          <w:szCs w:val="18"/>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1400"/>
          </w:cols>
          <w:pgMar w:left="240" w:top="126" w:right="259" w:bottom="1440" w:gutter="0" w:footer="0" w:header="0"/>
        </w:sectPr>
      </w:pPr>
    </w:p>
    <w:bookmarkStart w:id="51" w:name="page52"/>
    <w:bookmarkEnd w:id="51"/>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48" w:lineRule="exact"/>
        <w:rPr>
          <w:sz w:val="20"/>
          <w:szCs w:val="20"/>
          <w:color w:val="auto"/>
        </w:rPr>
      </w:pPr>
    </w:p>
    <w:p>
      <w:pPr>
        <w:ind w:right="5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51" w:lineRule="exact"/>
        <w:rPr>
          <w:sz w:val="20"/>
          <w:szCs w:val="20"/>
          <w:color w:val="auto"/>
        </w:rPr>
      </w:pPr>
    </w:p>
    <w:p>
      <w:pPr>
        <w:ind w:right="80" w:firstLine="378"/>
        <w:spacing w:after="0" w:line="256" w:lineRule="auto"/>
        <w:rPr>
          <w:sz w:val="20"/>
          <w:szCs w:val="20"/>
          <w:color w:val="auto"/>
        </w:rPr>
      </w:pPr>
      <w:r>
        <w:rPr>
          <w:rFonts w:ascii="Times New Roman" w:cs="Times New Roman" w:eastAsia="Times New Roman" w:hAnsi="Times New Roman"/>
          <w:sz w:val="18"/>
          <w:szCs w:val="18"/>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have incurred significant indemnification expenses in connection with the Audit Committee's independent investigation completed in March 2016 and related shareholder litigation and pending government investigations.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w:t>
      </w:r>
    </w:p>
    <w:p>
      <w:pPr>
        <w:spacing w:after="0" w:line="80" w:lineRule="exact"/>
        <w:rPr>
          <w:sz w:val="20"/>
          <w:szCs w:val="20"/>
          <w:color w:val="auto"/>
        </w:rPr>
      </w:pPr>
    </w:p>
    <w:p>
      <w:pPr>
        <w:jc w:val="both"/>
        <w:ind w:right="260" w:firstLine="378"/>
        <w:spacing w:after="0" w:line="266" w:lineRule="auto"/>
        <w:rPr>
          <w:sz w:val="20"/>
          <w:szCs w:val="20"/>
          <w:color w:val="auto"/>
        </w:rPr>
      </w:pPr>
      <w:r>
        <w:rPr>
          <w:rFonts w:ascii="Times New Roman" w:cs="Times New Roman" w:eastAsia="Times New Roman" w:hAnsi="Times New Roman"/>
          <w:sz w:val="18"/>
          <w:szCs w:val="18"/>
          <w:color w:val="auto"/>
        </w:rPr>
        <w:t>Indemnification obligations may not be “covered matters” under our directors’ and officers’ liability insurance, or there may be insufficient coverage available. Further, in the event the directors and officers are ultimately determined not to be entitled to indemnification, we may not be able to recover any amounts we previously advanced to them.</w:t>
      </w:r>
    </w:p>
    <w:p>
      <w:pPr>
        <w:spacing w:after="0" w:line="68" w:lineRule="exact"/>
        <w:rPr>
          <w:sz w:val="20"/>
          <w:szCs w:val="20"/>
          <w:color w:val="auto"/>
        </w:rPr>
      </w:pPr>
    </w:p>
    <w:p>
      <w:pPr>
        <w:ind w:firstLine="378"/>
        <w:spacing w:after="0" w:line="255" w:lineRule="auto"/>
        <w:rPr>
          <w:sz w:val="20"/>
          <w:szCs w:val="20"/>
          <w:color w:val="auto"/>
        </w:rPr>
      </w:pPr>
      <w:r>
        <w:rPr>
          <w:rFonts w:ascii="Times New Roman" w:cs="Times New Roman" w:eastAsia="Times New Roman" w:hAnsi="Times New Roman"/>
          <w:sz w:val="18"/>
          <w:szCs w:val="18"/>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7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Costs related to defective products could have a material adverse effect on us.</w:t>
      </w:r>
    </w:p>
    <w:p>
      <w:pPr>
        <w:spacing w:after="0" w:line="121" w:lineRule="exact"/>
        <w:rPr>
          <w:sz w:val="20"/>
          <w:szCs w:val="20"/>
          <w:color w:val="auto"/>
        </w:rPr>
      </w:pPr>
    </w:p>
    <w:p>
      <w:pPr>
        <w:ind w:right="160" w:firstLine="378"/>
        <w:spacing w:after="0" w:line="266" w:lineRule="auto"/>
        <w:rPr>
          <w:sz w:val="20"/>
          <w:szCs w:val="20"/>
          <w:color w:val="auto"/>
        </w:rPr>
      </w:pPr>
      <w:r>
        <w:rPr>
          <w:rFonts w:ascii="Times New Roman" w:cs="Times New Roman" w:eastAsia="Times New Roman" w:hAnsi="Times New Roman"/>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68" w:lineRule="exact"/>
        <w:rPr>
          <w:sz w:val="20"/>
          <w:szCs w:val="20"/>
          <w:color w:val="auto"/>
        </w:rPr>
      </w:pPr>
    </w:p>
    <w:p>
      <w:pPr>
        <w:ind w:left="660" w:hanging="328"/>
        <w:spacing w:after="0"/>
        <w:tabs>
          <w:tab w:leader="none" w:pos="6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loss of or delay in market acceptance of our products;</w:t>
      </w:r>
    </w:p>
    <w:p>
      <w:pPr>
        <w:spacing w:after="0" w:line="27"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material recall and replacement costs;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delay in revenue recognition or loss of revenue;</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writing down the inventory of defective products;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diversion of the attention of our engineering personnel from product development efforts;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having to defend against litigation related to defective products or related property damage or personal injury; and</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damage to our reputation in the industry that could adversely affect our relationships with our customers.</w:t>
      </w:r>
    </w:p>
    <w:p>
      <w:pPr>
        <w:spacing w:after="0" w:line="99" w:lineRule="exact"/>
        <w:rPr>
          <w:sz w:val="20"/>
          <w:szCs w:val="20"/>
          <w:color w:val="auto"/>
        </w:rPr>
      </w:pPr>
    </w:p>
    <w:p>
      <w:pPr>
        <w:ind w:right="140" w:firstLine="405"/>
        <w:spacing w:after="0" w:line="261" w:lineRule="auto"/>
        <w:rPr>
          <w:sz w:val="20"/>
          <w:szCs w:val="20"/>
          <w:color w:val="auto"/>
        </w:rPr>
      </w:pPr>
      <w:r>
        <w:rPr>
          <w:rFonts w:ascii="Times New Roman" w:cs="Times New Roman" w:eastAsia="Times New Roman" w:hAnsi="Times New Roman"/>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2" w:lineRule="exact"/>
        <w:rPr>
          <w:sz w:val="20"/>
          <w:szCs w:val="20"/>
          <w:color w:val="auto"/>
        </w:rPr>
      </w:pPr>
    </w:p>
    <w:p>
      <w:pPr>
        <w:ind w:right="280" w:firstLine="405"/>
        <w:spacing w:after="0" w:line="261" w:lineRule="auto"/>
        <w:rPr>
          <w:sz w:val="20"/>
          <w:szCs w:val="20"/>
          <w:color w:val="auto"/>
        </w:rPr>
      </w:pPr>
      <w:r>
        <w:rPr>
          <w:rFonts w:ascii="Times New Roman" w:cs="Times New Roman" w:eastAsia="Times New Roman" w:hAnsi="Times New Roman"/>
          <w:sz w:val="18"/>
          <w:szCs w:val="18"/>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68" w:lineRule="exact"/>
        <w:rPr>
          <w:sz w:val="20"/>
          <w:szCs w:val="20"/>
          <w:color w:val="auto"/>
        </w:rPr>
      </w:pPr>
    </w:p>
    <w:p>
      <w:pPr>
        <w:jc w:val="both"/>
        <w:ind w:right="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have experienced a significant transition at the executive management level in the last two years. If our executive team is unable to engage and align mid-management or attract and retain the key talent needed for us to timely achieve our business objectives, our business and results of operations could be harmed.</w:t>
      </w:r>
    </w:p>
    <w:p>
      <w:pPr>
        <w:spacing w:after="0" w:line="67" w:lineRule="exact"/>
        <w:rPr>
          <w:sz w:val="20"/>
          <w:szCs w:val="20"/>
          <w:color w:val="auto"/>
        </w:rPr>
      </w:pPr>
    </w:p>
    <w:p>
      <w:pPr>
        <w:ind w:right="20" w:firstLine="648"/>
        <w:spacing w:after="0" w:line="261" w:lineRule="auto"/>
        <w:rPr>
          <w:sz w:val="20"/>
          <w:szCs w:val="20"/>
          <w:color w:val="auto"/>
        </w:rPr>
      </w:pPr>
      <w:r>
        <w:rPr>
          <w:rFonts w:ascii="Times New Roman" w:cs="Times New Roman" w:eastAsia="Times New Roman" w:hAnsi="Times New Roman"/>
          <w:sz w:val="18"/>
          <w:szCs w:val="18"/>
          <w:color w:val="auto"/>
        </w:rPr>
        <w:t>Our executive management team has gone through a complete transition in the last two years, including the hiring of a new President and CEO, Chief Financial Officer, Chief Accounting Officer and Controller, Chief Operations Officer, Chief Technology Officer, Chief Administration and Legal Officer, Executive Vice President of Worldwide Sales and Marketing and the appointment of new leaders for our corporate development organization and our storage, and networking and connectivity groups. In addition, we have added two new senior executives in connection with our acquisition of Cavium.</w:t>
      </w:r>
    </w:p>
    <w:p>
      <w:pPr>
        <w:spacing w:after="0" w:line="72" w:lineRule="exact"/>
        <w:rPr>
          <w:sz w:val="20"/>
          <w:szCs w:val="20"/>
          <w:color w:val="auto"/>
        </w:rPr>
      </w:pPr>
    </w:p>
    <w:p>
      <w:pPr>
        <w:ind w:right="20" w:firstLine="648"/>
        <w:spacing w:after="0" w:line="266" w:lineRule="auto"/>
        <w:rPr>
          <w:sz w:val="20"/>
          <w:szCs w:val="20"/>
          <w:color w:val="auto"/>
        </w:rPr>
      </w:pPr>
      <w:r>
        <w:rPr>
          <w:rFonts w:ascii="Times New Roman" w:cs="Times New Roman" w:eastAsia="Times New Roman" w:hAnsi="Times New Roman"/>
          <w:sz w:val="18"/>
          <w:szCs w:val="18"/>
          <w:color w:val="auto"/>
        </w:rPr>
        <w:t>While the individual members of our executive management team each have significant industry-related experience, they previously had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20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1380"/>
          </w:cols>
          <w:pgMar w:left="240" w:top="126" w:right="279" w:bottom="1440" w:gutter="0" w:footer="0" w:header="0"/>
        </w:sectPr>
      </w:pPr>
    </w:p>
    <w:bookmarkStart w:id="52" w:name="page53"/>
    <w:bookmarkEnd w:id="52"/>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52" w:lineRule="exact"/>
        <w:rPr>
          <w:sz w:val="20"/>
          <w:szCs w:val="20"/>
          <w:color w:val="auto"/>
        </w:rPr>
      </w:pPr>
    </w:p>
    <w:p>
      <w:pPr>
        <w:ind w:right="60" w:firstLine="405"/>
        <w:spacing w:after="0" w:line="277" w:lineRule="auto"/>
        <w:rPr>
          <w:sz w:val="20"/>
          <w:szCs w:val="20"/>
          <w:color w:val="auto"/>
        </w:rPr>
      </w:pPr>
      <w:r>
        <w:rPr>
          <w:rFonts w:ascii="Times New Roman" w:cs="Times New Roman" w:eastAsia="Times New Roman" w:hAnsi="Times New Roman"/>
          <w:sz w:val="17"/>
          <w:szCs w:val="17"/>
          <w:color w:val="auto"/>
        </w:rPr>
        <w:t>If any of the members of our current management team were to leave our company unexpectedly, we could face substantial difficulty in hiring qualified successors. The marketplace for senior executive management candidates is very competitive and limited, particularly in the Silicon Valley where our U.S. operations are based. Our growth may be adversely impacted if we are unable to attract, retain and motivate such key employees. Turnover of senior management can adversely impact our stock price, our results of operations and our client relationships, and has made recruiting for future management positions more difficult. Competition for senior leadership may increase our compensation expenses, which may negatively affect our profitability.</w:t>
      </w:r>
    </w:p>
    <w:p>
      <w:pPr>
        <w:spacing w:after="0" w:line="56" w:lineRule="exact"/>
        <w:rPr>
          <w:sz w:val="20"/>
          <w:szCs w:val="20"/>
          <w:color w:val="auto"/>
        </w:rPr>
      </w:pPr>
    </w:p>
    <w:p>
      <w:pPr>
        <w:ind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depend on highly skilled engineering and sales and marketing personnel to support our business operations. If we are unable to retain and motivate our current personnel or attract additional qualified personnel, our ability to develop and successfully market our products could be harmed.</w:t>
      </w:r>
    </w:p>
    <w:p>
      <w:pPr>
        <w:spacing w:after="0" w:line="51" w:lineRule="exact"/>
        <w:rPr>
          <w:sz w:val="20"/>
          <w:szCs w:val="20"/>
          <w:color w:val="auto"/>
        </w:rPr>
      </w:pPr>
    </w:p>
    <w:p>
      <w:pPr>
        <w:ind w:right="20" w:firstLine="378"/>
        <w:spacing w:after="0" w:line="256" w:lineRule="auto"/>
        <w:rPr>
          <w:sz w:val="20"/>
          <w:szCs w:val="20"/>
          <w:color w:val="auto"/>
        </w:rPr>
      </w:pPr>
      <w:r>
        <w:rPr>
          <w:rFonts w:ascii="Times New Roman" w:cs="Times New Roman" w:eastAsia="Times New Roman" w:hAnsi="Times New Roman"/>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qualified personnel, including hardware and software engineers and sales and marketing personnel, could delay the development and introduction of, and harm our ability to sell, our products. Changes to United States immigration policies that restrict our ability to attract and retain technical personnel may negatively affect our research and development efforts.</w:t>
      </w:r>
    </w:p>
    <w:p>
      <w:pPr>
        <w:spacing w:after="0" w:line="80" w:lineRule="exact"/>
        <w:rPr>
          <w:sz w:val="20"/>
          <w:szCs w:val="20"/>
          <w:color w:val="auto"/>
        </w:rPr>
      </w:pPr>
    </w:p>
    <w:p>
      <w:pPr>
        <w:ind w:right="20" w:firstLine="378"/>
        <w:spacing w:after="0" w:line="256" w:lineRule="auto"/>
        <w:rPr>
          <w:sz w:val="20"/>
          <w:szCs w:val="20"/>
          <w:color w:val="auto"/>
        </w:rPr>
      </w:pPr>
      <w:r>
        <w:rPr>
          <w:rFonts w:ascii="Times New Roman" w:cs="Times New Roman" w:eastAsia="Times New Roman" w:hAnsi="Times New Roman"/>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in fiscal 2017 and 2018, which eliminated approximately 900 jobs worldwide, could make it more difficult for us to add to our workforce when needed due to speculation regarding our future restructuring activities. In addition, as a result of the Cavium acquisition, our current and prospective employees may experience uncertainty about their futures that may impair our ability to retain, recruit or motivate key management, engineering, technical and other personnel.</w:t>
      </w:r>
    </w:p>
    <w:p>
      <w:pPr>
        <w:spacing w:after="0" w:line="76" w:lineRule="exact"/>
        <w:rPr>
          <w:sz w:val="20"/>
          <w:szCs w:val="20"/>
          <w:color w:val="auto"/>
        </w:rPr>
      </w:pPr>
    </w:p>
    <w:p>
      <w:pPr>
        <w:jc w:val="both"/>
        <w:ind w:right="40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rely upon the performance of our information technology systems to process, transmit, store and protect electronic information. The failure of or security breaches of any of our critical information technology systems may result in serious harm to our reputation, business, results of operations and/or financial condition.</w:t>
      </w:r>
    </w:p>
    <w:p>
      <w:pPr>
        <w:spacing w:after="0" w:line="67"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viruses, destructive or inadequate code, malware, power failures, cyber-attacks, internal malfeasance or other events. We have implemented processes for systems under our control intended to mitigate risks; however, we can provide no guarantee that those risk mitigation measures will be effective. Given the frequency of cyber-attacks and resulting breaches reported by other businesses and governments, it is likely we will experience one or more breaches of some extent in the future. We may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 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7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may be unable to protect our intellectual property, which would negatively affect our ability to compete.</w:t>
      </w:r>
    </w:p>
    <w:p>
      <w:pPr>
        <w:spacing w:after="0" w:line="121" w:lineRule="exact"/>
        <w:rPr>
          <w:sz w:val="20"/>
          <w:szCs w:val="20"/>
          <w:color w:val="auto"/>
        </w:rPr>
      </w:pPr>
    </w:p>
    <w:p>
      <w:pPr>
        <w:ind w:right="140" w:firstLine="405"/>
        <w:spacing w:after="0" w:line="261" w:lineRule="auto"/>
        <w:rPr>
          <w:sz w:val="20"/>
          <w:szCs w:val="20"/>
          <w:color w:val="auto"/>
        </w:rPr>
      </w:pPr>
      <w:r>
        <w:rPr>
          <w:rFonts w:ascii="Times New Roman" w:cs="Times New Roman" w:eastAsia="Times New Roman" w:hAnsi="Times New Roman"/>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2" w:lineRule="exact"/>
        <w:rPr>
          <w:sz w:val="20"/>
          <w:szCs w:val="20"/>
          <w:color w:val="auto"/>
        </w:rPr>
      </w:pPr>
    </w:p>
    <w:p>
      <w:pPr>
        <w:ind w:right="220" w:firstLine="405"/>
        <w:spacing w:after="0" w:line="258" w:lineRule="auto"/>
        <w:rPr>
          <w:sz w:val="20"/>
          <w:szCs w:val="20"/>
          <w:color w:val="auto"/>
        </w:rPr>
      </w:pPr>
      <w:r>
        <w:rPr>
          <w:rFonts w:ascii="Times New Roman" w:cs="Times New Roman" w:eastAsia="Times New Roman" w:hAnsi="Times New Roman"/>
          <w:sz w:val="18"/>
          <w:szCs w:val="18"/>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21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1400"/>
          </w:cols>
          <w:pgMar w:left="240" w:top="126" w:right="259" w:bottom="1440" w:gutter="0" w:footer="0" w:header="0"/>
        </w:sectPr>
      </w:pPr>
    </w:p>
    <w:bookmarkStart w:id="53" w:name="page54"/>
    <w:bookmarkEnd w:id="53"/>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52" w:lineRule="exact"/>
        <w:rPr>
          <w:sz w:val="20"/>
          <w:szCs w:val="20"/>
          <w:color w:val="auto"/>
        </w:rPr>
      </w:pPr>
    </w:p>
    <w:p>
      <w:pPr>
        <w:ind w:right="100" w:firstLine="405"/>
        <w:spacing w:after="0" w:line="255" w:lineRule="auto"/>
        <w:rPr>
          <w:sz w:val="20"/>
          <w:szCs w:val="20"/>
          <w:color w:val="auto"/>
        </w:rPr>
      </w:pPr>
      <w:r>
        <w:rPr>
          <w:rFonts w:ascii="Times New Roman" w:cs="Times New Roman" w:eastAsia="Times New Roman" w:hAnsi="Times New Roman"/>
          <w:sz w:val="18"/>
          <w:szCs w:val="18"/>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w:t>
      </w:r>
    </w:p>
    <w:p>
      <w:pPr>
        <w:spacing w:after="0" w:line="77" w:lineRule="exact"/>
        <w:rPr>
          <w:sz w:val="20"/>
          <w:szCs w:val="20"/>
          <w:color w:val="auto"/>
        </w:rPr>
      </w:pPr>
    </w:p>
    <w:p>
      <w:pPr>
        <w:ind w:firstLine="405"/>
        <w:spacing w:after="0" w:line="255" w:lineRule="auto"/>
        <w:rPr>
          <w:sz w:val="20"/>
          <w:szCs w:val="20"/>
          <w:color w:val="auto"/>
        </w:rPr>
      </w:pPr>
      <w:r>
        <w:rPr>
          <w:rFonts w:ascii="Times New Roman" w:cs="Times New Roman" w:eastAsia="Times New Roman" w:hAnsi="Times New Roman"/>
          <w:sz w:val="18"/>
          <w:szCs w:val="18"/>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73" w:lineRule="exact"/>
        <w:rPr>
          <w:sz w:val="20"/>
          <w:szCs w:val="20"/>
          <w:color w:val="auto"/>
        </w:rPr>
      </w:pPr>
    </w:p>
    <w:p>
      <w:pPr>
        <w:ind w:right="2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67" w:lineRule="exact"/>
        <w:rPr>
          <w:sz w:val="20"/>
          <w:szCs w:val="20"/>
          <w:color w:val="auto"/>
        </w:rPr>
      </w:pPr>
    </w:p>
    <w:p>
      <w:pPr>
        <w:ind w:right="20" w:firstLine="378"/>
        <w:spacing w:after="0" w:line="256" w:lineRule="auto"/>
        <w:rPr>
          <w:sz w:val="20"/>
          <w:szCs w:val="20"/>
          <w:color w:val="auto"/>
        </w:rPr>
      </w:pPr>
      <w:r>
        <w:rPr>
          <w:rFonts w:ascii="Times New Roman" w:cs="Times New Roman" w:eastAsia="Times New Roman" w:hAnsi="Times New Roman"/>
          <w:sz w:val="18"/>
          <w:szCs w:val="18"/>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80" w:lineRule="exact"/>
        <w:rPr>
          <w:sz w:val="20"/>
          <w:szCs w:val="20"/>
          <w:color w:val="auto"/>
        </w:rPr>
      </w:pPr>
    </w:p>
    <w:p>
      <w:pPr>
        <w:ind w:right="60" w:firstLine="378"/>
        <w:spacing w:after="0" w:line="256" w:lineRule="auto"/>
        <w:rPr>
          <w:sz w:val="20"/>
          <w:szCs w:val="20"/>
          <w:color w:val="auto"/>
        </w:rPr>
      </w:pPr>
      <w:r>
        <w:rPr>
          <w:rFonts w:ascii="Times New Roman" w:cs="Times New Roman" w:eastAsia="Times New Roman" w:hAnsi="Times New Roman"/>
          <w:sz w:val="18"/>
          <w:szCs w:val="18"/>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80" w:lineRule="exact"/>
        <w:rPr>
          <w:sz w:val="20"/>
          <w:szCs w:val="20"/>
          <w:color w:val="auto"/>
        </w:rPr>
      </w:pPr>
    </w:p>
    <w:p>
      <w:pPr>
        <w:ind w:right="260" w:firstLine="378"/>
        <w:spacing w:after="0" w:line="261" w:lineRule="auto"/>
        <w:rPr>
          <w:sz w:val="20"/>
          <w:szCs w:val="20"/>
          <w:color w:val="auto"/>
        </w:rPr>
      </w:pPr>
      <w:r>
        <w:rPr>
          <w:rFonts w:ascii="Times New Roman" w:cs="Times New Roman" w:eastAsia="Times New Roman" w:hAnsi="Times New Roman"/>
          <w:sz w:val="18"/>
          <w:szCs w:val="18"/>
          <w:color w:val="auto"/>
        </w:rPr>
        <w:t>Our products are incorporated into complex devices and systems, which may create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72" w:lineRule="exact"/>
        <w:rPr>
          <w:sz w:val="20"/>
          <w:szCs w:val="20"/>
          <w:color w:val="auto"/>
        </w:rPr>
      </w:pPr>
    </w:p>
    <w:p>
      <w:pPr>
        <w:ind w:firstLine="378"/>
        <w:spacing w:after="0" w:line="256" w:lineRule="auto"/>
        <w:rPr>
          <w:sz w:val="20"/>
          <w:szCs w:val="20"/>
          <w:color w:val="auto"/>
        </w:rPr>
      </w:pPr>
      <w:r>
        <w:rPr>
          <w:rFonts w:ascii="Times New Roman" w:cs="Times New Roman" w:eastAsia="Times New Roman" w:hAnsi="Times New Roman"/>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1420"/>
          </w:cols>
          <w:pgMar w:left="240" w:top="126" w:right="239" w:bottom="1440" w:gutter="0" w:footer="0" w:header="0"/>
        </w:sectPr>
      </w:pPr>
    </w:p>
    <w:bookmarkStart w:id="54" w:name="page55"/>
    <w:bookmarkEnd w:id="54"/>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48" w:lineRule="exact"/>
        <w:rPr>
          <w:sz w:val="20"/>
          <w:szCs w:val="20"/>
          <w:color w:val="auto"/>
        </w:rPr>
      </w:pPr>
    </w:p>
    <w:p>
      <w:pPr>
        <w:ind w:right="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firstLine="378"/>
        <w:spacing w:after="0" w:line="256" w:lineRule="auto"/>
        <w:rPr>
          <w:sz w:val="20"/>
          <w:szCs w:val="20"/>
          <w:color w:val="auto"/>
        </w:rPr>
      </w:pPr>
      <w:r>
        <w:rPr>
          <w:rFonts w:ascii="Times New Roman" w:cs="Times New Roman" w:eastAsia="Times New Roman" w:hAnsi="Times New Roman"/>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76" w:lineRule="exact"/>
        <w:rPr>
          <w:sz w:val="20"/>
          <w:szCs w:val="20"/>
          <w:color w:val="auto"/>
        </w:rPr>
      </w:pPr>
    </w:p>
    <w:p>
      <w:pPr>
        <w:ind w:right="2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67" w:lineRule="exact"/>
        <w:rPr>
          <w:sz w:val="20"/>
          <w:szCs w:val="20"/>
          <w:color w:val="auto"/>
        </w:rPr>
      </w:pPr>
    </w:p>
    <w:p>
      <w:pPr>
        <w:ind w:right="20" w:firstLine="378"/>
        <w:spacing w:after="0" w:line="258" w:lineRule="auto"/>
        <w:rPr>
          <w:sz w:val="20"/>
          <w:szCs w:val="20"/>
          <w:color w:val="auto"/>
        </w:rPr>
      </w:pPr>
      <w:r>
        <w:rPr>
          <w:rFonts w:ascii="Times New Roman" w:cs="Times New Roman" w:eastAsia="Times New Roman" w:hAnsi="Times New Roman"/>
          <w:sz w:val="18"/>
          <w:szCs w:val="18"/>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88% and 94% of our net revenue in the nine months ended November 3, 2018 and October 28, 2017, respectively.</w:t>
      </w:r>
    </w:p>
    <w:p>
      <w:pPr>
        <w:spacing w:after="0" w:line="76" w:lineRule="exact"/>
        <w:rPr>
          <w:sz w:val="20"/>
          <w:szCs w:val="20"/>
          <w:color w:val="auto"/>
        </w:rPr>
      </w:pPr>
    </w:p>
    <w:p>
      <w:pPr>
        <w:ind w:right="20" w:firstLine="378"/>
        <w:spacing w:after="0" w:line="261" w:lineRule="auto"/>
        <w:rPr>
          <w:sz w:val="20"/>
          <w:szCs w:val="20"/>
          <w:color w:val="auto"/>
        </w:rPr>
      </w:pPr>
      <w:r>
        <w:rPr>
          <w:rFonts w:ascii="Times New Roman" w:cs="Times New Roman" w:eastAsia="Times New Roman" w:hAnsi="Times New Roman"/>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72"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Accordingly, we are subject to risks associated with international operations, including:</w:t>
      </w:r>
    </w:p>
    <w:p>
      <w:pPr>
        <w:spacing w:after="0" w:line="117" w:lineRule="exact"/>
        <w:rPr>
          <w:sz w:val="20"/>
          <w:szCs w:val="20"/>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political, social and economic instability, including wars, terrorism, political unrest, boycotts, curtailment of trade and other business restrictions;</w:t>
      </w:r>
    </w:p>
    <w:p>
      <w:pPr>
        <w:spacing w:after="0" w:line="27" w:lineRule="exact"/>
        <w:rPr>
          <w:rFonts w:ascii="Times New Roman" w:cs="Times New Roman" w:eastAsia="Times New Roman" w:hAnsi="Times New Roman"/>
          <w:sz w:val="18"/>
          <w:szCs w:val="18"/>
          <w:color w:val="auto"/>
        </w:rPr>
      </w:pPr>
    </w:p>
    <w:p>
      <w:pPr>
        <w:ind w:left="820" w:right="440" w:hanging="420"/>
        <w:spacing w:after="0" w:line="250" w:lineRule="auto"/>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volatile global economic conditions, including downturns in which some competitors may become more aggressive in their pricing practices, which would adversely impact our gross margin;</w:t>
      </w:r>
    </w:p>
    <w:p>
      <w:pPr>
        <w:ind w:left="820" w:right="720" w:hanging="420"/>
        <w:spacing w:after="0" w:line="250" w:lineRule="auto"/>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ind w:left="820" w:right="60" w:hanging="420"/>
        <w:spacing w:after="0" w:line="250" w:lineRule="auto"/>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local laws and practices that favor local companies, including business practices in which we are prohibited from engaging by the Foreign Corrupt Practices Act and other anti-corruption laws and regulations;</w:t>
      </w: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staffing and managing foreign operations;</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natural disasters, including earthquakes, tsunamis and floods;</w:t>
      </w:r>
    </w:p>
    <w:p>
      <w:pPr>
        <w:spacing w:after="0" w:line="9" w:lineRule="exact"/>
        <w:rPr>
          <w:rFonts w:ascii="Times New Roman" w:cs="Times New Roman" w:eastAsia="Times New Roman" w:hAnsi="Times New Roman"/>
          <w:sz w:val="18"/>
          <w:szCs w:val="18"/>
          <w:color w:val="auto"/>
        </w:rPr>
      </w:pPr>
    </w:p>
    <w:p>
      <w:pPr>
        <w:ind w:left="820" w:right="20" w:hanging="420"/>
        <w:spacing w:after="0" w:line="250" w:lineRule="auto"/>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trade restrictions, higher tariffs, worsening trade relationship between the United States and China, or changes in cross border taxation, particularly in light of the recently imposed tariffs announced by the Trump administration;</w:t>
      </w: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transportation delays;</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of managing distributors;</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less effective protection of intellectual property than is afforded to us in the United States or other developed countries;</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inadequate local infrastructure; and</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exposure to local banking, currency control and other financial-related risks.</w:t>
      </w:r>
    </w:p>
    <w:p>
      <w:pPr>
        <w:spacing w:after="0" w:line="99" w:lineRule="exact"/>
        <w:rPr>
          <w:sz w:val="20"/>
          <w:szCs w:val="20"/>
          <w:color w:val="auto"/>
        </w:rPr>
      </w:pPr>
    </w:p>
    <w:p>
      <w:pPr>
        <w:ind w:right="520" w:firstLine="378"/>
        <w:spacing w:after="0" w:line="282" w:lineRule="auto"/>
        <w:rPr>
          <w:sz w:val="20"/>
          <w:szCs w:val="20"/>
          <w:color w:val="auto"/>
        </w:rPr>
      </w:pPr>
      <w:r>
        <w:rPr>
          <w:rFonts w:ascii="Times New Roman" w:cs="Times New Roman" w:eastAsia="Times New Roman" w:hAnsi="Times New Roman"/>
          <w:sz w:val="18"/>
          <w:szCs w:val="18"/>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54" w:lineRule="exact"/>
        <w:rPr>
          <w:sz w:val="20"/>
          <w:szCs w:val="20"/>
          <w:color w:val="auto"/>
        </w:rPr>
      </w:pPr>
    </w:p>
    <w:p>
      <w:pPr>
        <w:ind w:right="460" w:firstLine="378"/>
        <w:spacing w:after="0" w:line="266" w:lineRule="auto"/>
        <w:rPr>
          <w:sz w:val="20"/>
          <w:szCs w:val="20"/>
          <w:color w:val="auto"/>
        </w:rPr>
      </w:pPr>
      <w:r>
        <w:rPr>
          <w:rFonts w:ascii="Times New Roman" w:cs="Times New Roman" w:eastAsia="Times New Roman" w:hAnsi="Times New Roman"/>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0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53</w:t>
      </w:r>
    </w:p>
    <w:p>
      <w:pPr>
        <w:sectPr>
          <w:pgSz w:w="11900" w:h="16838" w:orient="portrait"/>
          <w:cols w:equalWidth="0" w:num="1">
            <w:col w:w="11420"/>
          </w:cols>
          <w:pgMar w:left="240" w:top="126" w:right="239" w:bottom="1440" w:gutter="0" w:footer="0" w:header="0"/>
        </w:sectPr>
      </w:pPr>
    </w:p>
    <w:bookmarkStart w:id="55" w:name="page56"/>
    <w:bookmarkEnd w:id="55"/>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48" w:lineRule="exact"/>
        <w:rPr>
          <w:sz w:val="20"/>
          <w:szCs w:val="20"/>
          <w:color w:val="auto"/>
        </w:rPr>
      </w:pPr>
    </w:p>
    <w:p>
      <w:pPr>
        <w:ind w:right="6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51" w:lineRule="exact"/>
        <w:rPr>
          <w:sz w:val="20"/>
          <w:szCs w:val="20"/>
          <w:color w:val="auto"/>
        </w:rPr>
      </w:pPr>
    </w:p>
    <w:p>
      <w:pPr>
        <w:ind w:firstLine="378"/>
        <w:spacing w:after="0" w:line="254" w:lineRule="auto"/>
        <w:rPr>
          <w:sz w:val="20"/>
          <w:szCs w:val="20"/>
          <w:color w:val="auto"/>
        </w:rPr>
      </w:pPr>
      <w:r>
        <w:rPr>
          <w:rFonts w:ascii="Times New Roman" w:cs="Times New Roman" w:eastAsia="Times New Roman" w:hAnsi="Times New Roman"/>
          <w:sz w:val="18"/>
          <w:szCs w:val="18"/>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data private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If we violate or fail to comply with any of them,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78" w:lineRule="exact"/>
        <w:rPr>
          <w:sz w:val="20"/>
          <w:szCs w:val="20"/>
          <w:color w:val="auto"/>
        </w:rPr>
      </w:pPr>
    </w:p>
    <w:p>
      <w:pPr>
        <w:ind w:right="140" w:firstLine="378"/>
        <w:spacing w:after="0" w:line="255" w:lineRule="auto"/>
        <w:rPr>
          <w:sz w:val="20"/>
          <w:szCs w:val="20"/>
          <w:color w:val="auto"/>
        </w:rPr>
      </w:pPr>
      <w:r>
        <w:rPr>
          <w:rFonts w:ascii="Times New Roman" w:cs="Times New Roman" w:eastAsia="Times New Roman" w:hAnsi="Times New Roman"/>
          <w:sz w:val="18"/>
          <w:szCs w:val="18"/>
          <w:color w:val="auto"/>
        </w:rPr>
        <w:t>In addition, we are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7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Changes in existing taxation benefits, rules or practices may adversely affect our financial results.</w:t>
      </w:r>
    </w:p>
    <w:p>
      <w:pPr>
        <w:spacing w:after="0" w:line="121" w:lineRule="exact"/>
        <w:rPr>
          <w:sz w:val="20"/>
          <w:szCs w:val="20"/>
          <w:color w:val="auto"/>
        </w:rPr>
      </w:pPr>
    </w:p>
    <w:p>
      <w:pPr>
        <w:ind w:right="20" w:firstLine="378"/>
        <w:spacing w:after="0" w:line="253" w:lineRule="auto"/>
        <w:rPr>
          <w:sz w:val="20"/>
          <w:szCs w:val="20"/>
          <w:color w:val="auto"/>
        </w:rPr>
      </w:pPr>
      <w:r>
        <w:rPr>
          <w:rFonts w:ascii="Times New Roman" w:cs="Times New Roman" w:eastAsia="Times New Roman" w:hAnsi="Times New Roman"/>
          <w:sz w:val="18"/>
          <w:szCs w:val="18"/>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81" w:lineRule="exact"/>
        <w:rPr>
          <w:sz w:val="20"/>
          <w:szCs w:val="20"/>
          <w:color w:val="auto"/>
        </w:rPr>
      </w:pPr>
    </w:p>
    <w:p>
      <w:pPr>
        <w:ind w:right="20" w:firstLine="378"/>
        <w:spacing w:after="0" w:line="256" w:lineRule="auto"/>
        <w:rPr>
          <w:sz w:val="20"/>
          <w:szCs w:val="20"/>
          <w:color w:val="auto"/>
        </w:rPr>
      </w:pPr>
      <w:r>
        <w:rPr>
          <w:rFonts w:ascii="Times New Roman" w:cs="Times New Roman" w:eastAsia="Times New Roman" w:hAnsi="Times New Roman"/>
          <w:sz w:val="18"/>
          <w:szCs w:val="18"/>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The European Commission has also conducted investigations in multiple countries focusing on whether local country tax rulings or tax legislation provides preferential tax treatment that violates European Union state aid rules and concluded that certain countries, including Ireland and Belgium, have provided illegal state aid in certain cases. We can provide no assurance that changes in tax laws and additional investigations would not have an adverse tax impact on our international operations.</w:t>
      </w:r>
    </w:p>
    <w:p>
      <w:pPr>
        <w:spacing w:after="0" w:line="2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54</w:t>
      </w:r>
    </w:p>
    <w:p>
      <w:pPr>
        <w:sectPr>
          <w:pgSz w:w="11900" w:h="16838" w:orient="portrait"/>
          <w:cols w:equalWidth="0" w:num="1">
            <w:col w:w="11400"/>
          </w:cols>
          <w:pgMar w:left="240" w:top="126" w:right="259" w:bottom="1440" w:gutter="0" w:footer="0" w:header="0"/>
        </w:sectPr>
      </w:pPr>
    </w:p>
    <w:bookmarkStart w:id="56" w:name="page57"/>
    <w:bookmarkEnd w:id="56"/>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48" w:lineRule="exact"/>
        <w:rPr>
          <w:sz w:val="20"/>
          <w:szCs w:val="20"/>
          <w:color w:val="auto"/>
        </w:rPr>
      </w:pPr>
    </w:p>
    <w:p>
      <w:pPr>
        <w:ind w:right="5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51" w:lineRule="exact"/>
        <w:rPr>
          <w:sz w:val="20"/>
          <w:szCs w:val="20"/>
          <w:color w:val="auto"/>
        </w:rPr>
      </w:pPr>
    </w:p>
    <w:p>
      <w:pPr>
        <w:ind w:right="20" w:firstLine="405"/>
        <w:spacing w:after="0" w:line="255" w:lineRule="auto"/>
        <w:rPr>
          <w:sz w:val="20"/>
          <w:szCs w:val="20"/>
          <w:color w:val="auto"/>
        </w:rPr>
      </w:pPr>
      <w:r>
        <w:rPr>
          <w:rFonts w:ascii="Times New Roman" w:cs="Times New Roman" w:eastAsia="Times New Roman" w:hAnsi="Times New Roman"/>
          <w:sz w:val="18"/>
          <w:szCs w:val="18"/>
          <w:color w:val="auto"/>
        </w:rPr>
        <w:t>As previously disclosed in our public filings, in March 2016,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We are also the subject of investigations by the Securities and Exchange Commission and the U.S. Attorney related to these matters. We are fully cooperating with the SEC and the U.S. Attorney with respect to those investigations.</w:t>
      </w:r>
    </w:p>
    <w:p>
      <w:pPr>
        <w:spacing w:after="0" w:line="81" w:lineRule="exact"/>
        <w:rPr>
          <w:sz w:val="20"/>
          <w:szCs w:val="20"/>
          <w:color w:val="auto"/>
        </w:rPr>
      </w:pPr>
    </w:p>
    <w:p>
      <w:pPr>
        <w:ind w:firstLine="405"/>
        <w:spacing w:after="0" w:line="256" w:lineRule="auto"/>
        <w:rPr>
          <w:sz w:val="20"/>
          <w:szCs w:val="20"/>
          <w:color w:val="auto"/>
        </w:rPr>
      </w:pPr>
      <w:r>
        <w:rPr>
          <w:rFonts w:ascii="Times New Roman" w:cs="Times New Roman" w:eastAsia="Times New Roman" w:hAnsi="Times New Roman"/>
          <w:sz w:val="18"/>
          <w:szCs w:val="18"/>
          <w:color w:val="auto"/>
        </w:rPr>
        <w:t>We incurred significant expenses related to legal, accounting, and other professional services in connection with the investigations and related matters and related remediation efforts. In addition, we incurred significant legal expenses in connection with the litigation and settlement of securities class actions or other lawsuits that were filed against us, our directors and officers. The expenses incurred, the impact of our delay in fiscal 2016 and the beginning of fiscal 2017 in meeting our periodic reports on the confidence of investors, employees and customers, and the diversion of the attention of the management team that occurred adversely affected our business, financial condition and results of operations or cash flows. Any future such investigations or additional lawsuits may adversely affect our business, financial condition, results of operations and cash flows.</w:t>
      </w:r>
    </w:p>
    <w:p>
      <w:pPr>
        <w:spacing w:after="0" w:line="76" w:lineRule="exact"/>
        <w:rPr>
          <w:sz w:val="20"/>
          <w:szCs w:val="20"/>
          <w:color w:val="auto"/>
        </w:rPr>
      </w:pPr>
    </w:p>
    <w:p>
      <w:pPr>
        <w:ind w:right="320"/>
        <w:spacing w:after="0" w:line="259" w:lineRule="auto"/>
        <w:rPr>
          <w:sz w:val="20"/>
          <w:szCs w:val="20"/>
          <w:color w:val="auto"/>
        </w:rPr>
      </w:pPr>
      <w:r>
        <w:rPr>
          <w:rFonts w:ascii="Times New Roman" w:cs="Times New Roman" w:eastAsia="Times New Roman" w:hAnsi="Times New Roman"/>
          <w:sz w:val="18"/>
          <w:szCs w:val="18"/>
          <w:b w:val="1"/>
          <w:bCs w:val="1"/>
          <w:i w:val="1"/>
          <w:iCs w:val="1"/>
          <w:color w:val="auto"/>
        </w:rPr>
        <w:t>During fiscal 2016 and continuing through the third quarter of fiscal 2018, we identified material weaknesses in our internal controls over financial reporting, which have since been remediated. If we are unable to develop, implement and maintain effective internal controls in future periods, our consolidated financial statements could contain material misstatements which would cause us to issue a restatement thereof. A restatement of our consolidated financial statements could cause our investors to lose confidence in our reported financial information and lead to a decline in our stock price.</w:t>
      </w:r>
    </w:p>
    <w:p>
      <w:pPr>
        <w:spacing w:after="0" w:line="76" w:lineRule="exact"/>
        <w:rPr>
          <w:sz w:val="20"/>
          <w:szCs w:val="20"/>
          <w:color w:val="auto"/>
        </w:rPr>
      </w:pPr>
    </w:p>
    <w:p>
      <w:pPr>
        <w:ind w:right="100" w:firstLine="405"/>
        <w:spacing w:after="0" w:line="256" w:lineRule="auto"/>
        <w:rPr>
          <w:sz w:val="20"/>
          <w:szCs w:val="20"/>
          <w:color w:val="auto"/>
        </w:rPr>
      </w:pPr>
      <w:r>
        <w:rPr>
          <w:rFonts w:ascii="Times New Roman" w:cs="Times New Roman" w:eastAsia="Times New Roman" w:hAnsi="Times New Roman"/>
          <w:sz w:val="18"/>
          <w:szCs w:val="18"/>
          <w:color w:val="auto"/>
        </w:rPr>
        <w:t>The Sarbanes-Oxley Act of 2002 and SEC rules require that management report on the effectiveness of our internal control over financial reporting and our disclosure controls and procedures. Among other things, management must conduct an assessment of internal control over financial reporting to allow management to report on the effectiveness of our internal control over financial reporting, as required by Section 404 of the Sarbanes-Oxley Act. During fiscal 2016 and continuing through the third quarter of fiscal 2018, we identified material weaknesses in our internal controls over financial reporting. While we have remediated these material weaknesses as of February 3, 2018, the remediation process absorbed significant management attention and we incurred significant expenses relating to the remediation.</w:t>
      </w:r>
    </w:p>
    <w:p>
      <w:pPr>
        <w:spacing w:after="0" w:line="80" w:lineRule="exact"/>
        <w:rPr>
          <w:sz w:val="20"/>
          <w:szCs w:val="20"/>
          <w:color w:val="auto"/>
        </w:rPr>
      </w:pPr>
    </w:p>
    <w:p>
      <w:pPr>
        <w:ind w:right="120" w:firstLine="405"/>
        <w:spacing w:after="0" w:line="256" w:lineRule="auto"/>
        <w:rPr>
          <w:sz w:val="20"/>
          <w:szCs w:val="20"/>
          <w:color w:val="auto"/>
        </w:rPr>
      </w:pPr>
      <w:r>
        <w:rPr>
          <w:rFonts w:ascii="Times New Roman" w:cs="Times New Roman" w:eastAsia="Times New Roman" w:hAnsi="Times New Roman"/>
          <w:sz w:val="18"/>
          <w:szCs w:val="18"/>
          <w:color w:val="auto"/>
        </w:rPr>
        <w:t>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80" w:lineRule="exact"/>
        <w:rPr>
          <w:sz w:val="20"/>
          <w:szCs w:val="20"/>
          <w:color w:val="auto"/>
        </w:rPr>
      </w:pPr>
    </w:p>
    <w:p>
      <w:pPr>
        <w:ind w:right="20" w:firstLine="405"/>
        <w:spacing w:after="0" w:line="255" w:lineRule="auto"/>
        <w:rPr>
          <w:sz w:val="20"/>
          <w:szCs w:val="20"/>
          <w:color w:val="auto"/>
        </w:rPr>
      </w:pPr>
      <w:r>
        <w:rPr>
          <w:rFonts w:ascii="Times New Roman" w:cs="Times New Roman" w:eastAsia="Times New Roman" w:hAnsi="Times New Roman"/>
          <w:sz w:val="18"/>
          <w:szCs w:val="18"/>
          <w:color w:val="auto"/>
        </w:rPr>
        <w:t>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2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55</w:t>
      </w:r>
    </w:p>
    <w:p>
      <w:pPr>
        <w:sectPr>
          <w:pgSz w:w="11900" w:h="16838" w:orient="portrait"/>
          <w:cols w:equalWidth="0" w:num="1">
            <w:col w:w="11420"/>
          </w:cols>
          <w:pgMar w:left="240" w:top="126" w:right="239" w:bottom="1440" w:gutter="0" w:footer="0" w:header="0"/>
        </w:sectPr>
      </w:pPr>
    </w:p>
    <w:bookmarkStart w:id="57" w:name="page58"/>
    <w:bookmarkEnd w:id="57"/>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48" w:lineRule="exact"/>
        <w:rPr>
          <w:sz w:val="20"/>
          <w:szCs w:val="20"/>
          <w:color w:val="auto"/>
        </w:rPr>
      </w:pPr>
    </w:p>
    <w:p>
      <w:pPr>
        <w:ind w:right="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67" w:lineRule="exact"/>
        <w:rPr>
          <w:sz w:val="20"/>
          <w:szCs w:val="20"/>
          <w:color w:val="auto"/>
        </w:rPr>
      </w:pPr>
    </w:p>
    <w:p>
      <w:pPr>
        <w:ind w:firstLine="405"/>
        <w:spacing w:after="0" w:line="255" w:lineRule="auto"/>
        <w:rPr>
          <w:sz w:val="20"/>
          <w:szCs w:val="20"/>
          <w:color w:val="auto"/>
        </w:rPr>
      </w:pPr>
      <w:r>
        <w:rPr>
          <w:rFonts w:ascii="Times New Roman" w:cs="Times New Roman" w:eastAsia="Times New Roman" w:hAnsi="Times New Roman"/>
          <w:sz w:val="18"/>
          <w:szCs w:val="18"/>
          <w:color w:val="auto"/>
        </w:rPr>
        <w:t>We have been named as a party to several lawsuits, government inquiries or investigations and other legal proceedings (referred to as “litigation”), and we may be named in additional ones in the future. Please see “Note 11 - Commitments and Contingencies” of our Notes to the Unaudited Condensed Consolidated Financial Statements set forth in Part I, Item 1 of this Quarterly Report on Form 10-Q for a more detailed description of material litigation matters in which we may be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Times New Roman" w:cs="Times New Roman" w:eastAsia="Times New Roman" w:hAnsi="Times New Roman"/>
          <w:sz w:val="18"/>
          <w:szCs w:val="18"/>
          <w:i w:val="1"/>
          <w:iCs w:val="1"/>
          <w:color w:val="auto"/>
        </w:rPr>
        <w:t>We may be unable to protect our intellectual property, which would negatively affect our ability to compete.”</w:t>
      </w:r>
    </w:p>
    <w:p>
      <w:pPr>
        <w:spacing w:after="0" w:line="81" w:lineRule="exact"/>
        <w:rPr>
          <w:sz w:val="20"/>
          <w:szCs w:val="20"/>
          <w:color w:val="auto"/>
        </w:rPr>
      </w:pPr>
    </w:p>
    <w:p>
      <w:pPr>
        <w:ind w:right="120" w:firstLine="405"/>
        <w:spacing w:after="0" w:line="261" w:lineRule="auto"/>
        <w:rPr>
          <w:sz w:val="20"/>
          <w:szCs w:val="20"/>
          <w:color w:val="auto"/>
        </w:rPr>
      </w:pPr>
      <w:r>
        <w:rPr>
          <w:rFonts w:ascii="Times New Roman" w:cs="Times New Roman" w:eastAsia="Times New Roman" w:hAnsi="Times New Roman"/>
          <w:sz w:val="18"/>
          <w:szCs w:val="18"/>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72" w:lineRule="exact"/>
        <w:rPr>
          <w:sz w:val="20"/>
          <w:szCs w:val="20"/>
          <w:color w:val="auto"/>
        </w:rPr>
      </w:pPr>
    </w:p>
    <w:p>
      <w:pPr>
        <w:ind w:left="820" w:right="260" w:hanging="420"/>
        <w:spacing w:after="0" w:line="261" w:lineRule="auto"/>
        <w:tabs>
          <w:tab w:leader="none" w:pos="82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stop selling, offering for sale, making, having made or exporting products or using technology that contains the allegedly infringing intellectual property;</w:t>
      </w:r>
    </w:p>
    <w:p>
      <w:pPr>
        <w:ind w:left="820" w:hanging="420"/>
        <w:spacing w:after="0"/>
        <w:tabs>
          <w:tab w:leader="none" w:pos="82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limit or restrict the type of work that employees involved in such litigation may perform for us;</w:t>
      </w:r>
    </w:p>
    <w:p>
      <w:pPr>
        <w:spacing w:after="0" w:line="9" w:lineRule="exact"/>
        <w:rPr>
          <w:rFonts w:ascii="Times New Roman" w:cs="Times New Roman" w:eastAsia="Times New Roman" w:hAnsi="Times New Roman"/>
          <w:sz w:val="18"/>
          <w:szCs w:val="18"/>
          <w:color w:val="auto"/>
        </w:rPr>
      </w:pPr>
    </w:p>
    <w:p>
      <w:pPr>
        <w:ind w:left="820" w:right="360" w:hanging="420"/>
        <w:spacing w:after="0" w:line="250" w:lineRule="auto"/>
        <w:tabs>
          <w:tab w:leader="none" w:pos="82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 substantial damages and/or license fees and/or royalties to the party claiming infringement or other license violations that could adversely impact our liquidity or operating results;</w:t>
      </w:r>
    </w:p>
    <w:p>
      <w:pPr>
        <w:ind w:left="820" w:hanging="420"/>
        <w:spacing w:after="0"/>
        <w:tabs>
          <w:tab w:leader="none" w:pos="82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obtain or renew licenses to the relevant intellectual property, which licenses may not be available on reasonable terms or at all; and</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redesign those products that contain the allegedly infringing intellectual property.</w:t>
      </w:r>
    </w:p>
    <w:p>
      <w:pPr>
        <w:spacing w:after="0" w:line="99" w:lineRule="exact"/>
        <w:rPr>
          <w:sz w:val="20"/>
          <w:szCs w:val="20"/>
          <w:color w:val="auto"/>
        </w:rPr>
      </w:pPr>
    </w:p>
    <w:p>
      <w:pPr>
        <w:ind w:right="120" w:firstLine="378"/>
        <w:spacing w:after="0" w:line="261" w:lineRule="auto"/>
        <w:rPr>
          <w:sz w:val="20"/>
          <w:szCs w:val="20"/>
          <w:color w:val="auto"/>
        </w:rPr>
      </w:pPr>
      <w:r>
        <w:rPr>
          <w:rFonts w:ascii="Times New Roman" w:cs="Times New Roman" w:eastAsia="Times New Roman" w:hAnsi="Times New Roman"/>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72" w:lineRule="exact"/>
        <w:rPr>
          <w:sz w:val="20"/>
          <w:szCs w:val="20"/>
          <w:color w:val="auto"/>
        </w:rPr>
      </w:pPr>
    </w:p>
    <w:p>
      <w:pPr>
        <w:ind w:right="20" w:firstLine="378"/>
        <w:spacing w:after="0" w:line="281" w:lineRule="auto"/>
        <w:rPr>
          <w:sz w:val="20"/>
          <w:szCs w:val="20"/>
          <w:color w:val="auto"/>
        </w:rPr>
      </w:pPr>
      <w:r>
        <w:rPr>
          <w:rFonts w:ascii="Times New Roman" w:cs="Times New Roman" w:eastAsia="Times New Roman" w:hAnsi="Times New Roman"/>
          <w:sz w:val="17"/>
          <w:szCs w:val="17"/>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5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are exposed to potential impairment charges on certain assets.</w:t>
      </w:r>
    </w:p>
    <w:p>
      <w:pPr>
        <w:spacing w:after="0" w:line="121" w:lineRule="exact"/>
        <w:rPr>
          <w:sz w:val="20"/>
          <w:szCs w:val="20"/>
          <w:color w:val="auto"/>
        </w:rPr>
      </w:pPr>
    </w:p>
    <w:p>
      <w:pPr>
        <w:ind w:right="120" w:firstLine="378"/>
        <w:spacing w:after="0" w:line="258" w:lineRule="auto"/>
        <w:rPr>
          <w:sz w:val="20"/>
          <w:szCs w:val="20"/>
          <w:color w:val="auto"/>
        </w:rPr>
      </w:pPr>
      <w:r>
        <w:rPr>
          <w:rFonts w:ascii="Times New Roman" w:cs="Times New Roman" w:eastAsia="Times New Roman" w:hAnsi="Times New Roman"/>
          <w:sz w:val="18"/>
          <w:szCs w:val="18"/>
          <w:color w:val="auto"/>
        </w:rPr>
        <w:t>We had approximately $5.5 billion of goodwill on our consolidated balance sheet as of November 3, 2018.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76" w:lineRule="exact"/>
        <w:rPr>
          <w:sz w:val="20"/>
          <w:szCs w:val="20"/>
          <w:color w:val="auto"/>
        </w:rPr>
      </w:pPr>
    </w:p>
    <w:p>
      <w:pPr>
        <w:ind w:right="20" w:firstLine="378"/>
        <w:spacing w:after="0" w:line="274" w:lineRule="auto"/>
        <w:rPr>
          <w:sz w:val="20"/>
          <w:szCs w:val="20"/>
          <w:color w:val="auto"/>
        </w:rPr>
      </w:pPr>
      <w:r>
        <w:rPr>
          <w:rFonts w:ascii="Times New Roman" w:cs="Times New Roman" w:eastAsia="Times New Roman" w:hAnsi="Times New Roman"/>
          <w:sz w:val="17"/>
          <w:szCs w:val="17"/>
          <w:color w:val="auto"/>
        </w:rPr>
        <w:t>We have identified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0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56</w:t>
      </w:r>
    </w:p>
    <w:p>
      <w:pPr>
        <w:sectPr>
          <w:pgSz w:w="11900" w:h="16838" w:orient="portrait"/>
          <w:cols w:equalWidth="0" w:num="1">
            <w:col w:w="11400"/>
          </w:cols>
          <w:pgMar w:left="240" w:top="126" w:right="259" w:bottom="1440" w:gutter="0" w:footer="0" w:header="0"/>
        </w:sectPr>
      </w:pPr>
    </w:p>
    <w:bookmarkStart w:id="58" w:name="page59"/>
    <w:bookmarkEnd w:id="58"/>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52" w:lineRule="exact"/>
        <w:rPr>
          <w:sz w:val="20"/>
          <w:szCs w:val="20"/>
          <w:color w:val="auto"/>
        </w:rPr>
      </w:pPr>
    </w:p>
    <w:p>
      <w:pPr>
        <w:ind w:right="80" w:firstLine="378"/>
        <w:spacing w:after="0" w:line="258" w:lineRule="auto"/>
        <w:rPr>
          <w:sz w:val="20"/>
          <w:szCs w:val="20"/>
          <w:color w:val="auto"/>
        </w:rPr>
      </w:pPr>
      <w:r>
        <w:rPr>
          <w:rFonts w:ascii="Times New Roman" w:cs="Times New Roman" w:eastAsia="Times New Roman" w:hAnsi="Times New Roman"/>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If we were classified as a passive foreign investment company, there would be adverse tax consequences to U.S. holders of our ordinary shares.</w:t>
      </w:r>
    </w:p>
    <w:p>
      <w:pPr>
        <w:spacing w:after="0" w:line="121" w:lineRule="exact"/>
        <w:rPr>
          <w:sz w:val="20"/>
          <w:szCs w:val="20"/>
          <w:color w:val="auto"/>
        </w:rPr>
      </w:pPr>
    </w:p>
    <w:p>
      <w:pPr>
        <w:ind w:right="100" w:firstLine="392"/>
        <w:spacing w:after="0" w:line="261" w:lineRule="auto"/>
        <w:rPr>
          <w:sz w:val="20"/>
          <w:szCs w:val="20"/>
          <w:color w:val="auto"/>
        </w:rPr>
      </w:pPr>
      <w:r>
        <w:rPr>
          <w:rFonts w:ascii="Times New Roman" w:cs="Times New Roman" w:eastAsia="Times New Roman" w:hAnsi="Times New Roman"/>
          <w:sz w:val="18"/>
          <w:szCs w:val="18"/>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72" w:lineRule="exact"/>
        <w:rPr>
          <w:sz w:val="20"/>
          <w:szCs w:val="20"/>
          <w:color w:val="auto"/>
        </w:rPr>
      </w:pPr>
    </w:p>
    <w:p>
      <w:pPr>
        <w:ind w:right="20" w:firstLine="392"/>
        <w:spacing w:after="0" w:line="255" w:lineRule="auto"/>
        <w:rPr>
          <w:sz w:val="20"/>
          <w:szCs w:val="20"/>
          <w:color w:val="auto"/>
        </w:rPr>
      </w:pPr>
      <w:r>
        <w:rPr>
          <w:rFonts w:ascii="Times New Roman" w:cs="Times New Roman" w:eastAsia="Times New Roman" w:hAnsi="Times New Roman"/>
          <w:sz w:val="18"/>
          <w:szCs w:val="18"/>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2018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73" w:lineRule="exact"/>
        <w:rPr>
          <w:sz w:val="20"/>
          <w:szCs w:val="20"/>
          <w:color w:val="auto"/>
        </w:rPr>
      </w:pPr>
    </w:p>
    <w:p>
      <w:pPr>
        <w:ind w:right="3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firstLine="378"/>
        <w:spacing w:after="0" w:line="256" w:lineRule="auto"/>
        <w:rPr>
          <w:sz w:val="20"/>
          <w:szCs w:val="20"/>
          <w:color w:val="auto"/>
        </w:rPr>
      </w:pPr>
      <w:r>
        <w:rPr>
          <w:rFonts w:ascii="Times New Roman" w:cs="Times New Roman" w:eastAsia="Times New Roman" w:hAnsi="Times New Roman"/>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are subject to the risks of owning real property.</w:t>
      </w:r>
    </w:p>
    <w:p>
      <w:pPr>
        <w:spacing w:after="0" w:line="121" w:lineRule="exact"/>
        <w:rPr>
          <w:sz w:val="20"/>
          <w:szCs w:val="20"/>
          <w:color w:val="auto"/>
        </w:rPr>
      </w:pPr>
    </w:p>
    <w:p>
      <w:pPr>
        <w:ind w:right="440" w:firstLine="378"/>
        <w:spacing w:after="0" w:line="282" w:lineRule="auto"/>
        <w:rPr>
          <w:sz w:val="20"/>
          <w:szCs w:val="20"/>
          <w:color w:val="auto"/>
        </w:rPr>
      </w:pPr>
      <w:r>
        <w:rPr>
          <w:rFonts w:ascii="Times New Roman" w:cs="Times New Roman" w:eastAsia="Times New Roman" w:hAnsi="Times New Roman"/>
          <w:sz w:val="18"/>
          <w:szCs w:val="18"/>
          <w:color w:val="auto"/>
        </w:rPr>
        <w:t>Our buildings in Santa Clara, California; Singapore; and Shanghai, China subject us to the risks of owning real property, which include, but are not limited to:</w:t>
      </w:r>
    </w:p>
    <w:p>
      <w:pPr>
        <w:spacing w:after="0" w:line="54" w:lineRule="exact"/>
        <w:rPr>
          <w:sz w:val="20"/>
          <w:szCs w:val="20"/>
          <w:color w:val="auto"/>
        </w:rPr>
      </w:pPr>
    </w:p>
    <w:p>
      <w:pPr>
        <w:ind w:left="820" w:hanging="420"/>
        <w:spacing w:after="0"/>
        <w:tabs>
          <w:tab w:leader="none" w:pos="8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of environmental contamination and the costs associated with remediating any environmental problems;</w:t>
      </w:r>
    </w:p>
    <w:p>
      <w:pPr>
        <w:spacing w:after="0" w:line="27" w:lineRule="exact"/>
        <w:rPr>
          <w:rFonts w:ascii="Times New Roman" w:cs="Times New Roman" w:eastAsia="Times New Roman" w:hAnsi="Times New Roman"/>
          <w:sz w:val="18"/>
          <w:szCs w:val="18"/>
          <w:color w:val="auto"/>
        </w:rPr>
      </w:pPr>
    </w:p>
    <w:p>
      <w:pPr>
        <w:ind w:left="820" w:right="20" w:hanging="420"/>
        <w:spacing w:after="0" w:line="250" w:lineRule="auto"/>
        <w:tabs>
          <w:tab w:leader="none" w:pos="8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adverse changes in the value of these properties due to interest rate changes, changes in the neighborhood in which the property is located, or other factors;</w:t>
      </w:r>
    </w:p>
    <w:p>
      <w:pPr>
        <w:ind w:left="820" w:hanging="420"/>
        <w:spacing w:after="0"/>
        <w:tabs>
          <w:tab w:leader="none" w:pos="8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possible need for structural improvements in order to comply with zoning, seismic and other legal or regulatory requirements;</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disruption of our business and operations arising from or connected with a relocation due to moving to or renovating the facility;</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cash commitments for improvements to the buildings or the property, or both;</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operating expenses for the buildings or the property, or both;</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possible disputes with tenants or other third parties related to the buildings or the property, or both;</w:t>
      </w:r>
    </w:p>
    <w:p>
      <w:pPr>
        <w:spacing w:after="0" w:line="9"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achieve expected cost savings due to extended non-occupancy of a vacated property intended to be leased; and</w:t>
      </w:r>
    </w:p>
    <w:p>
      <w:pPr>
        <w:spacing w:after="0" w:line="9" w:lineRule="exact"/>
        <w:rPr>
          <w:rFonts w:ascii="Times New Roman" w:cs="Times New Roman" w:eastAsia="Times New Roman" w:hAnsi="Times New Roman"/>
          <w:sz w:val="18"/>
          <w:szCs w:val="18"/>
          <w:color w:val="auto"/>
        </w:rPr>
      </w:pPr>
    </w:p>
    <w:p>
      <w:pPr>
        <w:ind w:left="820" w:right="320" w:hanging="420"/>
        <w:spacing w:after="0" w:line="261" w:lineRule="auto"/>
        <w:tabs>
          <w:tab w:leader="none" w:pos="8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0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57</w:t>
      </w:r>
    </w:p>
    <w:p>
      <w:pPr>
        <w:sectPr>
          <w:pgSz w:w="11900" w:h="16838" w:orient="portrait"/>
          <w:cols w:equalWidth="0" w:num="1">
            <w:col w:w="11420"/>
          </w:cols>
          <w:pgMar w:left="240" w:top="126" w:right="239" w:bottom="1440" w:gutter="0" w:footer="0" w:header="0"/>
        </w:sectPr>
      </w:pPr>
    </w:p>
    <w:bookmarkStart w:id="59" w:name="page60"/>
    <w:bookmarkEnd w:id="59"/>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34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Risks Related to Owning Marvell Common Shares</w:t>
      </w:r>
    </w:p>
    <w:p>
      <w:pPr>
        <w:spacing w:after="0" w:line="117" w:lineRule="exact"/>
        <w:rPr>
          <w:sz w:val="20"/>
          <w:szCs w:val="20"/>
          <w:color w:val="auto"/>
        </w:rPr>
      </w:pPr>
    </w:p>
    <w:p>
      <w:pPr>
        <w:ind w:right="2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51" w:lineRule="exact"/>
        <w:rPr>
          <w:sz w:val="20"/>
          <w:szCs w:val="20"/>
          <w:color w:val="auto"/>
        </w:rPr>
      </w:pPr>
    </w:p>
    <w:p>
      <w:pPr>
        <w:ind w:right="20" w:firstLine="378"/>
        <w:spacing w:after="0" w:line="255" w:lineRule="auto"/>
        <w:rPr>
          <w:sz w:val="20"/>
          <w:szCs w:val="20"/>
          <w:color w:val="auto"/>
        </w:rPr>
      </w:pPr>
      <w:r>
        <w:rPr>
          <w:rFonts w:ascii="Times New Roman" w:cs="Times New Roman" w:eastAsia="Times New Roman" w:hAnsi="Times New Roman"/>
          <w:sz w:val="18"/>
          <w:szCs w:val="18"/>
          <w:color w:val="auto"/>
        </w:rPr>
        <w:t>In May 2012, we declared our first quarterly cash dividend and in October 2018, we announced that our board of directors had authorized a $700 million addition to our previously existing $1 billion share repurchase program. An aggregate of $696 million of shares have been repurchased under that program as of November 3, 2018.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the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w:t>
      </w:r>
    </w:p>
    <w:p>
      <w:pPr>
        <w:spacing w:after="0" w:line="73" w:lineRule="exact"/>
        <w:rPr>
          <w:sz w:val="20"/>
          <w:szCs w:val="20"/>
          <w:color w:val="auto"/>
        </w:rPr>
      </w:pPr>
    </w:p>
    <w:p>
      <w:pPr>
        <w:jc w:val="both"/>
        <w:ind w:right="1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67" w:lineRule="exact"/>
        <w:rPr>
          <w:sz w:val="20"/>
          <w:szCs w:val="20"/>
          <w:color w:val="auto"/>
        </w:rPr>
      </w:pPr>
    </w:p>
    <w:p>
      <w:pPr>
        <w:ind w:right="20" w:firstLine="378"/>
        <w:spacing w:after="0" w:line="255" w:lineRule="auto"/>
        <w:rPr>
          <w:sz w:val="20"/>
          <w:szCs w:val="20"/>
          <w:color w:val="auto"/>
        </w:rPr>
      </w:pPr>
      <w:r>
        <w:rPr>
          <w:rFonts w:ascii="Times New Roman" w:cs="Times New Roman" w:eastAsia="Times New Roman" w:hAnsi="Times New Roman"/>
          <w:sz w:val="18"/>
          <w:szCs w:val="18"/>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81" w:lineRule="exact"/>
        <w:rPr>
          <w:sz w:val="20"/>
          <w:szCs w:val="20"/>
          <w:color w:val="auto"/>
        </w:rPr>
      </w:pPr>
    </w:p>
    <w:p>
      <w:pPr>
        <w:ind w:firstLine="378"/>
        <w:spacing w:after="0" w:line="255" w:lineRule="auto"/>
        <w:rPr>
          <w:sz w:val="20"/>
          <w:szCs w:val="20"/>
          <w:color w:val="auto"/>
        </w:rPr>
      </w:pPr>
      <w:r>
        <w:rPr>
          <w:rFonts w:ascii="Times New Roman" w:cs="Times New Roman" w:eastAsia="Times New Roman" w:hAnsi="Times New Roman"/>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73" w:lineRule="exact"/>
        <w:rPr>
          <w:sz w:val="20"/>
          <w:szCs w:val="20"/>
          <w:color w:val="auto"/>
        </w:rPr>
      </w:pPr>
    </w:p>
    <w:p>
      <w:pPr>
        <w:ind w:right="3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Our Bye-Laws contain change in corporate control provisions, which include authorizing the issuance of preferred shares without shareholder approval.</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This provision could make it more difficult for a third party to acquire us, even if doing so would benefit our shareholders.</w:t>
      </w: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2. </w:t>
      </w:r>
      <w:r>
        <w:rPr>
          <w:rFonts w:ascii="Times New Roman" w:cs="Times New Roman" w:eastAsia="Times New Roman" w:hAnsi="Times New Roman"/>
          <w:sz w:val="18"/>
          <w:szCs w:val="18"/>
          <w:b w:val="1"/>
          <w:bCs w:val="1"/>
          <w:i w:val="1"/>
          <w:iCs w:val="1"/>
          <w:color w:val="auto"/>
        </w:rPr>
        <w:t>Unregistered Sales of Equity Securities and Use of Proceeds</w:t>
      </w:r>
    </w:p>
    <w:p>
      <w:pPr>
        <w:spacing w:after="0" w:line="9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There were no sales of unregistered equity securities during the three months ended November 3, 2018.</w:t>
      </w:r>
    </w:p>
    <w:p>
      <w:pPr>
        <w:spacing w:after="0" w:line="25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58</w:t>
      </w:r>
    </w:p>
    <w:p>
      <w:pPr>
        <w:sectPr>
          <w:pgSz w:w="11900" w:h="16838" w:orient="portrait"/>
          <w:cols w:equalWidth="0" w:num="1">
            <w:col w:w="11420"/>
          </w:cols>
          <w:pgMar w:left="240" w:top="126" w:right="239" w:bottom="1440" w:gutter="0" w:footer="0" w:header="0"/>
        </w:sectPr>
      </w:pPr>
    </w:p>
    <w:bookmarkStart w:id="60" w:name="page61"/>
    <w:bookmarkEnd w:id="60"/>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Issuer Purchases of Equity Securities</w:t>
      </w:r>
    </w:p>
    <w:p>
      <w:pPr>
        <w:spacing w:after="0" w:line="9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following table presents details of our share repurchases during the three months ended November 3, 2018 (in thousands, except per share data):</w:t>
      </w:r>
    </w:p>
    <w:p>
      <w:pPr>
        <w:spacing w:after="0" w:line="34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40" w:type="dxa"/>
            <w:vAlign w:val="bottom"/>
          </w:tcPr>
          <w:p>
            <w:pPr>
              <w:spacing w:after="0"/>
              <w:rPr>
                <w:sz w:val="13"/>
                <w:szCs w:val="13"/>
                <w:color w:val="auto"/>
              </w:rPr>
            </w:pPr>
          </w:p>
        </w:tc>
        <w:tc>
          <w:tcPr>
            <w:tcW w:w="15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3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Total Number of Shares</w:t>
            </w: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200" w:type="dxa"/>
            <w:vAlign w:val="bottom"/>
          </w:tcPr>
          <w:p>
            <w:pPr>
              <w:jc w:val="center"/>
              <w:ind w:right="99"/>
              <w:spacing w:after="0"/>
              <w:rPr>
                <w:sz w:val="20"/>
                <w:szCs w:val="20"/>
                <w:color w:val="auto"/>
              </w:rPr>
            </w:pPr>
            <w:r>
              <w:rPr>
                <w:rFonts w:ascii="Times New Roman" w:cs="Times New Roman" w:eastAsia="Times New Roman" w:hAnsi="Times New Roman"/>
                <w:sz w:val="14"/>
                <w:szCs w:val="14"/>
                <w:b w:val="1"/>
                <w:bCs w:val="1"/>
                <w:color w:val="auto"/>
              </w:rPr>
              <w:t>Approximate Dollar Value of</w:t>
            </w:r>
          </w:p>
        </w:tc>
        <w:tc>
          <w:tcPr>
            <w:tcW w:w="0" w:type="dxa"/>
            <w:vAlign w:val="bottom"/>
          </w:tcPr>
          <w:p>
            <w:pPr>
              <w:spacing w:after="0"/>
              <w:rPr>
                <w:sz w:val="1"/>
                <w:szCs w:val="1"/>
                <w:color w:val="auto"/>
              </w:rPr>
            </w:pPr>
          </w:p>
        </w:tc>
      </w:tr>
      <w:tr>
        <w:trPr>
          <w:trHeight w:val="149"/>
        </w:trPr>
        <w:tc>
          <w:tcPr>
            <w:tcW w:w="3440" w:type="dxa"/>
            <w:vAlign w:val="bottom"/>
          </w:tcPr>
          <w:p>
            <w:pPr>
              <w:spacing w:after="0"/>
              <w:rPr>
                <w:sz w:val="12"/>
                <w:szCs w:val="12"/>
                <w:color w:val="auto"/>
              </w:rPr>
            </w:pPr>
          </w:p>
        </w:tc>
        <w:tc>
          <w:tcPr>
            <w:tcW w:w="1500" w:type="dxa"/>
            <w:vAlign w:val="bottom"/>
            <w:vMerge w:val="restart"/>
          </w:tcPr>
          <w:p>
            <w:pPr>
              <w:jc w:val="right"/>
              <w:ind w:right="156"/>
              <w:spacing w:after="0"/>
              <w:rPr>
                <w:sz w:val="20"/>
                <w:szCs w:val="20"/>
                <w:color w:val="auto"/>
              </w:rPr>
            </w:pPr>
            <w:r>
              <w:rPr>
                <w:rFonts w:ascii="Times New Roman" w:cs="Times New Roman" w:eastAsia="Times New Roman" w:hAnsi="Times New Roman"/>
                <w:sz w:val="14"/>
                <w:szCs w:val="14"/>
                <w:b w:val="1"/>
                <w:bCs w:val="1"/>
                <w:color w:val="auto"/>
              </w:rPr>
              <w:t>Total Number of</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restart"/>
          </w:tcPr>
          <w:p>
            <w:pPr>
              <w:ind w:left="80"/>
              <w:spacing w:after="0"/>
              <w:rPr>
                <w:sz w:val="20"/>
                <w:szCs w:val="20"/>
                <w:color w:val="auto"/>
              </w:rPr>
            </w:pPr>
            <w:r>
              <w:rPr>
                <w:rFonts w:ascii="Times New Roman" w:cs="Times New Roman" w:eastAsia="Times New Roman" w:hAnsi="Times New Roman"/>
                <w:sz w:val="14"/>
                <w:szCs w:val="14"/>
                <w:b w:val="1"/>
                <w:bCs w:val="1"/>
                <w:color w:val="auto"/>
              </w:rPr>
              <w:t>Average Price</w:t>
            </w:r>
          </w:p>
        </w:tc>
        <w:tc>
          <w:tcPr>
            <w:tcW w:w="23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Purchased as Part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Times New Roman" w:cs="Times New Roman" w:eastAsia="Times New Roman" w:hAnsi="Times New Roman"/>
                <w:sz w:val="14"/>
                <w:szCs w:val="14"/>
                <w:b w:val="1"/>
                <w:bCs w:val="1"/>
                <w:color w:val="auto"/>
              </w:rPr>
              <w:t>Shares that May Yet Be</w:t>
            </w:r>
          </w:p>
        </w:tc>
        <w:tc>
          <w:tcPr>
            <w:tcW w:w="0" w:type="dxa"/>
            <w:vAlign w:val="bottom"/>
          </w:tcPr>
          <w:p>
            <w:pPr>
              <w:spacing w:after="0"/>
              <w:rPr>
                <w:sz w:val="1"/>
                <w:szCs w:val="1"/>
                <w:color w:val="auto"/>
              </w:rPr>
            </w:pPr>
          </w:p>
        </w:tc>
      </w:tr>
      <w:tr>
        <w:trPr>
          <w:trHeight w:val="149"/>
        </w:trPr>
        <w:tc>
          <w:tcPr>
            <w:tcW w:w="3440" w:type="dxa"/>
            <w:vAlign w:val="bottom"/>
            <w:vMerge w:val="restart"/>
          </w:tcPr>
          <w:p>
            <w:pPr>
              <w:ind w:left="40"/>
              <w:spacing w:after="0"/>
              <w:rPr>
                <w:sz w:val="20"/>
                <w:szCs w:val="20"/>
                <w:color w:val="auto"/>
              </w:rPr>
            </w:pPr>
            <w:r>
              <w:rPr>
                <w:rFonts w:ascii="Times New Roman" w:cs="Times New Roman" w:eastAsia="Times New Roman" w:hAnsi="Times New Roman"/>
                <w:sz w:val="14"/>
                <w:szCs w:val="14"/>
                <w:b w:val="1"/>
                <w:bCs w:val="1"/>
                <w:color w:val="auto"/>
              </w:rPr>
              <w:t>Period (1)</w:t>
            </w:r>
          </w:p>
        </w:tc>
        <w:tc>
          <w:tcPr>
            <w:tcW w:w="150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continue"/>
          </w:tcPr>
          <w:p>
            <w:pPr>
              <w:spacing w:after="0"/>
              <w:rPr>
                <w:sz w:val="12"/>
                <w:szCs w:val="12"/>
                <w:color w:val="auto"/>
              </w:rPr>
            </w:pPr>
          </w:p>
        </w:tc>
        <w:tc>
          <w:tcPr>
            <w:tcW w:w="23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Publicly Announced Plans or</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Times New Roman" w:cs="Times New Roman" w:eastAsia="Times New Roman" w:hAnsi="Times New Roman"/>
                <w:sz w:val="14"/>
                <w:szCs w:val="14"/>
                <w:b w:val="1"/>
                <w:bCs w:val="1"/>
                <w:color w:val="auto"/>
              </w:rPr>
              <w:t>Purchased Under the Plans or</w:t>
            </w:r>
          </w:p>
        </w:tc>
        <w:tc>
          <w:tcPr>
            <w:tcW w:w="0" w:type="dxa"/>
            <w:vAlign w:val="bottom"/>
          </w:tcPr>
          <w:p>
            <w:pPr>
              <w:spacing w:after="0"/>
              <w:rPr>
                <w:sz w:val="1"/>
                <w:szCs w:val="1"/>
                <w:color w:val="auto"/>
              </w:rPr>
            </w:pPr>
          </w:p>
        </w:tc>
      </w:tr>
      <w:tr>
        <w:trPr>
          <w:trHeight w:val="195"/>
        </w:trPr>
        <w:tc>
          <w:tcPr>
            <w:tcW w:w="3440" w:type="dxa"/>
            <w:vAlign w:val="bottom"/>
            <w:tcBorders>
              <w:bottom w:val="single" w:sz="8" w:color="CCEEFF"/>
            </w:tcBorders>
            <w:vMerge w:val="continue"/>
          </w:tcPr>
          <w:p>
            <w:pPr>
              <w:spacing w:after="0"/>
              <w:rPr>
                <w:sz w:val="16"/>
                <w:szCs w:val="16"/>
                <w:color w:val="auto"/>
              </w:rPr>
            </w:pPr>
          </w:p>
        </w:tc>
        <w:tc>
          <w:tcPr>
            <w:tcW w:w="1500" w:type="dxa"/>
            <w:vAlign w:val="bottom"/>
            <w:tcBorders>
              <w:bottom w:val="single" w:sz="8" w:color="auto"/>
            </w:tcBorders>
          </w:tcPr>
          <w:p>
            <w:pPr>
              <w:jc w:val="right"/>
              <w:ind w:right="116"/>
              <w:spacing w:after="0"/>
              <w:rPr>
                <w:sz w:val="20"/>
                <w:szCs w:val="20"/>
                <w:color w:val="auto"/>
              </w:rPr>
            </w:pPr>
            <w:r>
              <w:rPr>
                <w:rFonts w:ascii="Times New Roman" w:cs="Times New Roman" w:eastAsia="Times New Roman" w:hAnsi="Times New Roman"/>
                <w:sz w:val="14"/>
                <w:szCs w:val="14"/>
                <w:b w:val="1"/>
                <w:bCs w:val="1"/>
                <w:color w:val="auto"/>
              </w:rPr>
              <w:t>Shares Purchased</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136"/>
              <w:spacing w:after="0"/>
              <w:rPr>
                <w:sz w:val="20"/>
                <w:szCs w:val="20"/>
                <w:color w:val="auto"/>
              </w:rPr>
            </w:pPr>
            <w:r>
              <w:rPr>
                <w:rFonts w:ascii="Times New Roman" w:cs="Times New Roman" w:eastAsia="Times New Roman" w:hAnsi="Times New Roman"/>
                <w:sz w:val="14"/>
                <w:szCs w:val="14"/>
                <w:b w:val="1"/>
                <w:bCs w:val="1"/>
                <w:color w:val="auto"/>
              </w:rPr>
              <w:t>Paid per Share</w:t>
            </w:r>
          </w:p>
        </w:tc>
        <w:tc>
          <w:tcPr>
            <w:tcW w:w="120" w:type="dxa"/>
            <w:vAlign w:val="bottom"/>
            <w:tcBorders>
              <w:bottom w:val="single" w:sz="8" w:color="CCEEFF"/>
            </w:tcBorders>
          </w:tcPr>
          <w:p>
            <w:pPr>
              <w:spacing w:after="0"/>
              <w:rPr>
                <w:sz w:val="16"/>
                <w:szCs w:val="16"/>
                <w:color w:val="auto"/>
              </w:rPr>
            </w:pPr>
          </w:p>
        </w:tc>
        <w:tc>
          <w:tcPr>
            <w:tcW w:w="23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Programs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Programs (2)</w:t>
            </w:r>
          </w:p>
        </w:tc>
        <w:tc>
          <w:tcPr>
            <w:tcW w:w="0" w:type="dxa"/>
            <w:vAlign w:val="bottom"/>
          </w:tcPr>
          <w:p>
            <w:pPr>
              <w:spacing w:after="0"/>
              <w:rPr>
                <w:sz w:val="1"/>
                <w:szCs w:val="1"/>
                <w:color w:val="auto"/>
              </w:rPr>
            </w:pPr>
          </w:p>
        </w:tc>
      </w:tr>
      <w:tr>
        <w:trPr>
          <w:trHeight w:val="249"/>
        </w:trPr>
        <w:tc>
          <w:tcPr>
            <w:tcW w:w="34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August 5 – September 1, 2018</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357,956</w:t>
            </w:r>
          </w:p>
        </w:tc>
        <w:tc>
          <w:tcPr>
            <w:tcW w:w="0" w:type="dxa"/>
            <w:vAlign w:val="bottom"/>
          </w:tcPr>
          <w:p>
            <w:pPr>
              <w:spacing w:after="0"/>
              <w:rPr>
                <w:sz w:val="1"/>
                <w:szCs w:val="1"/>
                <w:color w:val="auto"/>
              </w:rPr>
            </w:pPr>
          </w:p>
        </w:tc>
      </w:tr>
      <w:tr>
        <w:trPr>
          <w:trHeight w:val="243"/>
        </w:trPr>
        <w:tc>
          <w:tcPr>
            <w:tcW w:w="34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September 2 – September 29, 2018</w:t>
            </w:r>
          </w:p>
        </w:tc>
        <w:tc>
          <w:tcPr>
            <w:tcW w:w="1500" w:type="dxa"/>
            <w:vAlign w:val="bottom"/>
          </w:tcPr>
          <w:p>
            <w:pPr>
              <w:jc w:val="right"/>
              <w:ind w:right="36"/>
              <w:spacing w:after="0"/>
              <w:rPr>
                <w:sz w:val="20"/>
                <w:szCs w:val="20"/>
                <w:color w:val="auto"/>
              </w:rPr>
            </w:pPr>
            <w:r>
              <w:rPr>
                <w:rFonts w:ascii="Times New Roman" w:cs="Times New Roman" w:eastAsia="Times New Roman" w:hAnsi="Times New Roman"/>
                <w:sz w:val="18"/>
                <w:szCs w:val="18"/>
                <w:color w:val="auto"/>
              </w:rPr>
              <w:t>1,869</w:t>
            </w:r>
          </w:p>
        </w:tc>
        <w:tc>
          <w:tcPr>
            <w:tcW w:w="3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18.71</w:t>
            </w:r>
          </w:p>
        </w:tc>
        <w:tc>
          <w:tcPr>
            <w:tcW w:w="120" w:type="dxa"/>
            <w:vAlign w:val="bottom"/>
          </w:tcPr>
          <w:p>
            <w:pPr>
              <w:spacing w:after="0"/>
              <w:rPr>
                <w:sz w:val="21"/>
                <w:szCs w:val="21"/>
                <w:color w:val="auto"/>
              </w:rPr>
            </w:pPr>
          </w:p>
        </w:tc>
        <w:tc>
          <w:tcPr>
            <w:tcW w:w="238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1,869</w:t>
            </w:r>
          </w:p>
        </w:tc>
        <w:tc>
          <w:tcPr>
            <w:tcW w:w="30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220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322,985</w:t>
            </w:r>
          </w:p>
        </w:tc>
        <w:tc>
          <w:tcPr>
            <w:tcW w:w="0" w:type="dxa"/>
            <w:vAlign w:val="bottom"/>
          </w:tcPr>
          <w:p>
            <w:pPr>
              <w:spacing w:after="0"/>
              <w:rPr>
                <w:sz w:val="1"/>
                <w:szCs w:val="1"/>
                <w:color w:val="auto"/>
              </w:rPr>
            </w:pPr>
          </w:p>
        </w:tc>
      </w:tr>
      <w:tr>
        <w:trPr>
          <w:trHeight w:val="27"/>
        </w:trPr>
        <w:tc>
          <w:tcPr>
            <w:tcW w:w="34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September 30 – November 3, 2018</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1,026</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18.52</w:t>
            </w:r>
          </w:p>
        </w:tc>
        <w:tc>
          <w:tcPr>
            <w:tcW w:w="120" w:type="dxa"/>
            <w:vAlign w:val="bottom"/>
            <w:tcBorders>
              <w:bottom w:val="single" w:sz="8" w:color="CCEEFF"/>
            </w:tcBorders>
            <w:shd w:val="clear" w:color="auto" w:fill="CCEEFF"/>
          </w:tcPr>
          <w:p>
            <w:pPr>
              <w:spacing w:after="0"/>
              <w:rPr>
                <w:sz w:val="23"/>
                <w:szCs w:val="23"/>
                <w:color w:val="auto"/>
              </w:rPr>
            </w:pP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1,026</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1,003,987</w:t>
            </w:r>
          </w:p>
        </w:tc>
        <w:tc>
          <w:tcPr>
            <w:tcW w:w="0" w:type="dxa"/>
            <w:vAlign w:val="bottom"/>
          </w:tcPr>
          <w:p>
            <w:pPr>
              <w:spacing w:after="0"/>
              <w:rPr>
                <w:sz w:val="1"/>
                <w:szCs w:val="1"/>
                <w:color w:val="auto"/>
              </w:rPr>
            </w:pPr>
          </w:p>
        </w:tc>
      </w:tr>
      <w:tr>
        <w:trPr>
          <w:trHeight w:val="257"/>
        </w:trPr>
        <w:tc>
          <w:tcPr>
            <w:tcW w:w="34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w:t>
            </w:r>
          </w:p>
        </w:tc>
        <w:tc>
          <w:tcPr>
            <w:tcW w:w="1500" w:type="dxa"/>
            <w:vAlign w:val="bottom"/>
            <w:tcBorders>
              <w:top w:val="single" w:sz="8" w:color="auto"/>
              <w:bottom w:val="single" w:sz="8" w:color="auto"/>
            </w:tcBorders>
          </w:tcPr>
          <w:p>
            <w:pPr>
              <w:jc w:val="right"/>
              <w:ind w:right="36"/>
              <w:spacing w:after="0"/>
              <w:rPr>
                <w:sz w:val="20"/>
                <w:szCs w:val="20"/>
                <w:color w:val="auto"/>
              </w:rPr>
            </w:pPr>
            <w:r>
              <w:rPr>
                <w:rFonts w:ascii="Times New Roman" w:cs="Times New Roman" w:eastAsia="Times New Roman" w:hAnsi="Times New Roman"/>
                <w:sz w:val="18"/>
                <w:szCs w:val="18"/>
                <w:color w:val="auto"/>
              </w:rPr>
              <w:t>2,895</w:t>
            </w:r>
          </w:p>
        </w:tc>
        <w:tc>
          <w:tcPr>
            <w:tcW w:w="3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18.64</w:t>
            </w:r>
          </w:p>
        </w:tc>
        <w:tc>
          <w:tcPr>
            <w:tcW w:w="120" w:type="dxa"/>
            <w:vAlign w:val="bottom"/>
          </w:tcPr>
          <w:p>
            <w:pPr>
              <w:spacing w:after="0"/>
              <w:rPr>
                <w:sz w:val="22"/>
                <w:szCs w:val="22"/>
                <w:color w:val="auto"/>
              </w:rPr>
            </w:pPr>
          </w:p>
        </w:tc>
        <w:tc>
          <w:tcPr>
            <w:tcW w:w="2380" w:type="dxa"/>
            <w:vAlign w:val="bottom"/>
            <w:tcBorders>
              <w:top w:val="single" w:sz="8" w:color="auto"/>
              <w:bottom w:val="single" w:sz="8" w:color="auto"/>
            </w:tcBorders>
          </w:tcPr>
          <w:p>
            <w:pPr>
              <w:jc w:val="right"/>
              <w:ind w:right="19"/>
              <w:spacing w:after="0"/>
              <w:rPr>
                <w:sz w:val="20"/>
                <w:szCs w:val="20"/>
                <w:color w:val="auto"/>
              </w:rPr>
            </w:pPr>
            <w:r>
              <w:rPr>
                <w:rFonts w:ascii="Times New Roman" w:cs="Times New Roman" w:eastAsia="Times New Roman" w:hAnsi="Times New Roman"/>
                <w:sz w:val="18"/>
                <w:szCs w:val="18"/>
                <w:color w:val="auto"/>
              </w:rPr>
              <w:t>2,895</w:t>
            </w:r>
          </w:p>
        </w:tc>
        <w:tc>
          <w:tcPr>
            <w:tcW w:w="30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220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1,003,987</w:t>
            </w:r>
          </w:p>
        </w:tc>
        <w:tc>
          <w:tcPr>
            <w:tcW w:w="0" w:type="dxa"/>
            <w:vAlign w:val="bottom"/>
          </w:tcPr>
          <w:p>
            <w:pPr>
              <w:spacing w:after="0"/>
              <w:rPr>
                <w:sz w:val="1"/>
                <w:szCs w:val="1"/>
                <w:color w:val="auto"/>
              </w:rPr>
            </w:pPr>
          </w:p>
        </w:tc>
      </w:tr>
      <w:tr>
        <w:trPr>
          <w:trHeight w:val="20"/>
        </w:trPr>
        <w:tc>
          <w:tcPr>
            <w:tcW w:w="344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1" w:lineRule="exact"/>
        <w:rPr>
          <w:sz w:val="20"/>
          <w:szCs w:val="20"/>
          <w:color w:val="auto"/>
        </w:rPr>
      </w:pPr>
    </w:p>
    <w:p>
      <w:pPr>
        <w:ind w:left="660" w:right="440" w:hanging="652"/>
        <w:spacing w:after="0" w:line="261" w:lineRule="auto"/>
        <w:tabs>
          <w:tab w:leader="none" w:pos="6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monthly periods presented above for the three months ended November 3, 2018, are based on our fiscal accounting periods which follow a quarterly 4-4-5 week fiscal accounting period.</w:t>
      </w:r>
    </w:p>
    <w:p>
      <w:pPr>
        <w:ind w:left="660" w:right="200" w:hanging="652"/>
        <w:spacing w:after="0" w:line="252" w:lineRule="auto"/>
        <w:tabs>
          <w:tab w:leader="none" w:pos="6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November 17, 2016, we announced that our Board of Directors had authorized a $1 billion share repurchase plan. On October 16, 2018, we announced that our Board of Directors authorized a $700 million addition to the balance of our existing share repurchase plan. Our existing share repurchase program had approximately $304 million of repurchase authority remaining as of October 16, 2018 prior to the approved addition.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200" w:lineRule="exact"/>
        <w:rPr>
          <w:sz w:val="20"/>
          <w:szCs w:val="20"/>
          <w:color w:val="auto"/>
        </w:rPr>
      </w:pPr>
    </w:p>
    <w:p>
      <w:pPr>
        <w:spacing w:after="0" w:line="3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59</w:t>
      </w:r>
    </w:p>
    <w:p>
      <w:pPr>
        <w:sectPr>
          <w:pgSz w:w="11900" w:h="16838" w:orient="portrait"/>
          <w:cols w:equalWidth="0" w:num="1">
            <w:col w:w="11420"/>
          </w:cols>
          <w:pgMar w:left="240" w:top="126" w:right="239" w:bottom="1440" w:gutter="0" w:footer="0" w:header="0"/>
        </w:sectPr>
      </w:pPr>
    </w:p>
    <w:bookmarkStart w:id="61" w:name="page62"/>
    <w:bookmarkEnd w:id="61"/>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b w:val="1"/>
          <w:bCs w:val="1"/>
          <w:color w:val="auto"/>
        </w:rPr>
        <w:t xml:space="preserve">Item 6. </w:t>
      </w:r>
      <w:r>
        <w:rPr>
          <w:rFonts w:ascii="Times New Roman" w:cs="Times New Roman" w:eastAsia="Times New Roman" w:hAnsi="Times New Roman"/>
          <w:sz w:val="18"/>
          <w:szCs w:val="18"/>
          <w:b w:val="1"/>
          <w:bCs w:val="1"/>
          <w:i w:val="1"/>
          <w:iCs w:val="1"/>
          <w:color w:val="auto"/>
        </w:rPr>
        <w:t>Exhibits</w:t>
      </w:r>
    </w:p>
    <w:p>
      <w:pPr>
        <w:spacing w:after="0" w:line="2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1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460" w:type="dxa"/>
            <w:vAlign w:val="bottom"/>
          </w:tcPr>
          <w:p>
            <w:pPr>
              <w:jc w:val="center"/>
              <w:spacing w:after="0"/>
              <w:rPr>
                <w:sz w:val="20"/>
                <w:szCs w:val="20"/>
                <w:color w:val="auto"/>
              </w:rPr>
            </w:pPr>
            <w:r>
              <w:rPr>
                <w:rFonts w:ascii="Times New Roman" w:cs="Times New Roman" w:eastAsia="Times New Roman" w:hAnsi="Times New Roman"/>
                <w:sz w:val="14"/>
                <w:szCs w:val="14"/>
                <w:color w:val="auto"/>
              </w:rPr>
              <w:t>Incorporated by</w:t>
            </w: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920" w:type="dxa"/>
            <w:vAlign w:val="bottom"/>
            <w:vMerge w:val="restart"/>
          </w:tcPr>
          <w:p>
            <w:pPr>
              <w:ind w:left="140"/>
              <w:spacing w:after="0"/>
              <w:rPr>
                <w:sz w:val="20"/>
                <w:szCs w:val="20"/>
                <w:color w:val="auto"/>
              </w:rPr>
            </w:pPr>
            <w:r>
              <w:rPr>
                <w:rFonts w:ascii="Times New Roman" w:cs="Times New Roman" w:eastAsia="Times New Roman" w:hAnsi="Times New Roman"/>
                <w:sz w:val="14"/>
                <w:szCs w:val="14"/>
                <w:color w:val="auto"/>
              </w:rPr>
              <w:t>Exhibit No.</w:t>
            </w:r>
          </w:p>
        </w:tc>
        <w:tc>
          <w:tcPr>
            <w:tcW w:w="1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060" w:type="dxa"/>
            <w:vAlign w:val="bottom"/>
            <w:gridSpan w:val="10"/>
            <w:vMerge w:val="restart"/>
          </w:tcPr>
          <w:p>
            <w:pPr>
              <w:ind w:left="1180"/>
              <w:spacing w:after="0"/>
              <w:rPr>
                <w:sz w:val="20"/>
                <w:szCs w:val="20"/>
                <w:color w:val="auto"/>
              </w:rPr>
            </w:pPr>
            <w:r>
              <w:rPr>
                <w:rFonts w:ascii="Times New Roman" w:cs="Times New Roman" w:eastAsia="Times New Roman" w:hAnsi="Times New Roman"/>
                <w:sz w:val="14"/>
                <w:szCs w:val="14"/>
                <w:color w:val="auto"/>
              </w:rPr>
              <w:t>Item</w:t>
            </w: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4"/>
                <w:szCs w:val="14"/>
                <w:color w:val="auto"/>
                <w:w w:val="98"/>
              </w:rPr>
              <w:t>Form</w:t>
            </w:r>
          </w:p>
        </w:tc>
        <w:tc>
          <w:tcPr>
            <w:tcW w:w="1260" w:type="dxa"/>
            <w:vAlign w:val="bottom"/>
            <w:vMerge w:val="restart"/>
          </w:tcPr>
          <w:p>
            <w:pPr>
              <w:jc w:val="center"/>
              <w:spacing w:after="0"/>
              <w:rPr>
                <w:sz w:val="20"/>
                <w:szCs w:val="20"/>
                <w:color w:val="auto"/>
              </w:rPr>
            </w:pPr>
            <w:r>
              <w:rPr>
                <w:rFonts w:ascii="Times New Roman" w:cs="Times New Roman" w:eastAsia="Times New Roman" w:hAnsi="Times New Roman"/>
                <w:sz w:val="14"/>
                <w:szCs w:val="14"/>
                <w:color w:val="auto"/>
              </w:rPr>
              <w:t>File Number</w:t>
            </w:r>
          </w:p>
        </w:tc>
        <w:tc>
          <w:tcPr>
            <w:tcW w:w="146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color w:val="auto"/>
              </w:rPr>
              <w:t>Reference from</w:t>
            </w:r>
          </w:p>
        </w:tc>
        <w:tc>
          <w:tcPr>
            <w:tcW w:w="1300" w:type="dxa"/>
            <w:vAlign w:val="bottom"/>
            <w:vMerge w:val="restart"/>
          </w:tcPr>
          <w:p>
            <w:pPr>
              <w:jc w:val="center"/>
              <w:ind w:left="171"/>
              <w:spacing w:after="0"/>
              <w:rPr>
                <w:sz w:val="20"/>
                <w:szCs w:val="20"/>
                <w:color w:val="auto"/>
              </w:rPr>
            </w:pPr>
            <w:r>
              <w:rPr>
                <w:rFonts w:ascii="Times New Roman" w:cs="Times New Roman" w:eastAsia="Times New Roman" w:hAnsi="Times New Roman"/>
                <w:sz w:val="14"/>
                <w:szCs w:val="14"/>
                <w:color w:val="auto"/>
              </w:rPr>
              <w:t>Filed with SEC</w:t>
            </w:r>
          </w:p>
        </w:tc>
        <w:tc>
          <w:tcPr>
            <w:tcW w:w="0" w:type="dxa"/>
            <w:vAlign w:val="bottom"/>
          </w:tcPr>
          <w:p>
            <w:pPr>
              <w:spacing w:after="0"/>
              <w:rPr>
                <w:sz w:val="1"/>
                <w:szCs w:val="1"/>
                <w:color w:val="auto"/>
              </w:rPr>
            </w:pPr>
          </w:p>
        </w:tc>
      </w:tr>
      <w:tr>
        <w:trPr>
          <w:trHeight w:val="197"/>
        </w:trPr>
        <w:tc>
          <w:tcPr>
            <w:tcW w:w="920" w:type="dxa"/>
            <w:vAlign w:val="bottom"/>
            <w:tcBorders>
              <w:bottom w:val="single" w:sz="8" w:color="auto"/>
            </w:tcBorders>
            <w:vMerge w:val="continue"/>
          </w:tcPr>
          <w:p>
            <w:pPr>
              <w:spacing w:after="0"/>
              <w:rPr>
                <w:sz w:val="16"/>
                <w:szCs w:val="16"/>
                <w:color w:val="auto"/>
              </w:rPr>
            </w:pPr>
          </w:p>
        </w:tc>
        <w:tc>
          <w:tcPr>
            <w:tcW w:w="1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060" w:type="dxa"/>
            <w:vAlign w:val="bottom"/>
            <w:gridSpan w:val="10"/>
            <w:vMerge w:val="continue"/>
          </w:tcPr>
          <w:p>
            <w:pPr>
              <w:spacing w:after="0"/>
              <w:rPr>
                <w:sz w:val="16"/>
                <w:szCs w:val="16"/>
                <w:color w:val="auto"/>
              </w:rPr>
            </w:pPr>
          </w:p>
        </w:tc>
        <w:tc>
          <w:tcPr>
            <w:tcW w:w="760" w:type="dxa"/>
            <w:vAlign w:val="bottom"/>
            <w:vMerge w:val="continue"/>
          </w:tcPr>
          <w:p>
            <w:pPr>
              <w:spacing w:after="0"/>
              <w:rPr>
                <w:sz w:val="16"/>
                <w:szCs w:val="16"/>
                <w:color w:val="auto"/>
              </w:rPr>
            </w:pPr>
          </w:p>
        </w:tc>
        <w:tc>
          <w:tcPr>
            <w:tcW w:w="1260" w:type="dxa"/>
            <w:vAlign w:val="bottom"/>
            <w:vMerge w:val="continue"/>
          </w:tcPr>
          <w:p>
            <w:pPr>
              <w:spacing w:after="0"/>
              <w:rPr>
                <w:sz w:val="16"/>
                <w:szCs w:val="16"/>
                <w:color w:val="auto"/>
              </w:rPr>
            </w:pPr>
          </w:p>
        </w:tc>
        <w:tc>
          <w:tcPr>
            <w:tcW w:w="1460" w:type="dxa"/>
            <w:vAlign w:val="bottom"/>
          </w:tcPr>
          <w:p>
            <w:pPr>
              <w:jc w:val="center"/>
              <w:spacing w:after="0"/>
              <w:rPr>
                <w:sz w:val="20"/>
                <w:szCs w:val="20"/>
                <w:color w:val="auto"/>
              </w:rPr>
            </w:pPr>
            <w:r>
              <w:rPr>
                <w:rFonts w:ascii="Times New Roman" w:cs="Times New Roman" w:eastAsia="Times New Roman" w:hAnsi="Times New Roman"/>
                <w:sz w:val="14"/>
                <w:szCs w:val="14"/>
                <w:color w:val="auto"/>
              </w:rPr>
              <w:t>Exhibit Number</w:t>
            </w:r>
          </w:p>
        </w:tc>
        <w:tc>
          <w:tcPr>
            <w:tcW w:w="13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920" w:type="dxa"/>
            <w:vAlign w:val="bottom"/>
          </w:tcPr>
          <w:p>
            <w:pPr>
              <w:ind w:left="280"/>
              <w:spacing w:after="0" w:line="170" w:lineRule="exact"/>
              <w:rPr>
                <w:sz w:val="20"/>
                <w:szCs w:val="20"/>
                <w:color w:val="auto"/>
              </w:rPr>
            </w:pPr>
            <w:r>
              <w:rPr>
                <w:rFonts w:ascii="Times New Roman" w:cs="Times New Roman" w:eastAsia="Times New Roman" w:hAnsi="Times New Roman"/>
                <w:sz w:val="18"/>
                <w:szCs w:val="18"/>
                <w:color w:val="auto"/>
              </w:rPr>
              <w:t>3.1</w:t>
            </w:r>
          </w:p>
        </w:tc>
        <w:tc>
          <w:tcPr>
            <w:tcW w:w="160" w:type="dxa"/>
            <w:vAlign w:val="bottom"/>
          </w:tcPr>
          <w:p>
            <w:pPr>
              <w:spacing w:after="0"/>
              <w:rPr>
                <w:sz w:val="16"/>
                <w:szCs w:val="16"/>
                <w:color w:val="auto"/>
              </w:rPr>
            </w:pPr>
          </w:p>
        </w:tc>
        <w:tc>
          <w:tcPr>
            <w:tcW w:w="4660" w:type="dxa"/>
            <w:vAlign w:val="bottom"/>
            <w:tcBorders>
              <w:bottom w:val="single" w:sz="8" w:color="0000FF"/>
            </w:tcBorders>
            <w:gridSpan w:val="8"/>
          </w:tcPr>
          <w:p>
            <w:pPr>
              <w:spacing w:after="0" w:line="170" w:lineRule="exact"/>
              <w:rPr>
                <w:rFonts w:ascii="Times New Roman" w:cs="Times New Roman" w:eastAsia="Times New Roman" w:hAnsi="Times New Roman"/>
                <w:sz w:val="18"/>
                <w:szCs w:val="18"/>
                <w:color w:val="0000FF"/>
                <w:w w:val="99"/>
              </w:rPr>
            </w:pPr>
            <w:hyperlink r:id="rId18">
              <w:r>
                <w:rPr>
                  <w:rFonts w:ascii="Times New Roman" w:cs="Times New Roman" w:eastAsia="Times New Roman" w:hAnsi="Times New Roman"/>
                  <w:sz w:val="18"/>
                  <w:szCs w:val="18"/>
                  <w:color w:val="0000FF"/>
                  <w:w w:val="99"/>
                </w:rPr>
                <w:t>Memorandum of Association of Marvell Technology Group Ltd.</w:t>
              </w:r>
            </w:hyperlink>
          </w:p>
        </w:tc>
        <w:tc>
          <w:tcPr>
            <w:tcW w:w="680" w:type="dxa"/>
            <w:vAlign w:val="bottom"/>
            <w:gridSpan w:val="6"/>
          </w:tcPr>
          <w:p>
            <w:pPr>
              <w:spacing w:after="0"/>
              <w:rPr>
                <w:sz w:val="16"/>
                <w:szCs w:val="16"/>
                <w:color w:val="auto"/>
              </w:rPr>
            </w:pPr>
          </w:p>
        </w:tc>
        <w:tc>
          <w:tcPr>
            <w:tcW w:w="760" w:type="dxa"/>
            <w:vAlign w:val="bottom"/>
          </w:tcPr>
          <w:p>
            <w:pPr>
              <w:jc w:val="center"/>
              <w:spacing w:after="0" w:line="170" w:lineRule="exact"/>
              <w:rPr>
                <w:sz w:val="20"/>
                <w:szCs w:val="20"/>
                <w:color w:val="auto"/>
              </w:rPr>
            </w:pPr>
            <w:r>
              <w:rPr>
                <w:rFonts w:ascii="Times New Roman" w:cs="Times New Roman" w:eastAsia="Times New Roman" w:hAnsi="Times New Roman"/>
                <w:sz w:val="18"/>
                <w:szCs w:val="18"/>
                <w:color w:val="auto"/>
              </w:rPr>
              <w:t>10-K</w:t>
            </w:r>
          </w:p>
        </w:tc>
        <w:tc>
          <w:tcPr>
            <w:tcW w:w="1260" w:type="dxa"/>
            <w:vAlign w:val="bottom"/>
          </w:tcPr>
          <w:p>
            <w:pPr>
              <w:jc w:val="center"/>
              <w:spacing w:after="0" w:line="170" w:lineRule="exact"/>
              <w:rPr>
                <w:sz w:val="20"/>
                <w:szCs w:val="20"/>
                <w:color w:val="auto"/>
              </w:rPr>
            </w:pPr>
            <w:r>
              <w:rPr>
                <w:rFonts w:ascii="Times New Roman" w:cs="Times New Roman" w:eastAsia="Times New Roman" w:hAnsi="Times New Roman"/>
                <w:sz w:val="18"/>
                <w:szCs w:val="18"/>
                <w:color w:val="auto"/>
                <w:w w:val="99"/>
              </w:rPr>
              <w:t>000-30877</w:t>
            </w:r>
          </w:p>
        </w:tc>
        <w:tc>
          <w:tcPr>
            <w:tcW w:w="1460" w:type="dxa"/>
            <w:vAlign w:val="bottom"/>
          </w:tcPr>
          <w:p>
            <w:pPr>
              <w:jc w:val="center"/>
              <w:spacing w:after="0" w:line="170" w:lineRule="exact"/>
              <w:rPr>
                <w:sz w:val="20"/>
                <w:szCs w:val="20"/>
                <w:color w:val="auto"/>
              </w:rPr>
            </w:pPr>
            <w:r>
              <w:rPr>
                <w:rFonts w:ascii="Times New Roman" w:cs="Times New Roman" w:eastAsia="Times New Roman" w:hAnsi="Times New Roman"/>
                <w:sz w:val="18"/>
                <w:szCs w:val="18"/>
                <w:color w:val="auto"/>
              </w:rPr>
              <w:t>3.1</w:t>
            </w:r>
          </w:p>
        </w:tc>
        <w:tc>
          <w:tcPr>
            <w:tcW w:w="1300" w:type="dxa"/>
            <w:vAlign w:val="bottom"/>
          </w:tcPr>
          <w:p>
            <w:pPr>
              <w:jc w:val="center"/>
              <w:ind w:left="171"/>
              <w:spacing w:after="0" w:line="170" w:lineRule="exact"/>
              <w:rPr>
                <w:sz w:val="20"/>
                <w:szCs w:val="20"/>
                <w:color w:val="auto"/>
              </w:rPr>
            </w:pPr>
            <w:r>
              <w:rPr>
                <w:rFonts w:ascii="Times New Roman" w:cs="Times New Roman" w:eastAsia="Times New Roman" w:hAnsi="Times New Roman"/>
                <w:sz w:val="18"/>
                <w:szCs w:val="18"/>
                <w:color w:val="auto"/>
                <w:w w:val="98"/>
              </w:rPr>
              <w:t>3/29/2018</w:t>
            </w:r>
          </w:p>
        </w:tc>
        <w:tc>
          <w:tcPr>
            <w:tcW w:w="0" w:type="dxa"/>
            <w:vAlign w:val="bottom"/>
          </w:tcPr>
          <w:p>
            <w:pPr>
              <w:spacing w:after="0"/>
              <w:rPr>
                <w:sz w:val="1"/>
                <w:szCs w:val="1"/>
                <w:color w:val="auto"/>
              </w:rPr>
            </w:pPr>
          </w:p>
        </w:tc>
      </w:tr>
      <w:tr>
        <w:trPr>
          <w:trHeight w:val="264"/>
        </w:trPr>
        <w:tc>
          <w:tcPr>
            <w:tcW w:w="92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3.2</w:t>
            </w:r>
          </w:p>
        </w:tc>
        <w:tc>
          <w:tcPr>
            <w:tcW w:w="160" w:type="dxa"/>
            <w:vAlign w:val="bottom"/>
          </w:tcPr>
          <w:p>
            <w:pPr>
              <w:spacing w:after="0"/>
              <w:rPr>
                <w:sz w:val="22"/>
                <w:szCs w:val="22"/>
                <w:color w:val="auto"/>
              </w:rPr>
            </w:pPr>
          </w:p>
        </w:tc>
        <w:tc>
          <w:tcPr>
            <w:tcW w:w="5340" w:type="dxa"/>
            <w:vAlign w:val="bottom"/>
            <w:gridSpan w:val="14"/>
          </w:tcPr>
          <w:p>
            <w:pPr>
              <w:spacing w:after="0"/>
              <w:rPr>
                <w:rFonts w:ascii="Times New Roman" w:cs="Times New Roman" w:eastAsia="Times New Roman" w:hAnsi="Times New Roman"/>
                <w:sz w:val="18"/>
                <w:szCs w:val="18"/>
                <w:color w:val="0000FF"/>
              </w:rPr>
            </w:pPr>
            <w:hyperlink r:id="rId19">
              <w:r>
                <w:rPr>
                  <w:rFonts w:ascii="Times New Roman" w:cs="Times New Roman" w:eastAsia="Times New Roman" w:hAnsi="Times New Roman"/>
                  <w:sz w:val="18"/>
                  <w:szCs w:val="18"/>
                  <w:color w:val="0000FF"/>
                </w:rPr>
                <w:t>Certificate of Incorporation of Marvell Technology Group Ltd.</w:t>
              </w:r>
            </w:hyperlink>
          </w:p>
        </w:tc>
        <w:tc>
          <w:tcPr>
            <w:tcW w:w="7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10-Q</w:t>
            </w:r>
          </w:p>
        </w:tc>
        <w:tc>
          <w:tcPr>
            <w:tcW w:w="12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000-30877</w:t>
            </w:r>
          </w:p>
        </w:tc>
        <w:tc>
          <w:tcPr>
            <w:tcW w:w="14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3.2</w:t>
            </w: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6/5/2018</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7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16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3.3</w:t>
            </w:r>
          </w:p>
        </w:tc>
        <w:tc>
          <w:tcPr>
            <w:tcW w:w="160" w:type="dxa"/>
            <w:vAlign w:val="bottom"/>
          </w:tcPr>
          <w:p>
            <w:pPr>
              <w:spacing w:after="0"/>
              <w:rPr>
                <w:sz w:val="21"/>
                <w:szCs w:val="21"/>
                <w:color w:val="auto"/>
              </w:rPr>
            </w:pPr>
          </w:p>
        </w:tc>
        <w:tc>
          <w:tcPr>
            <w:tcW w:w="5340" w:type="dxa"/>
            <w:vAlign w:val="bottom"/>
            <w:gridSpan w:val="14"/>
          </w:tcPr>
          <w:p>
            <w:pPr>
              <w:spacing w:after="0"/>
              <w:rPr>
                <w:rFonts w:ascii="Times New Roman" w:cs="Times New Roman" w:eastAsia="Times New Roman" w:hAnsi="Times New Roman"/>
                <w:sz w:val="18"/>
                <w:szCs w:val="18"/>
                <w:color w:val="0000FF"/>
              </w:rPr>
            </w:pPr>
            <w:hyperlink r:id="rId20">
              <w:r>
                <w:rPr>
                  <w:rFonts w:ascii="Times New Roman" w:cs="Times New Roman" w:eastAsia="Times New Roman" w:hAnsi="Times New Roman"/>
                  <w:sz w:val="18"/>
                  <w:szCs w:val="18"/>
                  <w:color w:val="0000FF"/>
                </w:rPr>
                <w:t>Fourth Amended and Restated Bye-Laws of Marvell Technology Group</w:t>
              </w:r>
            </w:hyperlink>
          </w:p>
        </w:tc>
        <w:tc>
          <w:tcPr>
            <w:tcW w:w="7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8-K</w:t>
            </w:r>
          </w:p>
        </w:tc>
        <w:tc>
          <w:tcPr>
            <w:tcW w:w="12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000-30877</w:t>
            </w:r>
          </w:p>
        </w:tc>
        <w:tc>
          <w:tcPr>
            <w:tcW w:w="14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3.1</w:t>
            </w:r>
          </w:p>
        </w:tc>
        <w:tc>
          <w:tcPr>
            <w:tcW w:w="1300" w:type="dxa"/>
            <w:vAlign w:val="bottom"/>
          </w:tcPr>
          <w:p>
            <w:pPr>
              <w:jc w:val="center"/>
              <w:ind w:left="191"/>
              <w:spacing w:after="0"/>
              <w:rPr>
                <w:sz w:val="20"/>
                <w:szCs w:val="20"/>
                <w:color w:val="auto"/>
              </w:rPr>
            </w:pPr>
            <w:r>
              <w:rPr>
                <w:rFonts w:ascii="Times New Roman" w:cs="Times New Roman" w:eastAsia="Times New Roman" w:hAnsi="Times New Roman"/>
                <w:sz w:val="18"/>
                <w:szCs w:val="18"/>
                <w:color w:val="auto"/>
                <w:w w:val="99"/>
              </w:rPr>
              <w:t>11/10/2016</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Borders>
              <w:top w:val="single" w:sz="8" w:color="0000FF"/>
              <w:bottom w:val="single" w:sz="8" w:color="0000FF"/>
            </w:tcBorders>
          </w:tcPr>
          <w:p>
            <w:pPr>
              <w:spacing w:after="0" w:line="196" w:lineRule="exact"/>
              <w:rPr>
                <w:rFonts w:ascii="Times New Roman" w:cs="Times New Roman" w:eastAsia="Times New Roman" w:hAnsi="Times New Roman"/>
                <w:sz w:val="18"/>
                <w:szCs w:val="18"/>
                <w:color w:val="0000FF"/>
                <w:w w:val="94"/>
              </w:rPr>
            </w:pPr>
            <w:hyperlink r:id="rId20">
              <w:r>
                <w:rPr>
                  <w:rFonts w:ascii="Times New Roman" w:cs="Times New Roman" w:eastAsia="Times New Roman" w:hAnsi="Times New Roman"/>
                  <w:sz w:val="18"/>
                  <w:szCs w:val="18"/>
                  <w:color w:val="0000FF"/>
                  <w:w w:val="94"/>
                </w:rPr>
                <w:t>Ltd.</w:t>
              </w:r>
            </w:hyperlink>
          </w:p>
        </w:tc>
        <w:tc>
          <w:tcPr>
            <w:tcW w:w="4880" w:type="dxa"/>
            <w:vAlign w:val="bottom"/>
            <w:tcBorders>
              <w:top w:val="single" w:sz="8" w:color="0000FF"/>
            </w:tcBorders>
            <w:gridSpan w:val="12"/>
          </w:tcPr>
          <w:p>
            <w:pPr>
              <w:spacing w:after="0"/>
              <w:rPr>
                <w:sz w:val="17"/>
                <w:szCs w:val="17"/>
                <w:color w:val="auto"/>
              </w:rPr>
            </w:pPr>
          </w:p>
        </w:tc>
        <w:tc>
          <w:tcPr>
            <w:tcW w:w="1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92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3.4</w:t>
            </w:r>
          </w:p>
        </w:tc>
        <w:tc>
          <w:tcPr>
            <w:tcW w:w="160" w:type="dxa"/>
            <w:vAlign w:val="bottom"/>
          </w:tcPr>
          <w:p>
            <w:pPr>
              <w:spacing w:after="0"/>
              <w:rPr>
                <w:sz w:val="21"/>
                <w:szCs w:val="21"/>
                <w:color w:val="auto"/>
              </w:rPr>
            </w:pPr>
          </w:p>
        </w:tc>
        <w:tc>
          <w:tcPr>
            <w:tcW w:w="5340" w:type="dxa"/>
            <w:vAlign w:val="bottom"/>
            <w:gridSpan w:val="14"/>
          </w:tcPr>
          <w:p>
            <w:pPr>
              <w:spacing w:after="0"/>
              <w:rPr>
                <w:rFonts w:ascii="Times New Roman" w:cs="Times New Roman" w:eastAsia="Times New Roman" w:hAnsi="Times New Roman"/>
                <w:sz w:val="18"/>
                <w:szCs w:val="18"/>
                <w:color w:val="0000FF"/>
              </w:rPr>
            </w:pPr>
            <w:hyperlink r:id="rId21">
              <w:r>
                <w:rPr>
                  <w:rFonts w:ascii="Times New Roman" w:cs="Times New Roman" w:eastAsia="Times New Roman" w:hAnsi="Times New Roman"/>
                  <w:sz w:val="18"/>
                  <w:szCs w:val="18"/>
                  <w:color w:val="0000FF"/>
                </w:rPr>
                <w:t>Memorandum of Reduction of Share Premium dated August 8, 2011</w:t>
              </w:r>
            </w:hyperlink>
          </w:p>
        </w:tc>
        <w:tc>
          <w:tcPr>
            <w:tcW w:w="7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10-Q</w:t>
            </w:r>
          </w:p>
        </w:tc>
        <w:tc>
          <w:tcPr>
            <w:tcW w:w="12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000-30877</w:t>
            </w:r>
          </w:p>
        </w:tc>
        <w:tc>
          <w:tcPr>
            <w:tcW w:w="14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3.4</w:t>
            </w: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6/5/2018</w:t>
            </w:r>
          </w:p>
        </w:tc>
        <w:tc>
          <w:tcPr>
            <w:tcW w:w="0" w:type="dxa"/>
            <w:vAlign w:val="bottom"/>
          </w:tcPr>
          <w:p>
            <w:pPr>
              <w:spacing w:after="0"/>
              <w:rPr>
                <w:sz w:val="1"/>
                <w:szCs w:val="1"/>
                <w:color w:val="auto"/>
              </w:rPr>
            </w:pPr>
          </w:p>
        </w:tc>
      </w:tr>
      <w:tr>
        <w:trPr>
          <w:trHeight w:val="250"/>
        </w:trPr>
        <w:tc>
          <w:tcPr>
            <w:tcW w:w="92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3.5</w:t>
            </w:r>
          </w:p>
        </w:tc>
        <w:tc>
          <w:tcPr>
            <w:tcW w:w="160" w:type="dxa"/>
            <w:vAlign w:val="bottom"/>
          </w:tcPr>
          <w:p>
            <w:pPr>
              <w:spacing w:after="0"/>
              <w:rPr>
                <w:sz w:val="21"/>
                <w:szCs w:val="21"/>
                <w:color w:val="auto"/>
              </w:rPr>
            </w:pPr>
          </w:p>
        </w:tc>
        <w:tc>
          <w:tcPr>
            <w:tcW w:w="4780" w:type="dxa"/>
            <w:vAlign w:val="bottom"/>
            <w:tcBorders>
              <w:top w:val="single" w:sz="8" w:color="0000FF"/>
              <w:bottom w:val="single" w:sz="8" w:color="0000FF"/>
            </w:tcBorders>
            <w:gridSpan w:val="10"/>
          </w:tcPr>
          <w:p>
            <w:pPr>
              <w:spacing w:after="0"/>
              <w:rPr>
                <w:rFonts w:ascii="Times New Roman" w:cs="Times New Roman" w:eastAsia="Times New Roman" w:hAnsi="Times New Roman"/>
                <w:sz w:val="18"/>
                <w:szCs w:val="18"/>
                <w:color w:val="0000FF"/>
                <w:w w:val="99"/>
              </w:rPr>
            </w:pPr>
            <w:hyperlink r:id="rId22">
              <w:r>
                <w:rPr>
                  <w:rFonts w:ascii="Times New Roman" w:cs="Times New Roman" w:eastAsia="Times New Roman" w:hAnsi="Times New Roman"/>
                  <w:sz w:val="18"/>
                  <w:szCs w:val="18"/>
                  <w:color w:val="0000FF"/>
                  <w:w w:val="99"/>
                </w:rPr>
                <w:t>Memorandum of Increase of Share Capital of Marvell Technology</w:t>
              </w:r>
            </w:hyperlink>
          </w:p>
        </w:tc>
        <w:tc>
          <w:tcPr>
            <w:tcW w:w="140" w:type="dxa"/>
            <w:vAlign w:val="bottom"/>
            <w:tcBorders>
              <w:top w:val="single" w:sz="8" w:color="0000FF"/>
            </w:tcBorders>
          </w:tcPr>
          <w:p>
            <w:pPr>
              <w:spacing w:after="0"/>
              <w:rPr>
                <w:sz w:val="21"/>
                <w:szCs w:val="21"/>
                <w:color w:val="auto"/>
              </w:rPr>
            </w:pPr>
          </w:p>
        </w:tc>
        <w:tc>
          <w:tcPr>
            <w:tcW w:w="420" w:type="dxa"/>
            <w:vAlign w:val="bottom"/>
            <w:gridSpan w:val="3"/>
          </w:tcPr>
          <w:p>
            <w:pPr>
              <w:spacing w:after="0"/>
              <w:rPr>
                <w:sz w:val="21"/>
                <w:szCs w:val="21"/>
                <w:color w:val="auto"/>
              </w:rPr>
            </w:pPr>
          </w:p>
        </w:tc>
        <w:tc>
          <w:tcPr>
            <w:tcW w:w="7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10-Q</w:t>
            </w:r>
          </w:p>
        </w:tc>
        <w:tc>
          <w:tcPr>
            <w:tcW w:w="12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000-30877</w:t>
            </w:r>
          </w:p>
        </w:tc>
        <w:tc>
          <w:tcPr>
            <w:tcW w:w="14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3.5</w:t>
            </w: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6/5/2018</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340" w:type="dxa"/>
            <w:vAlign w:val="bottom"/>
            <w:gridSpan w:val="14"/>
          </w:tcPr>
          <w:p>
            <w:pPr>
              <w:spacing w:after="0" w:line="196" w:lineRule="exact"/>
              <w:rPr>
                <w:rFonts w:ascii="Times New Roman" w:cs="Times New Roman" w:eastAsia="Times New Roman" w:hAnsi="Times New Roman"/>
                <w:sz w:val="18"/>
                <w:szCs w:val="18"/>
                <w:color w:val="0000FF"/>
              </w:rPr>
            </w:pPr>
            <w:hyperlink r:id="rId22">
              <w:r>
                <w:rPr>
                  <w:rFonts w:ascii="Times New Roman" w:cs="Times New Roman" w:eastAsia="Times New Roman" w:hAnsi="Times New Roman"/>
                  <w:sz w:val="18"/>
                  <w:szCs w:val="18"/>
                  <w:color w:val="0000FF"/>
                </w:rPr>
                <w:t>Group Ltd. dated June 29, 2006, June 7, 2004, April 25, 2000, July 16,</w:t>
              </w:r>
            </w:hyperlink>
          </w:p>
        </w:tc>
        <w:tc>
          <w:tcPr>
            <w:tcW w:w="7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80" w:type="dxa"/>
            <w:vAlign w:val="bottom"/>
            <w:tcBorders>
              <w:top w:val="single" w:sz="8" w:color="0000FF"/>
            </w:tcBorders>
            <w:gridSpan w:val="12"/>
          </w:tcPr>
          <w:p>
            <w:pPr>
              <w:spacing w:after="0" w:line="196" w:lineRule="exact"/>
              <w:rPr>
                <w:rFonts w:ascii="Times New Roman" w:cs="Times New Roman" w:eastAsia="Times New Roman" w:hAnsi="Times New Roman"/>
                <w:sz w:val="18"/>
                <w:szCs w:val="18"/>
                <w:color w:val="0000FF"/>
              </w:rPr>
            </w:pPr>
            <w:hyperlink r:id="rId22">
              <w:r>
                <w:rPr>
                  <w:rFonts w:ascii="Times New Roman" w:cs="Times New Roman" w:eastAsia="Times New Roman" w:hAnsi="Times New Roman"/>
                  <w:sz w:val="18"/>
                  <w:szCs w:val="18"/>
                  <w:color w:val="0000FF"/>
                </w:rPr>
                <w:t>1999, July 22, 1998, September 26, 1996 and March 10, 1995</w:t>
              </w:r>
            </w:hyperlink>
          </w:p>
        </w:tc>
        <w:tc>
          <w:tcPr>
            <w:tcW w:w="260" w:type="dxa"/>
            <w:vAlign w:val="bottom"/>
            <w:gridSpan w:val="2"/>
          </w:tcPr>
          <w:p>
            <w:pPr>
              <w:spacing w:after="0"/>
              <w:rPr>
                <w:sz w:val="17"/>
                <w:szCs w:val="17"/>
                <w:color w:val="auto"/>
              </w:rPr>
            </w:pPr>
          </w:p>
        </w:tc>
        <w:tc>
          <w:tcPr>
            <w:tcW w:w="7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7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160" w:type="dxa"/>
            <w:vAlign w:val="bottom"/>
            <w:shd w:val="clear" w:color="auto" w:fill="0000FF"/>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gridSpan w:val="5"/>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31.1</w:t>
            </w:r>
          </w:p>
        </w:tc>
        <w:tc>
          <w:tcPr>
            <w:tcW w:w="160" w:type="dxa"/>
            <w:vAlign w:val="bottom"/>
          </w:tcPr>
          <w:p>
            <w:pPr>
              <w:spacing w:after="0"/>
              <w:rPr>
                <w:sz w:val="21"/>
                <w:szCs w:val="21"/>
                <w:color w:val="auto"/>
              </w:rPr>
            </w:pPr>
          </w:p>
        </w:tc>
        <w:tc>
          <w:tcPr>
            <w:tcW w:w="4720" w:type="dxa"/>
            <w:vAlign w:val="bottom"/>
            <w:tcBorders>
              <w:bottom w:val="single" w:sz="8" w:color="0000FF"/>
            </w:tcBorders>
            <w:gridSpan w:val="9"/>
          </w:tcPr>
          <w:p>
            <w:pPr>
              <w:spacing w:after="0"/>
              <w:rPr>
                <w:sz w:val="20"/>
                <w:szCs w:val="20"/>
                <w:color w:val="auto"/>
              </w:rPr>
            </w:pPr>
            <w:r>
              <w:rPr>
                <w:rFonts w:ascii="Times New Roman" w:cs="Times New Roman" w:eastAsia="Times New Roman" w:hAnsi="Times New Roman"/>
                <w:sz w:val="18"/>
                <w:szCs w:val="18"/>
                <w:color w:val="0000FF"/>
                <w:w w:val="99"/>
              </w:rPr>
              <w:t>Rule 13a-14(a)/15d-14(a) Certification of the Principal Executive</w:t>
            </w:r>
          </w:p>
        </w:tc>
        <w:tc>
          <w:tcPr>
            <w:tcW w:w="620" w:type="dxa"/>
            <w:vAlign w:val="bottom"/>
            <w:gridSpan w:val="5"/>
          </w:tcPr>
          <w:p>
            <w:pPr>
              <w:spacing w:after="0"/>
              <w:rPr>
                <w:sz w:val="21"/>
                <w:szCs w:val="21"/>
                <w:color w:val="auto"/>
              </w:rPr>
            </w:pPr>
          </w:p>
        </w:tc>
        <w:tc>
          <w:tcPr>
            <w:tcW w:w="7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Borders>
              <w:bottom w:val="single" w:sz="8" w:color="0000FF"/>
            </w:tcBorders>
            <w:gridSpan w:val="2"/>
          </w:tcPr>
          <w:p>
            <w:pPr>
              <w:spacing w:after="0" w:line="196" w:lineRule="exact"/>
              <w:rPr>
                <w:sz w:val="20"/>
                <w:szCs w:val="20"/>
                <w:color w:val="auto"/>
              </w:rPr>
            </w:pPr>
            <w:r>
              <w:rPr>
                <w:rFonts w:ascii="Times New Roman" w:cs="Times New Roman" w:eastAsia="Times New Roman" w:hAnsi="Times New Roman"/>
                <w:sz w:val="18"/>
                <w:szCs w:val="18"/>
                <w:color w:val="0000FF"/>
                <w:w w:val="96"/>
              </w:rPr>
              <w:t>Officer</w:t>
            </w:r>
          </w:p>
        </w:tc>
        <w:tc>
          <w:tcPr>
            <w:tcW w:w="4820" w:type="dxa"/>
            <w:vAlign w:val="bottom"/>
            <w:gridSpan w:val="12"/>
          </w:tcPr>
          <w:p>
            <w:pPr>
              <w:spacing w:after="0"/>
              <w:rPr>
                <w:sz w:val="17"/>
                <w:szCs w:val="17"/>
                <w:color w:val="auto"/>
              </w:rPr>
            </w:pPr>
          </w:p>
        </w:tc>
        <w:tc>
          <w:tcPr>
            <w:tcW w:w="7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92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31.2</w:t>
            </w:r>
          </w:p>
        </w:tc>
        <w:tc>
          <w:tcPr>
            <w:tcW w:w="160" w:type="dxa"/>
            <w:vAlign w:val="bottom"/>
          </w:tcPr>
          <w:p>
            <w:pPr>
              <w:spacing w:after="0"/>
              <w:rPr>
                <w:sz w:val="21"/>
                <w:szCs w:val="21"/>
                <w:color w:val="auto"/>
              </w:rPr>
            </w:pPr>
          </w:p>
        </w:tc>
        <w:tc>
          <w:tcPr>
            <w:tcW w:w="5340" w:type="dxa"/>
            <w:vAlign w:val="bottom"/>
            <w:gridSpan w:val="14"/>
          </w:tcPr>
          <w:p>
            <w:pPr>
              <w:spacing w:after="0"/>
              <w:rPr>
                <w:sz w:val="20"/>
                <w:szCs w:val="20"/>
                <w:color w:val="auto"/>
              </w:rPr>
            </w:pPr>
            <w:r>
              <w:rPr>
                <w:rFonts w:ascii="Times New Roman" w:cs="Times New Roman" w:eastAsia="Times New Roman" w:hAnsi="Times New Roman"/>
                <w:sz w:val="18"/>
                <w:szCs w:val="18"/>
                <w:color w:val="0000FF"/>
              </w:rPr>
              <w:t>Rule 13a-14(a)/15d-14(a) Certification of the Principal Financial</w:t>
            </w:r>
          </w:p>
        </w:tc>
        <w:tc>
          <w:tcPr>
            <w:tcW w:w="7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Borders>
              <w:top w:val="single" w:sz="8" w:color="0000FF"/>
              <w:bottom w:val="single" w:sz="8" w:color="0000FF"/>
            </w:tcBorders>
            <w:gridSpan w:val="2"/>
          </w:tcPr>
          <w:p>
            <w:pPr>
              <w:spacing w:after="0" w:line="196" w:lineRule="exact"/>
              <w:rPr>
                <w:sz w:val="20"/>
                <w:szCs w:val="20"/>
                <w:color w:val="auto"/>
              </w:rPr>
            </w:pPr>
            <w:r>
              <w:rPr>
                <w:rFonts w:ascii="Times New Roman" w:cs="Times New Roman" w:eastAsia="Times New Roman" w:hAnsi="Times New Roman"/>
                <w:sz w:val="18"/>
                <w:szCs w:val="18"/>
                <w:color w:val="0000FF"/>
                <w:w w:val="96"/>
              </w:rPr>
              <w:t>Officer</w:t>
            </w:r>
          </w:p>
        </w:tc>
        <w:tc>
          <w:tcPr>
            <w:tcW w:w="4140" w:type="dxa"/>
            <w:vAlign w:val="bottom"/>
            <w:tcBorders>
              <w:top w:val="single" w:sz="8" w:color="0000FF"/>
            </w:tcBorders>
            <w:gridSpan w:val="6"/>
          </w:tcPr>
          <w:p>
            <w:pPr>
              <w:spacing w:after="0"/>
              <w:rPr>
                <w:sz w:val="17"/>
                <w:szCs w:val="17"/>
                <w:color w:val="auto"/>
              </w:rPr>
            </w:pPr>
          </w:p>
        </w:tc>
        <w:tc>
          <w:tcPr>
            <w:tcW w:w="680" w:type="dxa"/>
            <w:vAlign w:val="bottom"/>
            <w:gridSpan w:val="6"/>
          </w:tcPr>
          <w:p>
            <w:pPr>
              <w:spacing w:after="0"/>
              <w:rPr>
                <w:sz w:val="17"/>
                <w:szCs w:val="17"/>
                <w:color w:val="auto"/>
              </w:rPr>
            </w:pPr>
          </w:p>
        </w:tc>
        <w:tc>
          <w:tcPr>
            <w:tcW w:w="7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9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32.1*</w:t>
            </w:r>
          </w:p>
        </w:tc>
        <w:tc>
          <w:tcPr>
            <w:tcW w:w="160" w:type="dxa"/>
            <w:vAlign w:val="bottom"/>
          </w:tcPr>
          <w:p>
            <w:pPr>
              <w:spacing w:after="0"/>
              <w:rPr>
                <w:sz w:val="21"/>
                <w:szCs w:val="21"/>
                <w:color w:val="auto"/>
              </w:rPr>
            </w:pPr>
          </w:p>
        </w:tc>
        <w:tc>
          <w:tcPr>
            <w:tcW w:w="5340" w:type="dxa"/>
            <w:vAlign w:val="bottom"/>
            <w:gridSpan w:val="14"/>
          </w:tcPr>
          <w:p>
            <w:pPr>
              <w:spacing w:after="0"/>
              <w:rPr>
                <w:sz w:val="20"/>
                <w:szCs w:val="20"/>
                <w:color w:val="auto"/>
              </w:rPr>
            </w:pPr>
            <w:r>
              <w:rPr>
                <w:rFonts w:ascii="Times New Roman" w:cs="Times New Roman" w:eastAsia="Times New Roman" w:hAnsi="Times New Roman"/>
                <w:sz w:val="18"/>
                <w:szCs w:val="18"/>
                <w:color w:val="0000FF"/>
              </w:rPr>
              <w:t>Certification Pursuant to 18 U.S.C. Section 1350, as Adopted Pursuant</w:t>
            </w:r>
          </w:p>
        </w:tc>
        <w:tc>
          <w:tcPr>
            <w:tcW w:w="7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80" w:type="dxa"/>
            <w:vAlign w:val="bottom"/>
            <w:tcBorders>
              <w:top w:val="single" w:sz="8" w:color="0000FF"/>
            </w:tcBorders>
            <w:gridSpan w:val="12"/>
          </w:tcPr>
          <w:p>
            <w:pPr>
              <w:spacing w:after="0" w:line="196" w:lineRule="exact"/>
              <w:rPr>
                <w:sz w:val="20"/>
                <w:szCs w:val="20"/>
                <w:color w:val="auto"/>
              </w:rPr>
            </w:pPr>
            <w:r>
              <w:rPr>
                <w:rFonts w:ascii="Times New Roman" w:cs="Times New Roman" w:eastAsia="Times New Roman" w:hAnsi="Times New Roman"/>
                <w:sz w:val="18"/>
                <w:szCs w:val="18"/>
                <w:color w:val="0000FF"/>
              </w:rPr>
              <w:t>to Section 906 of the Sarbanes-Oxley Act of 2002 for Principal</w:t>
            </w:r>
          </w:p>
        </w:tc>
        <w:tc>
          <w:tcPr>
            <w:tcW w:w="260" w:type="dxa"/>
            <w:vAlign w:val="bottom"/>
            <w:gridSpan w:val="2"/>
          </w:tcPr>
          <w:p>
            <w:pPr>
              <w:spacing w:after="0"/>
              <w:rPr>
                <w:sz w:val="17"/>
                <w:szCs w:val="17"/>
                <w:color w:val="auto"/>
              </w:rPr>
            </w:pPr>
          </w:p>
        </w:tc>
        <w:tc>
          <w:tcPr>
            <w:tcW w:w="7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80" w:type="dxa"/>
            <w:vAlign w:val="bottom"/>
            <w:tcBorders>
              <w:top w:val="single" w:sz="8" w:color="0000FF"/>
              <w:bottom w:val="single" w:sz="8" w:color="0000FF"/>
            </w:tcBorders>
            <w:gridSpan w:val="4"/>
          </w:tcPr>
          <w:p>
            <w:pPr>
              <w:spacing w:after="0" w:line="196" w:lineRule="exact"/>
              <w:rPr>
                <w:sz w:val="20"/>
                <w:szCs w:val="20"/>
                <w:color w:val="auto"/>
              </w:rPr>
            </w:pPr>
            <w:r>
              <w:rPr>
                <w:rFonts w:ascii="Times New Roman" w:cs="Times New Roman" w:eastAsia="Times New Roman" w:hAnsi="Times New Roman"/>
                <w:sz w:val="18"/>
                <w:szCs w:val="18"/>
                <w:color w:val="0000FF"/>
                <w:w w:val="98"/>
              </w:rPr>
              <w:t>Executive Officer</w:t>
            </w:r>
          </w:p>
        </w:tc>
        <w:tc>
          <w:tcPr>
            <w:tcW w:w="3260" w:type="dxa"/>
            <w:vAlign w:val="bottom"/>
            <w:tcBorders>
              <w:top w:val="single" w:sz="8" w:color="0000FF"/>
            </w:tcBorders>
            <w:gridSpan w:val="3"/>
          </w:tcPr>
          <w:p>
            <w:pPr>
              <w:spacing w:after="0"/>
              <w:rPr>
                <w:sz w:val="17"/>
                <w:szCs w:val="17"/>
                <w:color w:val="auto"/>
              </w:rPr>
            </w:pPr>
          </w:p>
        </w:tc>
        <w:tc>
          <w:tcPr>
            <w:tcW w:w="800" w:type="dxa"/>
            <w:vAlign w:val="bottom"/>
            <w:gridSpan w:val="7"/>
          </w:tcPr>
          <w:p>
            <w:pPr>
              <w:spacing w:after="0"/>
              <w:rPr>
                <w:sz w:val="17"/>
                <w:szCs w:val="17"/>
                <w:color w:val="auto"/>
              </w:rPr>
            </w:pPr>
          </w:p>
        </w:tc>
        <w:tc>
          <w:tcPr>
            <w:tcW w:w="7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0"/>
        </w:trPr>
        <w:tc>
          <w:tcPr>
            <w:tcW w:w="9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32.2*</w:t>
            </w:r>
          </w:p>
        </w:tc>
        <w:tc>
          <w:tcPr>
            <w:tcW w:w="160" w:type="dxa"/>
            <w:vAlign w:val="bottom"/>
          </w:tcPr>
          <w:p>
            <w:pPr>
              <w:spacing w:after="0"/>
              <w:rPr>
                <w:sz w:val="21"/>
                <w:szCs w:val="21"/>
                <w:color w:val="auto"/>
              </w:rPr>
            </w:pPr>
          </w:p>
        </w:tc>
        <w:tc>
          <w:tcPr>
            <w:tcW w:w="5340" w:type="dxa"/>
            <w:vAlign w:val="bottom"/>
            <w:gridSpan w:val="14"/>
          </w:tcPr>
          <w:p>
            <w:pPr>
              <w:spacing w:after="0"/>
              <w:rPr>
                <w:sz w:val="20"/>
                <w:szCs w:val="20"/>
                <w:color w:val="auto"/>
              </w:rPr>
            </w:pPr>
            <w:r>
              <w:rPr>
                <w:rFonts w:ascii="Times New Roman" w:cs="Times New Roman" w:eastAsia="Times New Roman" w:hAnsi="Times New Roman"/>
                <w:sz w:val="18"/>
                <w:szCs w:val="18"/>
                <w:color w:val="0000FF"/>
              </w:rPr>
              <w:t>Certification Pursuant to 18 U.S.C. Section 1350, as Adopted Pursuant</w:t>
            </w:r>
          </w:p>
        </w:tc>
        <w:tc>
          <w:tcPr>
            <w:tcW w:w="76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80" w:type="dxa"/>
            <w:vAlign w:val="bottom"/>
            <w:tcBorders>
              <w:top w:val="single" w:sz="8" w:color="0000FF"/>
            </w:tcBorders>
            <w:gridSpan w:val="12"/>
          </w:tcPr>
          <w:p>
            <w:pPr>
              <w:spacing w:after="0" w:line="196" w:lineRule="exact"/>
              <w:rPr>
                <w:sz w:val="20"/>
                <w:szCs w:val="20"/>
                <w:color w:val="auto"/>
              </w:rPr>
            </w:pPr>
            <w:r>
              <w:rPr>
                <w:rFonts w:ascii="Times New Roman" w:cs="Times New Roman" w:eastAsia="Times New Roman" w:hAnsi="Times New Roman"/>
                <w:sz w:val="18"/>
                <w:szCs w:val="18"/>
                <w:color w:val="0000FF"/>
              </w:rPr>
              <w:t>to Section 906 of the Sarbanes-Oxley Act of 2002 for Principal</w:t>
            </w:r>
          </w:p>
        </w:tc>
        <w:tc>
          <w:tcPr>
            <w:tcW w:w="260" w:type="dxa"/>
            <w:vAlign w:val="bottom"/>
            <w:gridSpan w:val="2"/>
          </w:tcPr>
          <w:p>
            <w:pPr>
              <w:spacing w:after="0"/>
              <w:rPr>
                <w:sz w:val="17"/>
                <w:szCs w:val="17"/>
                <w:color w:val="auto"/>
              </w:rPr>
            </w:pPr>
          </w:p>
        </w:tc>
        <w:tc>
          <w:tcPr>
            <w:tcW w:w="7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540" w:type="dxa"/>
            <w:vAlign w:val="bottom"/>
            <w:tcBorders>
              <w:top w:val="single" w:sz="8" w:color="0000FF"/>
            </w:tcBorders>
            <w:gridSpan w:val="7"/>
          </w:tcPr>
          <w:p>
            <w:pPr>
              <w:spacing w:after="0" w:line="196" w:lineRule="exact"/>
              <w:rPr>
                <w:sz w:val="20"/>
                <w:szCs w:val="20"/>
                <w:color w:val="auto"/>
              </w:rPr>
            </w:pPr>
            <w:r>
              <w:rPr>
                <w:rFonts w:ascii="Times New Roman" w:cs="Times New Roman" w:eastAsia="Times New Roman" w:hAnsi="Times New Roman"/>
                <w:sz w:val="18"/>
                <w:szCs w:val="18"/>
                <w:color w:val="0000FF"/>
              </w:rPr>
              <w:t>Financial Officer</w:t>
            </w:r>
          </w:p>
        </w:tc>
        <w:tc>
          <w:tcPr>
            <w:tcW w:w="800" w:type="dxa"/>
            <w:vAlign w:val="bottom"/>
            <w:gridSpan w:val="7"/>
          </w:tcPr>
          <w:p>
            <w:pPr>
              <w:spacing w:after="0"/>
              <w:rPr>
                <w:sz w:val="17"/>
                <w:szCs w:val="17"/>
                <w:color w:val="auto"/>
              </w:rPr>
            </w:pPr>
          </w:p>
        </w:tc>
        <w:tc>
          <w:tcPr>
            <w:tcW w:w="76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20" w:type="dxa"/>
            <w:vAlign w:val="bottom"/>
            <w:gridSpan w:val="3"/>
            <w:shd w:val="clear" w:color="auto" w:fill="0000FF"/>
          </w:tcPr>
          <w:p>
            <w:pPr>
              <w:spacing w:after="0" w:line="20" w:lineRule="exact"/>
              <w:rPr>
                <w:sz w:val="1"/>
                <w:szCs w:val="1"/>
                <w:color w:val="auto"/>
              </w:rPr>
            </w:pPr>
          </w:p>
        </w:tc>
        <w:tc>
          <w:tcPr>
            <w:tcW w:w="4120" w:type="dxa"/>
            <w:vAlign w:val="bottom"/>
            <w:gridSpan w:val="11"/>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1"/>
        </w:trPr>
        <w:tc>
          <w:tcPr>
            <w:tcW w:w="9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101.INS</w:t>
            </w:r>
          </w:p>
        </w:tc>
        <w:tc>
          <w:tcPr>
            <w:tcW w:w="160" w:type="dxa"/>
            <w:vAlign w:val="bottom"/>
          </w:tcPr>
          <w:p>
            <w:pPr>
              <w:spacing w:after="0"/>
              <w:rPr>
                <w:sz w:val="24"/>
                <w:szCs w:val="24"/>
                <w:color w:val="auto"/>
              </w:rPr>
            </w:pPr>
          </w:p>
        </w:tc>
        <w:tc>
          <w:tcPr>
            <w:tcW w:w="5340" w:type="dxa"/>
            <w:vAlign w:val="bottom"/>
            <w:gridSpan w:val="14"/>
          </w:tcPr>
          <w:p>
            <w:pPr>
              <w:spacing w:after="0"/>
              <w:rPr>
                <w:sz w:val="20"/>
                <w:szCs w:val="20"/>
                <w:color w:val="auto"/>
              </w:rPr>
            </w:pPr>
            <w:r>
              <w:rPr>
                <w:rFonts w:ascii="Times New Roman" w:cs="Times New Roman" w:eastAsia="Times New Roman" w:hAnsi="Times New Roman"/>
                <w:sz w:val="18"/>
                <w:szCs w:val="18"/>
                <w:color w:val="auto"/>
              </w:rPr>
              <w:t>XBRL Instance Document</w:t>
            </w:r>
          </w:p>
        </w:tc>
        <w:tc>
          <w:tcPr>
            <w:tcW w:w="7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101.SCH</w:t>
            </w:r>
          </w:p>
        </w:tc>
        <w:tc>
          <w:tcPr>
            <w:tcW w:w="160" w:type="dxa"/>
            <w:vAlign w:val="bottom"/>
          </w:tcPr>
          <w:p>
            <w:pPr>
              <w:spacing w:after="0"/>
              <w:rPr>
                <w:sz w:val="23"/>
                <w:szCs w:val="23"/>
                <w:color w:val="auto"/>
              </w:rPr>
            </w:pPr>
          </w:p>
        </w:tc>
        <w:tc>
          <w:tcPr>
            <w:tcW w:w="5340" w:type="dxa"/>
            <w:vAlign w:val="bottom"/>
            <w:gridSpan w:val="14"/>
          </w:tcPr>
          <w:p>
            <w:pPr>
              <w:spacing w:after="0"/>
              <w:rPr>
                <w:sz w:val="20"/>
                <w:szCs w:val="20"/>
                <w:color w:val="auto"/>
              </w:rPr>
            </w:pPr>
            <w:r>
              <w:rPr>
                <w:rFonts w:ascii="Times New Roman" w:cs="Times New Roman" w:eastAsia="Times New Roman" w:hAnsi="Times New Roman"/>
                <w:sz w:val="18"/>
                <w:szCs w:val="18"/>
                <w:color w:val="auto"/>
              </w:rPr>
              <w:t>XBRL Taxonomy Extension Schema Document</w:t>
            </w:r>
          </w:p>
        </w:tc>
        <w:tc>
          <w:tcPr>
            <w:tcW w:w="76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101.CAL</w:t>
            </w:r>
          </w:p>
        </w:tc>
        <w:tc>
          <w:tcPr>
            <w:tcW w:w="160" w:type="dxa"/>
            <w:vAlign w:val="bottom"/>
          </w:tcPr>
          <w:p>
            <w:pPr>
              <w:spacing w:after="0"/>
              <w:rPr>
                <w:sz w:val="23"/>
                <w:szCs w:val="23"/>
                <w:color w:val="auto"/>
              </w:rPr>
            </w:pPr>
          </w:p>
        </w:tc>
        <w:tc>
          <w:tcPr>
            <w:tcW w:w="5340" w:type="dxa"/>
            <w:vAlign w:val="bottom"/>
            <w:gridSpan w:val="14"/>
          </w:tcPr>
          <w:p>
            <w:pPr>
              <w:spacing w:after="0"/>
              <w:rPr>
                <w:sz w:val="20"/>
                <w:szCs w:val="20"/>
                <w:color w:val="auto"/>
              </w:rPr>
            </w:pPr>
            <w:r>
              <w:rPr>
                <w:rFonts w:ascii="Times New Roman" w:cs="Times New Roman" w:eastAsia="Times New Roman" w:hAnsi="Times New Roman"/>
                <w:sz w:val="18"/>
                <w:szCs w:val="18"/>
                <w:color w:val="auto"/>
              </w:rPr>
              <w:t>XBRL Taxonomy Extension Calculation Linkbase Document</w:t>
            </w:r>
          </w:p>
        </w:tc>
        <w:tc>
          <w:tcPr>
            <w:tcW w:w="76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101.DEF</w:t>
            </w:r>
          </w:p>
        </w:tc>
        <w:tc>
          <w:tcPr>
            <w:tcW w:w="160" w:type="dxa"/>
            <w:vAlign w:val="bottom"/>
          </w:tcPr>
          <w:p>
            <w:pPr>
              <w:spacing w:after="0"/>
              <w:rPr>
                <w:sz w:val="23"/>
                <w:szCs w:val="23"/>
                <w:color w:val="auto"/>
              </w:rPr>
            </w:pPr>
          </w:p>
        </w:tc>
        <w:tc>
          <w:tcPr>
            <w:tcW w:w="5340" w:type="dxa"/>
            <w:vAlign w:val="bottom"/>
            <w:gridSpan w:val="14"/>
          </w:tcPr>
          <w:p>
            <w:pPr>
              <w:spacing w:after="0"/>
              <w:rPr>
                <w:sz w:val="20"/>
                <w:szCs w:val="20"/>
                <w:color w:val="auto"/>
              </w:rPr>
            </w:pPr>
            <w:r>
              <w:rPr>
                <w:rFonts w:ascii="Times New Roman" w:cs="Times New Roman" w:eastAsia="Times New Roman" w:hAnsi="Times New Roman"/>
                <w:sz w:val="18"/>
                <w:szCs w:val="18"/>
                <w:color w:val="auto"/>
              </w:rPr>
              <w:t>XBRL Taxonomy Extension Definition Document</w:t>
            </w:r>
          </w:p>
        </w:tc>
        <w:tc>
          <w:tcPr>
            <w:tcW w:w="76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101.LAB</w:t>
            </w:r>
          </w:p>
        </w:tc>
        <w:tc>
          <w:tcPr>
            <w:tcW w:w="160" w:type="dxa"/>
            <w:vAlign w:val="bottom"/>
          </w:tcPr>
          <w:p>
            <w:pPr>
              <w:spacing w:after="0"/>
              <w:rPr>
                <w:sz w:val="23"/>
                <w:szCs w:val="23"/>
                <w:color w:val="auto"/>
              </w:rPr>
            </w:pPr>
          </w:p>
        </w:tc>
        <w:tc>
          <w:tcPr>
            <w:tcW w:w="5340" w:type="dxa"/>
            <w:vAlign w:val="bottom"/>
            <w:gridSpan w:val="14"/>
          </w:tcPr>
          <w:p>
            <w:pPr>
              <w:spacing w:after="0"/>
              <w:rPr>
                <w:sz w:val="20"/>
                <w:szCs w:val="20"/>
                <w:color w:val="auto"/>
              </w:rPr>
            </w:pPr>
            <w:r>
              <w:rPr>
                <w:rFonts w:ascii="Times New Roman" w:cs="Times New Roman" w:eastAsia="Times New Roman" w:hAnsi="Times New Roman"/>
                <w:sz w:val="18"/>
                <w:szCs w:val="18"/>
                <w:color w:val="auto"/>
              </w:rPr>
              <w:t>XBRL Taxonomy Extension Label Linkbase Document</w:t>
            </w:r>
          </w:p>
        </w:tc>
        <w:tc>
          <w:tcPr>
            <w:tcW w:w="76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101.PRE</w:t>
            </w:r>
          </w:p>
        </w:tc>
        <w:tc>
          <w:tcPr>
            <w:tcW w:w="160" w:type="dxa"/>
            <w:vAlign w:val="bottom"/>
          </w:tcPr>
          <w:p>
            <w:pPr>
              <w:spacing w:after="0"/>
              <w:rPr>
                <w:sz w:val="23"/>
                <w:szCs w:val="23"/>
                <w:color w:val="auto"/>
              </w:rPr>
            </w:pPr>
          </w:p>
        </w:tc>
        <w:tc>
          <w:tcPr>
            <w:tcW w:w="5340" w:type="dxa"/>
            <w:vAlign w:val="bottom"/>
            <w:gridSpan w:val="14"/>
          </w:tcPr>
          <w:p>
            <w:pPr>
              <w:spacing w:after="0"/>
              <w:rPr>
                <w:sz w:val="20"/>
                <w:szCs w:val="20"/>
                <w:color w:val="auto"/>
              </w:rPr>
            </w:pPr>
            <w:r>
              <w:rPr>
                <w:rFonts w:ascii="Times New Roman" w:cs="Times New Roman" w:eastAsia="Times New Roman" w:hAnsi="Times New Roman"/>
                <w:sz w:val="18"/>
                <w:szCs w:val="18"/>
                <w:color w:val="auto"/>
              </w:rPr>
              <w:t>XBRL Taxonomy Extension Presentation Linkbase Document</w:t>
            </w:r>
          </w:p>
        </w:tc>
        <w:tc>
          <w:tcPr>
            <w:tcW w:w="76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1300" w:type="dxa"/>
            <w:vAlign w:val="bottom"/>
          </w:tcPr>
          <w:p>
            <w:pPr>
              <w:jc w:val="center"/>
              <w:ind w:left="171"/>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bl>
    <w:p>
      <w:pPr>
        <w:spacing w:after="0" w:line="171" w:lineRule="exact"/>
        <w:rPr>
          <w:sz w:val="20"/>
          <w:szCs w:val="20"/>
          <w:color w:val="auto"/>
        </w:rPr>
      </w:pPr>
    </w:p>
    <w:p>
      <w:pPr>
        <w:ind w:left="720" w:hanging="685"/>
        <w:spacing w:after="0"/>
        <w:tabs>
          <w:tab w:leader="none" w:pos="72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720" w:hanging="685"/>
        <w:spacing w:after="0" w:line="266" w:lineRule="auto"/>
        <w:tabs>
          <w:tab w:leader="none" w:pos="72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30"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60</w:t>
      </w:r>
    </w:p>
    <w:p>
      <w:pPr>
        <w:sectPr>
          <w:pgSz w:w="11900" w:h="16838" w:orient="portrait"/>
          <w:cols w:equalWidth="0" w:num="1">
            <w:col w:w="11340"/>
          </w:cols>
          <w:pgMar w:left="240" w:top="126" w:right="319" w:bottom="1440" w:gutter="0" w:footer="0" w:header="0"/>
        </w:sectPr>
      </w:pPr>
    </w:p>
    <w:bookmarkStart w:id="62" w:name="page63"/>
    <w:bookmarkEnd w:id="62"/>
    <w:p>
      <w:pPr>
        <w:spacing w:after="0"/>
        <w:rPr>
          <w:rFonts w:ascii="Times New Roman" w:cs="Times New Roman" w:eastAsia="Times New Roman" w:hAnsi="Times New Roman"/>
          <w:sz w:val="16"/>
          <w:szCs w:val="16"/>
          <w:u w:val="single" w:color="auto"/>
          <w:color w:val="0000EE"/>
        </w:rPr>
      </w:pPr>
      <w:hyperlink w:anchor="page2">
        <w:r>
          <w:rPr>
            <w:rFonts w:ascii="Times New Roman" w:cs="Times New Roman" w:eastAsia="Times New Roman" w:hAnsi="Times New Roman"/>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center"/>
        <w:ind w:right="-739"/>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175" w:lineRule="exact"/>
        <w:rPr>
          <w:sz w:val="20"/>
          <w:szCs w:val="20"/>
          <w:color w:val="auto"/>
        </w:rPr>
      </w:pPr>
    </w:p>
    <w:p>
      <w:pPr>
        <w:ind w:firstLine="405"/>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thereunto duly authorized.</w:t>
      </w:r>
    </w:p>
    <w:p>
      <w:pPr>
        <w:spacing w:after="0" w:line="297" w:lineRule="exact"/>
        <w:rPr>
          <w:sz w:val="20"/>
          <w:szCs w:val="20"/>
          <w:color w:val="auto"/>
        </w:rPr>
      </w:pPr>
    </w:p>
    <w:p>
      <w:pPr>
        <w:ind w:left="65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387" w:lineRule="exact"/>
        <w:rPr>
          <w:sz w:val="20"/>
          <w:szCs w:val="20"/>
          <w:color w:val="auto"/>
        </w:rPr>
      </w:pPr>
    </w:p>
    <w:p>
      <w:pPr>
        <w:ind w:left="40"/>
        <w:spacing w:after="0"/>
        <w:tabs>
          <w:tab w:leader="none" w:pos="6540" w:val="left"/>
          <w:tab w:leader="none" w:pos="6980" w:val="left"/>
        </w:tabs>
        <w:rPr>
          <w:sz w:val="20"/>
          <w:szCs w:val="20"/>
          <w:color w:val="auto"/>
        </w:rPr>
      </w:pPr>
      <w:r>
        <w:rPr>
          <w:rFonts w:ascii="Times New Roman" w:cs="Times New Roman" w:eastAsia="Times New Roman" w:hAnsi="Times New Roman"/>
          <w:sz w:val="18"/>
          <w:szCs w:val="18"/>
          <w:color w:val="auto"/>
        </w:rPr>
        <w:t>Date: December 10, 2018</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34290</wp:posOffset>
            </wp:positionV>
            <wp:extent cx="259016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53" w:lineRule="exact"/>
        <w:rPr>
          <w:sz w:val="20"/>
          <w:szCs w:val="20"/>
          <w:color w:val="auto"/>
        </w:rPr>
      </w:pPr>
    </w:p>
    <w:p>
      <w:pPr>
        <w:ind w:left="700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63" w:lineRule="exact"/>
        <w:rPr>
          <w:sz w:val="20"/>
          <w:szCs w:val="20"/>
          <w:color w:val="auto"/>
        </w:rPr>
      </w:pPr>
    </w:p>
    <w:p>
      <w:pPr>
        <w:ind w:left="700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pacing w:after="0" w:line="63" w:lineRule="exact"/>
        <w:rPr>
          <w:sz w:val="20"/>
          <w:szCs w:val="20"/>
          <w:color w:val="auto"/>
        </w:rPr>
      </w:pPr>
    </w:p>
    <w:p>
      <w:pPr>
        <w:ind w:left="7000"/>
        <w:spacing w:after="0"/>
        <w:rPr>
          <w:sz w:val="20"/>
          <w:szCs w:val="20"/>
          <w:color w:val="auto"/>
        </w:rPr>
      </w:pPr>
      <w:r>
        <w:rPr>
          <w:rFonts w:ascii="Times New Roman" w:cs="Times New Roman" w:eastAsia="Times New Roman" w:hAnsi="Times New Roman"/>
          <w:sz w:val="18"/>
          <w:szCs w:val="18"/>
          <w:b w:val="1"/>
          <w:bCs w:val="1"/>
          <w:color w:val="auto"/>
        </w:rPr>
        <w:t>(Principal Financial Officer)</w:t>
      </w:r>
    </w:p>
    <w:p>
      <w:pPr>
        <w:spacing w:after="0" w:line="200" w:lineRule="exact"/>
        <w:rPr>
          <w:sz w:val="20"/>
          <w:szCs w:val="20"/>
          <w:color w:val="auto"/>
        </w:rPr>
      </w:pPr>
    </w:p>
    <w:p>
      <w:pPr>
        <w:spacing w:after="0" w:line="29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61</w:t>
      </w:r>
    </w:p>
    <w:p>
      <w:pPr>
        <w:sectPr>
          <w:pgSz w:w="11900" w:h="16838" w:orient="portrait"/>
          <w:cols w:equalWidth="0" w:num="1">
            <w:col w:w="10700"/>
          </w:cols>
          <w:pgMar w:left="240" w:top="126" w:right="959" w:bottom="1440" w:gutter="0" w:footer="0" w:header="0"/>
        </w:sectPr>
      </w:pPr>
    </w:p>
    <w:bookmarkStart w:id="63" w:name="page64"/>
    <w:bookmarkEnd w:id="63"/>
    <w:p>
      <w:pPr>
        <w:jc w:val="right"/>
        <w:spacing w:after="0"/>
        <w:rPr>
          <w:sz w:val="20"/>
          <w:szCs w:val="20"/>
          <w:color w:val="auto"/>
        </w:rPr>
      </w:pPr>
      <w:r>
        <w:rPr>
          <w:rFonts w:ascii="Times New Roman" w:cs="Times New Roman" w:eastAsia="Times New Roman" w:hAnsi="Times New Roman"/>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Quarterly Report on Form 10-Q of Marvell Technology Group Ltd.;</w:t>
      </w:r>
    </w:p>
    <w:p>
      <w:pPr>
        <w:spacing w:after="0" w:line="225" w:lineRule="exact"/>
        <w:rPr>
          <w:rFonts w:ascii="Times New Roman" w:cs="Times New Roman" w:eastAsia="Times New Roman" w:hAnsi="Times New Roman"/>
          <w:sz w:val="18"/>
          <w:szCs w:val="18"/>
          <w:color w:val="auto"/>
        </w:rPr>
      </w:pPr>
    </w:p>
    <w:p>
      <w:pPr>
        <w:ind w:left="340" w:right="120" w:hanging="332"/>
        <w:spacing w:after="0" w:line="313" w:lineRule="auto"/>
        <w:tabs>
          <w:tab w:leader="none" w:pos="340" w:val="left"/>
        </w:tabs>
        <w:numPr>
          <w:ilvl w:val="0"/>
          <w:numId w:val="2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38" w:lineRule="exact"/>
        <w:rPr>
          <w:rFonts w:ascii="Times New Roman" w:cs="Times New Roman" w:eastAsia="Times New Roman" w:hAnsi="Times New Roman"/>
          <w:sz w:val="17"/>
          <w:szCs w:val="17"/>
          <w:color w:val="auto"/>
        </w:rPr>
      </w:pPr>
    </w:p>
    <w:p>
      <w:pPr>
        <w:ind w:left="340" w:right="580" w:hanging="332"/>
        <w:spacing w:after="0" w:line="282" w:lineRule="auto"/>
        <w:tabs>
          <w:tab w:leader="none" w:pos="34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61" w:lineRule="exact"/>
        <w:rPr>
          <w:rFonts w:ascii="Times New Roman" w:cs="Times New Roman" w:eastAsia="Times New Roman" w:hAnsi="Times New Roman"/>
          <w:sz w:val="18"/>
          <w:szCs w:val="18"/>
          <w:color w:val="auto"/>
        </w:rPr>
      </w:pPr>
    </w:p>
    <w:p>
      <w:pPr>
        <w:ind w:left="340" w:right="60" w:hanging="332"/>
        <w:spacing w:after="0" w:line="266" w:lineRule="auto"/>
        <w:tabs>
          <w:tab w:leader="none" w:pos="34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76" w:lineRule="exact"/>
        <w:rPr>
          <w:rFonts w:ascii="Times New Roman" w:cs="Times New Roman" w:eastAsia="Times New Roman" w:hAnsi="Times New Roman"/>
          <w:sz w:val="18"/>
          <w:szCs w:val="18"/>
          <w:color w:val="auto"/>
        </w:rPr>
      </w:pPr>
    </w:p>
    <w:p>
      <w:pPr>
        <w:ind w:left="980" w:right="220" w:hanging="324"/>
        <w:spacing w:after="0" w:line="266" w:lineRule="auto"/>
        <w:tabs>
          <w:tab w:leader="none" w:pos="980" w:val="left"/>
        </w:tabs>
        <w:numPr>
          <w:ilvl w:val="1"/>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6" w:lineRule="exact"/>
        <w:rPr>
          <w:rFonts w:ascii="Times New Roman" w:cs="Times New Roman" w:eastAsia="Times New Roman" w:hAnsi="Times New Roman"/>
          <w:sz w:val="18"/>
          <w:szCs w:val="18"/>
          <w:color w:val="auto"/>
        </w:rPr>
      </w:pPr>
    </w:p>
    <w:p>
      <w:pPr>
        <w:ind w:left="980" w:right="540" w:hanging="324"/>
        <w:spacing w:after="0" w:line="266" w:lineRule="auto"/>
        <w:tabs>
          <w:tab w:leader="none" w:pos="980" w:val="left"/>
        </w:tabs>
        <w:numPr>
          <w:ilvl w:val="1"/>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76" w:lineRule="exact"/>
        <w:rPr>
          <w:rFonts w:ascii="Times New Roman" w:cs="Times New Roman" w:eastAsia="Times New Roman" w:hAnsi="Times New Roman"/>
          <w:sz w:val="18"/>
          <w:szCs w:val="18"/>
          <w:color w:val="auto"/>
        </w:rPr>
      </w:pPr>
    </w:p>
    <w:p>
      <w:pPr>
        <w:jc w:val="both"/>
        <w:ind w:left="980" w:right="720" w:hanging="324"/>
        <w:spacing w:after="0" w:line="313" w:lineRule="auto"/>
        <w:tabs>
          <w:tab w:leader="none" w:pos="980" w:val="left"/>
        </w:tabs>
        <w:numPr>
          <w:ilvl w:val="1"/>
          <w:numId w:val="2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8" w:lineRule="exact"/>
        <w:rPr>
          <w:rFonts w:ascii="Times New Roman" w:cs="Times New Roman" w:eastAsia="Times New Roman" w:hAnsi="Times New Roman"/>
          <w:sz w:val="17"/>
          <w:szCs w:val="17"/>
          <w:color w:val="auto"/>
        </w:rPr>
      </w:pPr>
    </w:p>
    <w:p>
      <w:pPr>
        <w:ind w:left="980" w:right="220" w:hanging="324"/>
        <w:spacing w:after="0" w:line="266" w:lineRule="auto"/>
        <w:tabs>
          <w:tab w:leader="none" w:pos="980" w:val="left"/>
        </w:tabs>
        <w:numPr>
          <w:ilvl w:val="1"/>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76" w:lineRule="exact"/>
        <w:rPr>
          <w:rFonts w:ascii="Times New Roman" w:cs="Times New Roman" w:eastAsia="Times New Roman" w:hAnsi="Times New Roman"/>
          <w:sz w:val="18"/>
          <w:szCs w:val="18"/>
          <w:color w:val="auto"/>
        </w:rPr>
      </w:pPr>
    </w:p>
    <w:p>
      <w:pPr>
        <w:ind w:left="340" w:right="500" w:hanging="332"/>
        <w:spacing w:after="0" w:line="282" w:lineRule="auto"/>
        <w:tabs>
          <w:tab w:leader="none" w:pos="34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61" w:lineRule="exact"/>
        <w:rPr>
          <w:rFonts w:ascii="Times New Roman" w:cs="Times New Roman" w:eastAsia="Times New Roman" w:hAnsi="Times New Roman"/>
          <w:sz w:val="18"/>
          <w:szCs w:val="18"/>
          <w:color w:val="auto"/>
        </w:rPr>
      </w:pPr>
    </w:p>
    <w:p>
      <w:pPr>
        <w:ind w:left="980" w:right="120" w:hanging="324"/>
        <w:spacing w:after="0" w:line="282" w:lineRule="auto"/>
        <w:tabs>
          <w:tab w:leader="none" w:pos="980" w:val="left"/>
        </w:tabs>
        <w:numPr>
          <w:ilvl w:val="1"/>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61" w:lineRule="exact"/>
        <w:rPr>
          <w:rFonts w:ascii="Times New Roman" w:cs="Times New Roman" w:eastAsia="Times New Roman" w:hAnsi="Times New Roman"/>
          <w:sz w:val="18"/>
          <w:szCs w:val="18"/>
          <w:color w:val="auto"/>
        </w:rPr>
      </w:pPr>
    </w:p>
    <w:p>
      <w:pPr>
        <w:ind w:left="980" w:right="80" w:hanging="324"/>
        <w:spacing w:after="0" w:line="282" w:lineRule="auto"/>
        <w:tabs>
          <w:tab w:leader="none" w:pos="980" w:val="left"/>
        </w:tabs>
        <w:numPr>
          <w:ilvl w:val="1"/>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other employees who have a significant role in the registrant’s internal control over financial reporting.</w:t>
      </w:r>
    </w:p>
    <w:p>
      <w:pPr>
        <w:spacing w:after="0" w:line="108" w:lineRule="exact"/>
        <w:rPr>
          <w:sz w:val="20"/>
          <w:szCs w:val="20"/>
          <w:color w:val="auto"/>
        </w:rPr>
      </w:pPr>
    </w:p>
    <w:p>
      <w:pPr>
        <w:ind w:left="40"/>
        <w:spacing w:after="0"/>
        <w:tabs>
          <w:tab w:leader="none" w:pos="5500" w:val="left"/>
          <w:tab w:leader="none" w:pos="5960" w:val="left"/>
        </w:tabs>
        <w:rPr>
          <w:sz w:val="20"/>
          <w:szCs w:val="20"/>
          <w:color w:val="auto"/>
        </w:rPr>
      </w:pPr>
      <w:r>
        <w:rPr>
          <w:rFonts w:ascii="Times New Roman" w:cs="Times New Roman" w:eastAsia="Times New Roman" w:hAnsi="Times New Roman"/>
          <w:sz w:val="18"/>
          <w:szCs w:val="18"/>
          <w:color w:val="auto"/>
        </w:rPr>
        <w:t>Date: December 10, 2018</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34290</wp:posOffset>
            </wp:positionV>
            <wp:extent cx="347345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(Principal Executive Officer)</w:t>
      </w:r>
    </w:p>
    <w:p>
      <w:pPr>
        <w:sectPr>
          <w:pgSz w:w="11900" w:h="16838" w:orient="portrait"/>
          <w:cols w:equalWidth="0" w:num="1">
            <w:col w:w="11420"/>
          </w:cols>
          <w:pgMar w:left="240" w:top="576" w:right="239" w:bottom="1440" w:gutter="0" w:footer="0" w:header="0"/>
        </w:sectPr>
      </w:pPr>
    </w:p>
    <w:bookmarkStart w:id="64" w:name="page65"/>
    <w:bookmarkEnd w:id="64"/>
    <w:p>
      <w:pPr>
        <w:jc w:val="right"/>
        <w:spacing w:after="0"/>
        <w:rPr>
          <w:sz w:val="20"/>
          <w:szCs w:val="20"/>
          <w:color w:val="auto"/>
        </w:rPr>
      </w:pPr>
      <w:r>
        <w:rPr>
          <w:rFonts w:ascii="Times New Roman" w:cs="Times New Roman" w:eastAsia="Times New Roman" w:hAnsi="Times New Roman"/>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Quarterly Report on Form 10-Q of Marvell Technology Group Ltd.;</w:t>
      </w:r>
    </w:p>
    <w:p>
      <w:pPr>
        <w:spacing w:after="0" w:line="225" w:lineRule="exact"/>
        <w:rPr>
          <w:rFonts w:ascii="Times New Roman" w:cs="Times New Roman" w:eastAsia="Times New Roman" w:hAnsi="Times New Roman"/>
          <w:sz w:val="18"/>
          <w:szCs w:val="18"/>
          <w:color w:val="auto"/>
        </w:rPr>
      </w:pPr>
    </w:p>
    <w:p>
      <w:pPr>
        <w:ind w:left="340" w:right="120" w:hanging="332"/>
        <w:spacing w:after="0" w:line="313" w:lineRule="auto"/>
        <w:tabs>
          <w:tab w:leader="none" w:pos="340" w:val="left"/>
        </w:tabs>
        <w:numPr>
          <w:ilvl w:val="0"/>
          <w:numId w:val="2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38" w:lineRule="exact"/>
        <w:rPr>
          <w:rFonts w:ascii="Times New Roman" w:cs="Times New Roman" w:eastAsia="Times New Roman" w:hAnsi="Times New Roman"/>
          <w:sz w:val="17"/>
          <w:szCs w:val="17"/>
          <w:color w:val="auto"/>
        </w:rPr>
      </w:pPr>
    </w:p>
    <w:p>
      <w:pPr>
        <w:ind w:left="340" w:right="580" w:hanging="332"/>
        <w:spacing w:after="0" w:line="282" w:lineRule="auto"/>
        <w:tabs>
          <w:tab w:leader="none" w:pos="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61" w:lineRule="exact"/>
        <w:rPr>
          <w:rFonts w:ascii="Times New Roman" w:cs="Times New Roman" w:eastAsia="Times New Roman" w:hAnsi="Times New Roman"/>
          <w:sz w:val="18"/>
          <w:szCs w:val="18"/>
          <w:color w:val="auto"/>
        </w:rPr>
      </w:pPr>
    </w:p>
    <w:p>
      <w:pPr>
        <w:ind w:left="340" w:right="60" w:hanging="332"/>
        <w:spacing w:after="0" w:line="266" w:lineRule="auto"/>
        <w:tabs>
          <w:tab w:leader="none" w:pos="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76" w:lineRule="exact"/>
        <w:rPr>
          <w:rFonts w:ascii="Times New Roman" w:cs="Times New Roman" w:eastAsia="Times New Roman" w:hAnsi="Times New Roman"/>
          <w:sz w:val="18"/>
          <w:szCs w:val="18"/>
          <w:color w:val="auto"/>
        </w:rPr>
      </w:pPr>
    </w:p>
    <w:p>
      <w:pPr>
        <w:ind w:left="980" w:right="220" w:hanging="324"/>
        <w:spacing w:after="0" w:line="266" w:lineRule="auto"/>
        <w:tabs>
          <w:tab w:leader="none" w:pos="980" w:val="left"/>
        </w:tabs>
        <w:numPr>
          <w:ilvl w:val="1"/>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6" w:lineRule="exact"/>
        <w:rPr>
          <w:rFonts w:ascii="Times New Roman" w:cs="Times New Roman" w:eastAsia="Times New Roman" w:hAnsi="Times New Roman"/>
          <w:sz w:val="18"/>
          <w:szCs w:val="18"/>
          <w:color w:val="auto"/>
        </w:rPr>
      </w:pPr>
    </w:p>
    <w:p>
      <w:pPr>
        <w:ind w:left="980" w:right="540" w:hanging="324"/>
        <w:spacing w:after="0" w:line="266" w:lineRule="auto"/>
        <w:tabs>
          <w:tab w:leader="none" w:pos="980" w:val="left"/>
        </w:tabs>
        <w:numPr>
          <w:ilvl w:val="1"/>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76" w:lineRule="exact"/>
        <w:rPr>
          <w:rFonts w:ascii="Times New Roman" w:cs="Times New Roman" w:eastAsia="Times New Roman" w:hAnsi="Times New Roman"/>
          <w:sz w:val="18"/>
          <w:szCs w:val="18"/>
          <w:color w:val="auto"/>
        </w:rPr>
      </w:pPr>
    </w:p>
    <w:p>
      <w:pPr>
        <w:jc w:val="both"/>
        <w:ind w:left="980" w:right="720" w:hanging="324"/>
        <w:spacing w:after="0" w:line="313" w:lineRule="auto"/>
        <w:tabs>
          <w:tab w:leader="none" w:pos="980" w:val="left"/>
        </w:tabs>
        <w:numPr>
          <w:ilvl w:val="1"/>
          <w:numId w:val="2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8" w:lineRule="exact"/>
        <w:rPr>
          <w:rFonts w:ascii="Times New Roman" w:cs="Times New Roman" w:eastAsia="Times New Roman" w:hAnsi="Times New Roman"/>
          <w:sz w:val="17"/>
          <w:szCs w:val="17"/>
          <w:color w:val="auto"/>
        </w:rPr>
      </w:pPr>
    </w:p>
    <w:p>
      <w:pPr>
        <w:ind w:left="980" w:right="220" w:hanging="324"/>
        <w:spacing w:after="0" w:line="266" w:lineRule="auto"/>
        <w:tabs>
          <w:tab w:leader="none" w:pos="980" w:val="left"/>
        </w:tabs>
        <w:numPr>
          <w:ilvl w:val="1"/>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76" w:lineRule="exact"/>
        <w:rPr>
          <w:rFonts w:ascii="Times New Roman" w:cs="Times New Roman" w:eastAsia="Times New Roman" w:hAnsi="Times New Roman"/>
          <w:sz w:val="18"/>
          <w:szCs w:val="18"/>
          <w:color w:val="auto"/>
        </w:rPr>
      </w:pPr>
    </w:p>
    <w:p>
      <w:pPr>
        <w:ind w:left="340" w:right="500" w:hanging="332"/>
        <w:spacing w:after="0" w:line="282" w:lineRule="auto"/>
        <w:tabs>
          <w:tab w:leader="none" w:pos="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61" w:lineRule="exact"/>
        <w:rPr>
          <w:rFonts w:ascii="Times New Roman" w:cs="Times New Roman" w:eastAsia="Times New Roman" w:hAnsi="Times New Roman"/>
          <w:sz w:val="18"/>
          <w:szCs w:val="18"/>
          <w:color w:val="auto"/>
        </w:rPr>
      </w:pPr>
    </w:p>
    <w:p>
      <w:pPr>
        <w:ind w:left="980" w:right="120" w:hanging="324"/>
        <w:spacing w:after="0" w:line="282" w:lineRule="auto"/>
        <w:tabs>
          <w:tab w:leader="none" w:pos="980" w:val="left"/>
        </w:tabs>
        <w:numPr>
          <w:ilvl w:val="1"/>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61" w:lineRule="exact"/>
        <w:rPr>
          <w:rFonts w:ascii="Times New Roman" w:cs="Times New Roman" w:eastAsia="Times New Roman" w:hAnsi="Times New Roman"/>
          <w:sz w:val="18"/>
          <w:szCs w:val="18"/>
          <w:color w:val="auto"/>
        </w:rPr>
      </w:pPr>
    </w:p>
    <w:p>
      <w:pPr>
        <w:ind w:left="980" w:right="80" w:hanging="324"/>
        <w:spacing w:after="0" w:line="282" w:lineRule="auto"/>
        <w:tabs>
          <w:tab w:leader="none" w:pos="980" w:val="left"/>
        </w:tabs>
        <w:numPr>
          <w:ilvl w:val="1"/>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other employees who have a significant role in the registrant’s internal control over financial reporting.</w:t>
      </w:r>
    </w:p>
    <w:p>
      <w:pPr>
        <w:spacing w:after="0" w:line="108" w:lineRule="exact"/>
        <w:rPr>
          <w:sz w:val="20"/>
          <w:szCs w:val="20"/>
          <w:color w:val="auto"/>
        </w:rPr>
      </w:pPr>
    </w:p>
    <w:p>
      <w:pPr>
        <w:ind w:left="40"/>
        <w:spacing w:after="0"/>
        <w:tabs>
          <w:tab w:leader="none" w:pos="5500" w:val="left"/>
          <w:tab w:leader="none" w:pos="5960" w:val="left"/>
        </w:tabs>
        <w:rPr>
          <w:sz w:val="20"/>
          <w:szCs w:val="20"/>
          <w:color w:val="auto"/>
        </w:rPr>
      </w:pPr>
      <w:r>
        <w:rPr>
          <w:rFonts w:ascii="Times New Roman" w:cs="Times New Roman" w:eastAsia="Times New Roman" w:hAnsi="Times New Roman"/>
          <w:sz w:val="18"/>
          <w:szCs w:val="18"/>
          <w:color w:val="auto"/>
        </w:rPr>
        <w:t>Date: December 10, 2018</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34290</wp:posOffset>
            </wp:positionV>
            <wp:extent cx="347345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31"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(Principal Financial Officer)</w:t>
      </w:r>
    </w:p>
    <w:p>
      <w:pPr>
        <w:sectPr>
          <w:pgSz w:w="11900" w:h="16838" w:orient="portrait"/>
          <w:cols w:equalWidth="0" w:num="1">
            <w:col w:w="11420"/>
          </w:cols>
          <w:pgMar w:left="240" w:top="576" w:right="239" w:bottom="1440" w:gutter="0" w:footer="0" w:header="0"/>
        </w:sectPr>
      </w:pPr>
    </w:p>
    <w:bookmarkStart w:id="65" w:name="page66"/>
    <w:bookmarkEnd w:id="65"/>
    <w:p>
      <w:pPr>
        <w:jc w:val="right"/>
        <w:spacing w:after="0"/>
        <w:rPr>
          <w:sz w:val="20"/>
          <w:szCs w:val="20"/>
          <w:color w:val="auto"/>
        </w:rPr>
      </w:pPr>
      <w:r>
        <w:rPr>
          <w:rFonts w:ascii="Times New Roman" w:cs="Times New Roman" w:eastAsia="Times New Roman" w:hAnsi="Times New Roman"/>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229" w:lineRule="exact"/>
        <w:rPr>
          <w:sz w:val="20"/>
          <w:szCs w:val="20"/>
          <w:color w:val="auto"/>
        </w:rPr>
      </w:pPr>
    </w:p>
    <w:p>
      <w:pPr>
        <w:ind w:right="920"/>
        <w:spacing w:after="0" w:line="282" w:lineRule="auto"/>
        <w:rPr>
          <w:sz w:val="20"/>
          <w:szCs w:val="20"/>
          <w:color w:val="auto"/>
        </w:rPr>
      </w:pPr>
      <w:r>
        <w:rPr>
          <w:rFonts w:ascii="Times New Roman" w:cs="Times New Roman" w:eastAsia="Times New Roman" w:hAnsi="Times New Roman"/>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67" w:lineRule="exact"/>
        <w:rPr>
          <w:sz w:val="20"/>
          <w:szCs w:val="20"/>
          <w:color w:val="auto"/>
        </w:rPr>
      </w:pPr>
    </w:p>
    <w:p>
      <w:pPr>
        <w:ind w:left="540" w:right="860" w:hanging="316"/>
        <w:spacing w:after="0" w:line="282" w:lineRule="auto"/>
        <w:tabs>
          <w:tab w:leader="none" w:pos="54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Quarterly Report of the Registrant on Form 10-Q for the fiscal quarter ended November 3, 2018 (the “Report”), fully complies with the requirements of Section 13(a) or 15(d) of the Securities Exchange Act of 1934, as amended; and</w:t>
      </w:r>
    </w:p>
    <w:p>
      <w:pPr>
        <w:spacing w:after="0" w:line="80" w:lineRule="exact"/>
        <w:rPr>
          <w:rFonts w:ascii="Times New Roman" w:cs="Times New Roman" w:eastAsia="Times New Roman" w:hAnsi="Times New Roman"/>
          <w:sz w:val="18"/>
          <w:szCs w:val="18"/>
          <w:color w:val="auto"/>
        </w:rPr>
      </w:pPr>
    </w:p>
    <w:p>
      <w:pPr>
        <w:ind w:left="540" w:hanging="316"/>
        <w:spacing w:after="0"/>
        <w:tabs>
          <w:tab w:leader="none" w:pos="54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contained in the Report fairly presents, in all material respects, the financial condition and results of operations of the Registrant.</w:t>
      </w:r>
    </w:p>
    <w:p>
      <w:pPr>
        <w:spacing w:after="0" w:line="171" w:lineRule="exact"/>
        <w:rPr>
          <w:sz w:val="20"/>
          <w:szCs w:val="20"/>
          <w:color w:val="auto"/>
        </w:rPr>
      </w:pPr>
    </w:p>
    <w:p>
      <w:pPr>
        <w:ind w:left="40"/>
        <w:spacing w:after="0"/>
        <w:tabs>
          <w:tab w:leader="none" w:pos="5500" w:val="left"/>
          <w:tab w:leader="none" w:pos="5960" w:val="left"/>
        </w:tabs>
        <w:rPr>
          <w:sz w:val="20"/>
          <w:szCs w:val="20"/>
          <w:color w:val="auto"/>
        </w:rPr>
      </w:pPr>
      <w:r>
        <w:rPr>
          <w:rFonts w:ascii="Times New Roman" w:cs="Times New Roman" w:eastAsia="Times New Roman" w:hAnsi="Times New Roman"/>
          <w:sz w:val="18"/>
          <w:szCs w:val="18"/>
          <w:color w:val="auto"/>
        </w:rPr>
        <w:t>Date: December 10, 2018</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34290</wp:posOffset>
            </wp:positionV>
            <wp:extent cx="347345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(Principal Executive Officer)</w:t>
      </w:r>
    </w:p>
    <w:p>
      <w:pPr>
        <w:sectPr>
          <w:pgSz w:w="11900" w:h="16838" w:orient="portrait"/>
          <w:cols w:equalWidth="0" w:num="1">
            <w:col w:w="11420"/>
          </w:cols>
          <w:pgMar w:left="240" w:top="576" w:right="239" w:bottom="1440" w:gutter="0" w:footer="0" w:header="0"/>
        </w:sectPr>
      </w:pPr>
    </w:p>
    <w:bookmarkStart w:id="66" w:name="page67"/>
    <w:bookmarkEnd w:id="66"/>
    <w:p>
      <w:pPr>
        <w:jc w:val="right"/>
        <w:spacing w:after="0"/>
        <w:rPr>
          <w:sz w:val="20"/>
          <w:szCs w:val="20"/>
          <w:color w:val="auto"/>
        </w:rPr>
      </w:pPr>
      <w:r>
        <w:rPr>
          <w:rFonts w:ascii="Times New Roman" w:cs="Times New Roman" w:eastAsia="Times New Roman" w:hAnsi="Times New Roman"/>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229" w:lineRule="exact"/>
        <w:rPr>
          <w:sz w:val="20"/>
          <w:szCs w:val="20"/>
          <w:color w:val="auto"/>
        </w:rPr>
      </w:pPr>
    </w:p>
    <w:p>
      <w:pPr>
        <w:ind w:right="580"/>
        <w:spacing w:after="0" w:line="282" w:lineRule="auto"/>
        <w:rPr>
          <w:sz w:val="20"/>
          <w:szCs w:val="20"/>
          <w:color w:val="auto"/>
        </w:rPr>
      </w:pPr>
      <w:r>
        <w:rPr>
          <w:rFonts w:ascii="Times New Roman" w:cs="Times New Roman" w:eastAsia="Times New Roman" w:hAnsi="Times New Roman"/>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67" w:lineRule="exact"/>
        <w:rPr>
          <w:sz w:val="20"/>
          <w:szCs w:val="20"/>
          <w:color w:val="auto"/>
        </w:rPr>
      </w:pPr>
    </w:p>
    <w:p>
      <w:pPr>
        <w:ind w:left="540" w:right="860" w:hanging="316"/>
        <w:spacing w:after="0" w:line="282" w:lineRule="auto"/>
        <w:tabs>
          <w:tab w:leader="none" w:pos="54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Quarterly Report of the Registrant on Form 10-Q for the fiscal quarter ended November 3, 2018 (the “Report”), fully complies with the requirements of Section 13(a) or 15(d) of the Securities Exchange Act of 1934, as amended; and</w:t>
      </w:r>
    </w:p>
    <w:p>
      <w:pPr>
        <w:spacing w:after="0" w:line="80" w:lineRule="exact"/>
        <w:rPr>
          <w:rFonts w:ascii="Times New Roman" w:cs="Times New Roman" w:eastAsia="Times New Roman" w:hAnsi="Times New Roman"/>
          <w:sz w:val="18"/>
          <w:szCs w:val="18"/>
          <w:color w:val="auto"/>
        </w:rPr>
      </w:pPr>
    </w:p>
    <w:p>
      <w:pPr>
        <w:ind w:left="540" w:hanging="316"/>
        <w:spacing w:after="0"/>
        <w:tabs>
          <w:tab w:leader="none" w:pos="54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contained in the Report fairly presents, in all material respects, the financial condition and results of operations of the Registrant.</w:t>
      </w:r>
    </w:p>
    <w:p>
      <w:pPr>
        <w:spacing w:after="0" w:line="171" w:lineRule="exact"/>
        <w:rPr>
          <w:sz w:val="20"/>
          <w:szCs w:val="20"/>
          <w:color w:val="auto"/>
        </w:rPr>
      </w:pPr>
    </w:p>
    <w:p>
      <w:pPr>
        <w:ind w:left="40"/>
        <w:spacing w:after="0"/>
        <w:tabs>
          <w:tab w:leader="none" w:pos="5500" w:val="left"/>
          <w:tab w:leader="none" w:pos="5960" w:val="left"/>
        </w:tabs>
        <w:rPr>
          <w:sz w:val="20"/>
          <w:szCs w:val="20"/>
          <w:color w:val="auto"/>
        </w:rPr>
      </w:pPr>
      <w:r>
        <w:rPr>
          <w:rFonts w:ascii="Times New Roman" w:cs="Times New Roman" w:eastAsia="Times New Roman" w:hAnsi="Times New Roman"/>
          <w:sz w:val="18"/>
          <w:szCs w:val="18"/>
          <w:color w:val="auto"/>
        </w:rPr>
        <w:t>Date: December 10, 2018</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34290</wp:posOffset>
            </wp:positionV>
            <wp:extent cx="347345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31"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(Principal Financial Officer)</w:t>
      </w:r>
    </w:p>
    <w:sectPr>
      <w:pgSz w:w="11900" w:h="16838" w:orient="portrait"/>
      <w:cols w:equalWidth="0" w:num="1">
        <w:col w:w="11420"/>
      </w:cols>
      <w:pgMar w:left="240" w:top="576"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352255A"/>
    <w:multiLevelType w:val="hybridMultilevel"/>
    <w:lvl w:ilvl="0">
      <w:lvlJc w:val="left"/>
      <w:lvlText w:val="☒"/>
      <w:numFmt w:val="bullet"/>
      <w:start w:val="1"/>
    </w:lvl>
  </w:abstractNum>
  <w:abstractNum w:abstractNumId="1">
    <w:nsid w:val="109CF92E"/>
    <w:multiLevelType w:val="hybridMultilevel"/>
    <w:lvl w:ilvl="0">
      <w:lvlJc w:val="left"/>
      <w:lvlText w:val="☐"/>
      <w:numFmt w:val="bullet"/>
      <w:start w:val="1"/>
    </w:lvl>
  </w:abstractNum>
  <w:abstractNum w:abstractNumId="2">
    <w:nsid w:val="DED7263"/>
    <w:multiLevelType w:val="hybridMultilevel"/>
    <w:lvl w:ilvl="0">
      <w:lvlJc w:val="left"/>
      <w:lvlText w:val="(%1)"/>
      <w:numFmt w:val="decimal"/>
      <w:start w:val="1"/>
    </w:lvl>
  </w:abstractNum>
  <w:abstractNum w:abstractNumId="3">
    <w:nsid w:val="7FDCC233"/>
    <w:multiLevelType w:val="hybridMultilevel"/>
    <w:lvl w:ilvl="0">
      <w:lvlJc w:val="left"/>
      <w:lvlText w:val="(%1)"/>
      <w:numFmt w:val="decimal"/>
      <w:start w:val="1"/>
    </w:lvl>
  </w:abstractNum>
  <w:abstractNum w:abstractNumId="4">
    <w:nsid w:val="1BEFD79F"/>
    <w:multiLevelType w:val="hybridMultilevel"/>
    <w:lvl w:ilvl="0">
      <w:lvlJc w:val="left"/>
      <w:lvlText w:val="%1)"/>
      <w:numFmt w:val="decimal"/>
      <w:start w:val="1"/>
    </w:lvl>
  </w:abstractNum>
  <w:abstractNum w:abstractNumId="5">
    <w:nsid w:val="41A7C4C9"/>
    <w:multiLevelType w:val="hybridMultilevel"/>
    <w:lvl w:ilvl="0">
      <w:lvlJc w:val="left"/>
      <w:lvlText w:val="•"/>
      <w:numFmt w:val="bullet"/>
      <w:start w:val="1"/>
    </w:lvl>
  </w:abstractNum>
  <w:abstractNum w:abstractNumId="6">
    <w:nsid w:val="6B68079A"/>
    <w:multiLevelType w:val="hybridMultilevel"/>
    <w:lvl w:ilvl="0">
      <w:lvlJc w:val="left"/>
      <w:lvlText w:val="•"/>
      <w:numFmt w:val="bullet"/>
      <w:start w:val="1"/>
    </w:lvl>
  </w:abstractNum>
  <w:abstractNum w:abstractNumId="7">
    <w:nsid w:val="4E6AFB66"/>
    <w:multiLevelType w:val="hybridMultilevel"/>
    <w:lvl w:ilvl="0">
      <w:lvlJc w:val="left"/>
      <w:lvlText w:val="•"/>
      <w:numFmt w:val="bullet"/>
      <w:start w:val="1"/>
    </w:lvl>
  </w:abstractNum>
  <w:abstractNum w:abstractNumId="8">
    <w:nsid w:val="25E45D32"/>
    <w:multiLevelType w:val="hybridMultilevel"/>
    <w:lvl w:ilvl="0">
      <w:lvlJc w:val="left"/>
      <w:lvlText w:val="•"/>
      <w:numFmt w:val="bullet"/>
      <w:start w:val="1"/>
    </w:lvl>
  </w:abstractNum>
  <w:abstractNum w:abstractNumId="9">
    <w:nsid w:val="519B500D"/>
    <w:multiLevelType w:val="hybridMultilevel"/>
    <w:lvl w:ilvl="0">
      <w:lvlJc w:val="left"/>
      <w:lvlText w:val="•"/>
      <w:numFmt w:val="bullet"/>
      <w:start w:val="1"/>
    </w:lvl>
  </w:abstractNum>
  <w:abstractNum w:abstractNumId="10">
    <w:nsid w:val="431BD7B7"/>
    <w:multiLevelType w:val="hybridMultilevel"/>
    <w:lvl w:ilvl="0">
      <w:lvlJc w:val="left"/>
      <w:lvlText w:val="•"/>
      <w:numFmt w:val="bullet"/>
      <w:start w:val="1"/>
    </w:lvl>
  </w:abstractNum>
  <w:abstractNum w:abstractNumId="11">
    <w:nsid w:val="3F2DBA31"/>
    <w:multiLevelType w:val="hybridMultilevel"/>
    <w:lvl w:ilvl="0">
      <w:lvlJc w:val="left"/>
      <w:lvlText w:val="•"/>
      <w:numFmt w:val="bullet"/>
      <w:start w:val="1"/>
    </w:lvl>
  </w:abstractNum>
  <w:abstractNum w:abstractNumId="12">
    <w:nsid w:val="7C83E458"/>
    <w:multiLevelType w:val="hybridMultilevel"/>
    <w:lvl w:ilvl="0">
      <w:lvlJc w:val="left"/>
      <w:lvlText w:val="•"/>
      <w:numFmt w:val="bullet"/>
      <w:start w:val="1"/>
    </w:lvl>
  </w:abstractNum>
  <w:abstractNum w:abstractNumId="13">
    <w:nsid w:val="257130A3"/>
    <w:multiLevelType w:val="hybridMultilevel"/>
    <w:lvl w:ilvl="0">
      <w:lvlJc w:val="left"/>
      <w:lvlText w:val="•"/>
      <w:numFmt w:val="bullet"/>
      <w:start w:val="1"/>
    </w:lvl>
  </w:abstractNum>
  <w:abstractNum w:abstractNumId="14">
    <w:nsid w:val="62BBD95A"/>
    <w:multiLevelType w:val="hybridMultilevel"/>
    <w:lvl w:ilvl="0">
      <w:lvlJc w:val="left"/>
      <w:lvlText w:val="•"/>
      <w:numFmt w:val="bullet"/>
      <w:start w:val="1"/>
    </w:lvl>
  </w:abstractNum>
  <w:abstractNum w:abstractNumId="15">
    <w:nsid w:val="436C6125"/>
    <w:multiLevelType w:val="hybridMultilevel"/>
    <w:lvl w:ilvl="0">
      <w:lvlJc w:val="left"/>
      <w:lvlText w:val="•"/>
      <w:numFmt w:val="bullet"/>
      <w:start w:val="1"/>
    </w:lvl>
  </w:abstractNum>
  <w:abstractNum w:abstractNumId="16">
    <w:nsid w:val="628C895D"/>
    <w:multiLevelType w:val="hybridMultilevel"/>
    <w:lvl w:ilvl="0">
      <w:lvlJc w:val="left"/>
      <w:lvlText w:val="•"/>
      <w:numFmt w:val="bullet"/>
      <w:start w:val="1"/>
    </w:lvl>
  </w:abstractNum>
  <w:abstractNum w:abstractNumId="17">
    <w:nsid w:val="333AB105"/>
    <w:multiLevelType w:val="hybridMultilevel"/>
    <w:lvl w:ilvl="0">
      <w:lvlJc w:val="left"/>
      <w:lvlText w:val="•"/>
      <w:numFmt w:val="bullet"/>
      <w:start w:val="1"/>
    </w:lvl>
  </w:abstractNum>
  <w:abstractNum w:abstractNumId="18">
    <w:nsid w:val="721DA317"/>
    <w:multiLevelType w:val="hybridMultilevel"/>
    <w:lvl w:ilvl="0">
      <w:lvlJc w:val="left"/>
      <w:lvlText w:val="(%1)"/>
      <w:numFmt w:val="decimal"/>
      <w:start w:val="1"/>
    </w:lvl>
  </w:abstractNum>
  <w:abstractNum w:abstractNumId="19">
    <w:nsid w:val="2443A858"/>
    <w:multiLevelType w:val="hybridMultilevel"/>
    <w:lvl w:ilvl="0">
      <w:lvlJc w:val="left"/>
      <w:lvlText w:val="#"/>
      <w:numFmt w:val="bullet"/>
      <w:start w:val="1"/>
    </w:lvl>
  </w:abstractNum>
  <w:abstractNum w:abstractNumId="20">
    <w:nsid w:val="2D1D5AE9"/>
    <w:multiLevelType w:val="hybridMultilevel"/>
    <w:lvl w:ilvl="0">
      <w:lvlJc w:val="left"/>
      <w:lvlText w:val="*"/>
      <w:numFmt w:val="bullet"/>
      <w:start w:val="1"/>
    </w:lvl>
  </w:abstractNum>
  <w:abstractNum w:abstractNumId="21">
    <w:nsid w:val="6763845E"/>
    <w:multiLevelType w:val="hybridMultilevel"/>
    <w:lvl w:ilvl="0">
      <w:lvlJc w:val="left"/>
      <w:lvlText w:val="%1."/>
      <w:numFmt w:val="decimal"/>
      <w:start w:val="1"/>
    </w:lvl>
    <w:lvl w:ilvl="1">
      <w:lvlJc w:val="left"/>
      <w:lvlText w:val="%2)"/>
      <w:numFmt w:val="lowerLetter"/>
      <w:start w:val="1"/>
    </w:lvl>
  </w:abstractNum>
  <w:abstractNum w:abstractNumId="22">
    <w:nsid w:val="75A2A8D4"/>
    <w:multiLevelType w:val="hybridMultilevel"/>
    <w:lvl w:ilvl="0">
      <w:lvlJc w:val="left"/>
      <w:lvlText w:val="%1."/>
      <w:numFmt w:val="decimal"/>
      <w:start w:val="1"/>
    </w:lvl>
    <w:lvl w:ilvl="1">
      <w:lvlJc w:val="left"/>
      <w:lvlText w:val="%2)"/>
      <w:numFmt w:val="lowerLetter"/>
      <w:start w:val="1"/>
    </w:lvl>
  </w:abstractNum>
  <w:abstractNum w:abstractNumId="23">
    <w:nsid w:val="8EDBDAB"/>
    <w:multiLevelType w:val="hybridMultilevel"/>
    <w:lvl w:ilvl="0">
      <w:lvlJc w:val="left"/>
      <w:lvlText w:val="(%1)"/>
      <w:numFmt w:val="lowerRoman"/>
      <w:start w:val="1"/>
    </w:lvl>
  </w:abstractNum>
  <w:abstractNum w:abstractNumId="24">
    <w:nsid w:val="79838CB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png"/><Relationship Id="rId26" Type="http://schemas.openxmlformats.org/officeDocument/2006/relationships/image" Target="media/image14.png"/><Relationship Id="rId27" Type="http://schemas.openxmlformats.org/officeDocument/2006/relationships/image" Target="media/image15.png"/><Relationship Id="rId18" Type="http://schemas.openxmlformats.org/officeDocument/2006/relationships/hyperlink" Target="http://www.sec.gov/Archives/edgar/data/1058057/000105805718000009/mrvl203201810kexhibit31.htm" TargetMode="External"/><Relationship Id="rId19" Type="http://schemas.openxmlformats.org/officeDocument/2006/relationships/hyperlink" Target="http://www.sec.gov/Archives/edgar/data/1058057/000105805718000015/q11910q05052018exhibit32.htm" TargetMode="External"/><Relationship Id="rId20" Type="http://schemas.openxmlformats.org/officeDocument/2006/relationships/hyperlink" Target="http://www.sec.gov/Archives/edgar/data/1058057/000119312516765958/d278571dex31.htm" TargetMode="External"/><Relationship Id="rId21" Type="http://schemas.openxmlformats.org/officeDocument/2006/relationships/hyperlink" Target="http://www.sec.gov/Archives/edgar/data/1058057/000105805718000015/q11910q05052018exhibit34.htm" TargetMode="External"/><Relationship Id="rId22" Type="http://schemas.openxmlformats.org/officeDocument/2006/relationships/hyperlink" Target="http://www.sec.gov/Archives/edgar/data/1058057/000105805718000015/q11910q05052018exhibit35.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2019-12-28T17:23:28Z</dcterms:created>
  <dcterms:modified xsi:type="dcterms:W3CDTF">2019-12-28T17:23:28Z</dcterms:modified>
</cp:coreProperties>
</file>