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November 20,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00" w:firstLine="456"/>
        <w:spacing w:after="0" w:line="308" w:lineRule="auto"/>
        <w:rPr>
          <w:sz w:val="20"/>
          <w:szCs w:val="20"/>
          <w:color w:val="auto"/>
        </w:rPr>
      </w:pPr>
      <w:r>
        <w:rPr>
          <w:rFonts w:ascii="Arial" w:cs="Arial" w:eastAsia="Arial" w:hAnsi="Arial"/>
          <w:sz w:val="17"/>
          <w:szCs w:val="17"/>
          <w:color w:val="auto"/>
        </w:rPr>
        <w:t>On November 20, 2014, Marvell Technology Group Ltd. (“Marvell”) issued a press release regarding its financial results for its third fiscal quarter ended November 1, 2014. A copy of the press release is furnished herewith as Exhibit 99.1 and is incorporated by reference herein.</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w:t>
      </w:r>
    </w:p>
    <w:p>
      <w:pPr>
        <w:spacing w:after="0" w:line="193" w:lineRule="exact"/>
        <w:rPr>
          <w:sz w:val="20"/>
          <w:szCs w:val="20"/>
          <w:color w:val="auto"/>
        </w:rPr>
      </w:pPr>
    </w:p>
    <w:p>
      <w:pPr>
        <w:ind w:right="120" w:firstLine="456"/>
        <w:spacing w:after="0" w:line="284" w:lineRule="auto"/>
        <w:rPr>
          <w:sz w:val="20"/>
          <w:szCs w:val="20"/>
          <w:color w:val="auto"/>
        </w:rPr>
      </w:pPr>
      <w:r>
        <w:rPr>
          <w:rFonts w:ascii="Arial" w:cs="Arial" w:eastAsia="Arial" w:hAnsi="Arial"/>
          <w:sz w:val="16"/>
          <w:szCs w:val="16"/>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w:t>
      </w:r>
    </w:p>
    <w:p>
      <w:pPr>
        <w:spacing w:after="0" w:line="3" w:lineRule="exact"/>
        <w:rPr>
          <w:sz w:val="20"/>
          <w:szCs w:val="20"/>
          <w:color w:val="auto"/>
        </w:rPr>
      </w:pPr>
    </w:p>
    <w:p>
      <w:pPr>
        <w:ind w:right="260"/>
        <w:spacing w:after="0" w:line="261" w:lineRule="auto"/>
        <w:rPr>
          <w:sz w:val="20"/>
          <w:szCs w:val="20"/>
          <w:color w:val="auto"/>
        </w:rPr>
      </w:pPr>
      <w:r>
        <w:rPr>
          <w:rFonts w:ascii="Arial" w:cs="Arial" w:eastAsia="Arial" w:hAnsi="Arial"/>
          <w:sz w:val="18"/>
          <w:szCs w:val="18"/>
          <w:color w:val="auto"/>
        </w:rPr>
        <w:t>internally. Management also believes that these non-GAAP financial measures may be used to facilitate comparisons of Marvell’s results with that of other companies in its industry.</w:t>
      </w:r>
    </w:p>
    <w:p>
      <w:pPr>
        <w:spacing w:after="0" w:line="184" w:lineRule="exact"/>
        <w:rPr>
          <w:sz w:val="20"/>
          <w:szCs w:val="20"/>
          <w:color w:val="auto"/>
        </w:rPr>
      </w:pPr>
    </w:p>
    <w:p>
      <w:pPr>
        <w:ind w:right="340" w:firstLine="456"/>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52" w:lineRule="exact"/>
        <w:rPr>
          <w:sz w:val="20"/>
          <w:szCs w:val="20"/>
          <w:color w:val="auto"/>
        </w:rPr>
      </w:pPr>
    </w:p>
    <w:p>
      <w:pPr>
        <w:ind w:left="1480" w:right="220" w:hanging="446"/>
        <w:spacing w:after="0" w:line="277" w:lineRule="auto"/>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75"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130" w:lineRule="exact"/>
        <w:rPr>
          <w:rFonts w:ascii="Arial" w:cs="Arial" w:eastAsia="Arial" w:hAnsi="Arial"/>
          <w:sz w:val="18"/>
          <w:szCs w:val="18"/>
          <w:color w:val="auto"/>
        </w:rPr>
      </w:pPr>
    </w:p>
    <w:p>
      <w:pPr>
        <w:ind w:left="1480" w:hanging="446"/>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analysis of operating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131" w:lineRule="exact"/>
        <w:rPr>
          <w:sz w:val="20"/>
          <w:szCs w:val="20"/>
          <w:color w:val="auto"/>
        </w:rPr>
      </w:pPr>
    </w:p>
    <w:p>
      <w:pPr>
        <w:ind w:left="1480" w:hanging="446"/>
        <w:spacing w:after="0" w:line="293" w:lineRule="auto"/>
        <w:tabs>
          <w:tab w:leader="none" w:pos="1480" w:val="left"/>
        </w:tabs>
        <w:numPr>
          <w:ilvl w:val="0"/>
          <w:numId w:val="3"/>
        </w:numPr>
        <w:rPr>
          <w:rFonts w:ascii="Arial" w:cs="Arial" w:eastAsia="Arial" w:hAnsi="Arial"/>
          <w:sz w:val="16"/>
          <w:szCs w:val="16"/>
          <w:color w:val="auto"/>
        </w:rPr>
      </w:pPr>
      <w:r>
        <w:rPr>
          <w:rFonts w:ascii="Arial" w:cs="Arial" w:eastAsia="Arial" w:hAnsi="Arial"/>
          <w:sz w:val="16"/>
          <w:szCs w:val="16"/>
          <w:i w:val="1"/>
          <w:iCs w:val="1"/>
          <w:color w:val="auto"/>
        </w:rPr>
        <w:t>Share-based compensation expense</w:t>
      </w:r>
      <w:r>
        <w:rPr>
          <w:rFonts w:ascii="Arial" w:cs="Arial" w:eastAsia="Arial" w:hAnsi="Arial"/>
          <w:sz w:val="16"/>
          <w:szCs w:val="16"/>
          <w:color w:val="auto"/>
        </w:rPr>
        <w:t>. Share-based compensation expense relates primarily to employee stock options, restricted stock units</w:t>
      </w:r>
      <w:r>
        <w:rPr>
          <w:rFonts w:ascii="Arial" w:cs="Arial" w:eastAsia="Arial" w:hAnsi="Arial"/>
          <w:sz w:val="16"/>
          <w:szCs w:val="16"/>
          <w:i w:val="1"/>
          <w:iCs w:val="1"/>
          <w:color w:val="auto"/>
        </w:rPr>
        <w:t xml:space="preserve"> </w:t>
      </w:r>
      <w:r>
        <w:rPr>
          <w:rFonts w:ascii="Arial" w:cs="Arial" w:eastAsia="Arial" w:hAnsi="Arial"/>
          <w:sz w:val="16"/>
          <w:szCs w:val="16"/>
          <w:color w:val="auto"/>
        </w:rPr>
        <w:t>and the employee stock purchase plan. Share-based compensation expense is a non-cash expense that is affected by changes in market forces, such as the price of Marvell’s common shares, which is not within the control of management. In addition, the valuation of share-based compensation is highly subjective, and the expense recognized by Marvell may be significantly different than the expense recognized by other companies for similar equity awards, which makes it difficult to assess Marvell’s results compared to its competitors. Accordingly, management excludes this item from its internal operating forecasts and analysis of operating results.</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2" w:name="page3"/>
    <w:bookmarkEnd w:id="2"/>
    <w:p>
      <w:pPr>
        <w:ind w:left="1020" w:right="40" w:hanging="446"/>
        <w:spacing w:after="0" w:line="264" w:lineRule="auto"/>
        <w:tabs>
          <w:tab w:leader="none" w:pos="102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Amortization and write-off of acquired intangible assets</w:t>
      </w:r>
      <w:r>
        <w:rPr>
          <w:rFonts w:ascii="Arial" w:cs="Arial" w:eastAsia="Arial" w:hAnsi="Arial"/>
          <w:sz w:val="18"/>
          <w:szCs w:val="18"/>
          <w:color w:val="auto"/>
        </w:rPr>
        <w:t>. Purchased intangible assets relate primarily to existing and core technology, and</w:t>
      </w:r>
      <w:r>
        <w:rPr>
          <w:rFonts w:ascii="Arial" w:cs="Arial" w:eastAsia="Arial" w:hAnsi="Arial"/>
          <w:sz w:val="18"/>
          <w:szCs w:val="18"/>
          <w:i w:val="1"/>
          <w:iCs w:val="1"/>
          <w:color w:val="auto"/>
        </w:rPr>
        <w:t xml:space="preserve"> </w:t>
      </w:r>
      <w:r>
        <w:rPr>
          <w:rFonts w:ascii="Arial" w:cs="Arial" w:eastAsia="Arial" w:hAnsi="Arial"/>
          <w:sz w:val="18"/>
          <w:szCs w:val="18"/>
          <w:color w:val="auto"/>
        </w:rPr>
        <w:t>customer relationships of acquired businesses. Management considers these charges non-cash in nature and unrelated to Marvell’s core operating performance.</w:t>
      </w:r>
    </w:p>
    <w:p>
      <w:pPr>
        <w:spacing w:after="0" w:line="86" w:lineRule="exact"/>
        <w:rPr>
          <w:rFonts w:ascii="Arial" w:cs="Arial" w:eastAsia="Arial" w:hAnsi="Arial"/>
          <w:sz w:val="18"/>
          <w:szCs w:val="18"/>
          <w:color w:val="auto"/>
        </w:rPr>
      </w:pPr>
    </w:p>
    <w:p>
      <w:pPr>
        <w:ind w:left="1020" w:right="100" w:hanging="446"/>
        <w:spacing w:after="0" w:line="279" w:lineRule="auto"/>
        <w:tabs>
          <w:tab w:leader="none" w:pos="102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Acquisition-related costs</w:t>
      </w:r>
      <w:r>
        <w:rPr>
          <w:rFonts w:ascii="Arial" w:cs="Arial" w:eastAsia="Arial" w:hAnsi="Arial"/>
          <w:sz w:val="17"/>
          <w:szCs w:val="17"/>
          <w:color w:val="auto"/>
        </w:rPr>
        <w:t>. Acquisition-related costs primarily include the amortization of retention bonuses required by the terms of the</w:t>
      </w:r>
      <w:r>
        <w:rPr>
          <w:rFonts w:ascii="Arial" w:cs="Arial" w:eastAsia="Arial" w:hAnsi="Arial"/>
          <w:sz w:val="17"/>
          <w:szCs w:val="17"/>
          <w:i w:val="1"/>
          <w:iCs w:val="1"/>
          <w:color w:val="auto"/>
        </w:rPr>
        <w:t xml:space="preserve"> </w:t>
      </w:r>
      <w:r>
        <w:rPr>
          <w:rFonts w:ascii="Arial" w:cs="Arial" w:eastAsia="Arial" w:hAnsi="Arial"/>
          <w:sz w:val="17"/>
          <w:szCs w:val="17"/>
          <w:color w:val="auto"/>
        </w:rPr>
        <w:t>acquisition. Management believes these charges are unrelated to the core operating activities for Marvell, and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76" w:lineRule="exact"/>
        <w:rPr>
          <w:rFonts w:ascii="Arial" w:cs="Arial" w:eastAsia="Arial" w:hAnsi="Arial"/>
          <w:sz w:val="17"/>
          <w:szCs w:val="17"/>
          <w:color w:val="auto"/>
        </w:rPr>
      </w:pPr>
    </w:p>
    <w:p>
      <w:pPr>
        <w:ind w:left="1020" w:hanging="446"/>
        <w:spacing w:after="0" w:line="255" w:lineRule="auto"/>
        <w:tabs>
          <w:tab w:leader="none" w:pos="102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Restructuring and other exit-related costs</w:t>
      </w:r>
      <w:r>
        <w:rPr>
          <w:rFonts w:ascii="Arial" w:cs="Arial" w:eastAsia="Arial" w:hAnsi="Arial"/>
          <w:sz w:val="18"/>
          <w:szCs w:val="18"/>
          <w:color w:val="auto"/>
        </w:rPr>
        <w:t>. Restructuring and other exit-related costs include costs that qualify under U.S. GAAP as</w:t>
      </w:r>
      <w:r>
        <w:rPr>
          <w:rFonts w:ascii="Arial" w:cs="Arial" w:eastAsia="Arial" w:hAnsi="Arial"/>
          <w:sz w:val="18"/>
          <w:szCs w:val="18"/>
          <w:i w:val="1"/>
          <w:iCs w:val="1"/>
          <w:color w:val="auto"/>
        </w:rPr>
        <w:t xml:space="preserve"> </w:t>
      </w:r>
      <w:r>
        <w:rPr>
          <w:rFonts w:ascii="Arial" w:cs="Arial" w:eastAsia="Arial" w:hAnsi="Arial"/>
          <w:sz w:val="18"/>
          <w:szCs w:val="18"/>
          <w:color w:val="auto"/>
        </w:rPr>
        <w:t>restructuring costs, as well as operating expenses related to a product line classified as held-for-sale that did not qualify as discontinued operations. These charges are not directly related to Marvell’s ongoing or core business results. Management regularly excludes such items from internal operating forecasts and analysis of operating results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94" w:lineRule="exact"/>
        <w:rPr>
          <w:rFonts w:ascii="Arial" w:cs="Arial" w:eastAsia="Arial" w:hAnsi="Arial"/>
          <w:sz w:val="18"/>
          <w:szCs w:val="18"/>
          <w:color w:val="auto"/>
        </w:rPr>
      </w:pPr>
    </w:p>
    <w:p>
      <w:pPr>
        <w:ind w:left="1020" w:right="40" w:hanging="446"/>
        <w:spacing w:after="0" w:line="272" w:lineRule="auto"/>
        <w:tabs>
          <w:tab w:leader="none" w:pos="102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Litigation Settlement</w:t>
      </w:r>
      <w:r>
        <w:rPr>
          <w:rFonts w:ascii="Arial" w:cs="Arial" w:eastAsia="Arial" w:hAnsi="Arial"/>
          <w:sz w:val="17"/>
          <w:szCs w:val="17"/>
          <w:color w:val="auto"/>
        </w:rPr>
        <w:t>. Consistent with U.S. GAAP, the total cost of a litigation settlement is apportioned between past sales and</w:t>
      </w:r>
      <w:r>
        <w:rPr>
          <w:rFonts w:ascii="Arial" w:cs="Arial" w:eastAsia="Arial" w:hAnsi="Arial"/>
          <w:sz w:val="17"/>
          <w:szCs w:val="17"/>
          <w:i w:val="1"/>
          <w:iCs w:val="1"/>
          <w:color w:val="auto"/>
        </w:rPr>
        <w:t xml:space="preserve"> </w:t>
      </w:r>
      <w:r>
        <w:rPr>
          <w:rFonts w:ascii="Arial" w:cs="Arial" w:eastAsia="Arial" w:hAnsi="Arial"/>
          <w:sz w:val="17"/>
          <w:szCs w:val="17"/>
          <w:color w:val="auto"/>
        </w:rPr>
        <w:t>anticipated future sales of the allegedly infringing products. The amount apportioned to past sales is expensed in the current period and the amount apportioned to future sales is expensed over the useful life of the license. Since the amount charged in the current period may relate to several years of past product sales, management regularly excludes such charge from its internal operating forecasts and analysis of its operating results. These charges do not relate to current business activity for Marvell. The frequency and variability in the nature of the charges can fluctuate significantly from period to period. Excluding this data provides investors with a basis to compare Marvell’s current performance against the performance of other companies without this variability.</w:t>
      </w:r>
    </w:p>
    <w:p>
      <w:pPr>
        <w:spacing w:after="0" w:line="83" w:lineRule="exact"/>
        <w:rPr>
          <w:rFonts w:ascii="Arial" w:cs="Arial" w:eastAsia="Arial" w:hAnsi="Arial"/>
          <w:sz w:val="17"/>
          <w:szCs w:val="17"/>
          <w:color w:val="auto"/>
        </w:rPr>
      </w:pPr>
    </w:p>
    <w:p>
      <w:pPr>
        <w:ind w:left="1020" w:right="160" w:hanging="446"/>
        <w:spacing w:after="0" w:line="279" w:lineRule="auto"/>
        <w:tabs>
          <w:tab w:leader="none" w:pos="1020" w:val="left"/>
        </w:tabs>
        <w:numPr>
          <w:ilvl w:val="0"/>
          <w:numId w:val="4"/>
        </w:numPr>
        <w:rPr>
          <w:rFonts w:ascii="Arial" w:cs="Arial" w:eastAsia="Arial" w:hAnsi="Arial"/>
          <w:sz w:val="17"/>
          <w:szCs w:val="17"/>
          <w:color w:val="auto"/>
        </w:rPr>
      </w:pPr>
      <w:r>
        <w:rPr>
          <w:rFonts w:ascii="Arial" w:cs="Arial" w:eastAsia="Arial" w:hAnsi="Arial"/>
          <w:sz w:val="17"/>
          <w:szCs w:val="17"/>
          <w:i w:val="1"/>
          <w:iCs w:val="1"/>
          <w:color w:val="auto"/>
        </w:rPr>
        <w:t xml:space="preserve">Other. </w:t>
      </w:r>
      <w:r>
        <w:rPr>
          <w:rFonts w:ascii="Arial" w:cs="Arial" w:eastAsia="Arial" w:hAnsi="Arial"/>
          <w:sz w:val="17"/>
          <w:szCs w:val="17"/>
          <w:color w:val="auto"/>
        </w:rPr>
        <w:t>From time to time, Marvell has other costs/benefits that are not directly related to Marvell’s ongoing or core business results. For</w:t>
      </w:r>
      <w:r>
        <w:rPr>
          <w:rFonts w:ascii="Arial" w:cs="Arial" w:eastAsia="Arial" w:hAnsi="Arial"/>
          <w:sz w:val="17"/>
          <w:szCs w:val="17"/>
          <w:i w:val="1"/>
          <w:iCs w:val="1"/>
          <w:color w:val="auto"/>
        </w:rPr>
        <w:t xml:space="preserve"> </w:t>
      </w:r>
      <w:r>
        <w:rPr>
          <w:rFonts w:ascii="Arial" w:cs="Arial" w:eastAsia="Arial" w:hAnsi="Arial"/>
          <w:sz w:val="17"/>
          <w:szCs w:val="17"/>
          <w:color w:val="auto"/>
        </w:rPr>
        <w:t>example, in the quarter ended November 1, 2014, Marvell recorded an expense of $2.3 million for costs associated with the surety bond to appeal the Carnegie Mellon University judgment. Excluding this data provides investors with a basis to compare Marvell’s performance against the performance of other companies without this variability.</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131" w:lineRule="exact"/>
        <w:rPr>
          <w:sz w:val="20"/>
          <w:szCs w:val="20"/>
          <w:color w:val="auto"/>
        </w:rPr>
      </w:pPr>
    </w:p>
    <w:p>
      <w:pPr>
        <w:ind w:left="1020" w:right="40" w:hanging="446"/>
        <w:spacing w:after="0" w:line="272" w:lineRule="auto"/>
        <w:tabs>
          <w:tab w:leader="none" w:pos="1020" w:val="left"/>
        </w:tabs>
        <w:numPr>
          <w:ilvl w:val="0"/>
          <w:numId w:val="5"/>
        </w:numPr>
        <w:rPr>
          <w:rFonts w:ascii="Arial" w:cs="Arial" w:eastAsia="Arial" w:hAnsi="Arial"/>
          <w:sz w:val="17"/>
          <w:szCs w:val="17"/>
          <w:color w:val="auto"/>
        </w:rPr>
      </w:pPr>
      <w:r>
        <w:rPr>
          <w:rFonts w:ascii="Arial" w:cs="Arial" w:eastAsia="Arial" w:hAnsi="Arial"/>
          <w:sz w:val="17"/>
          <w:szCs w:val="17"/>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For GAAP purposes under the treasury stock method, this future share-based compensation is treated as proceeds assumed to be used to repurchase shares. Since Marvell’s non-GAAP net income does not include share-based compensation, management believes the share-based compensation effect on diluted shares outstanding using the treasury stock method should similarly not be included in the calculation of non-GAAP diluted shares outstanding.</w:t>
      </w:r>
    </w:p>
    <w:p>
      <w:pPr>
        <w:spacing w:after="0" w:line="110"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0"/>
          </w:cols>
          <w:pgMar w:left="700" w:top="274" w:right="239" w:bottom="1440" w:gutter="0" w:footer="0" w:header="0"/>
        </w:sectPr>
      </w:pPr>
    </w:p>
    <w:bookmarkStart w:id="3" w:name="page4"/>
    <w:bookmarkEnd w:id="3"/>
    <w:p>
      <w:pPr>
        <w:ind w:firstLine="456"/>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30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80" w:firstLine="456"/>
        <w:spacing w:after="0" w:line="279" w:lineRule="auto"/>
        <w:rPr>
          <w:sz w:val="20"/>
          <w:szCs w:val="20"/>
          <w:color w:val="auto"/>
        </w:rPr>
      </w:pPr>
      <w:r>
        <w:rPr>
          <w:rFonts w:ascii="Arial" w:cs="Arial" w:eastAsia="Arial" w:hAnsi="Arial"/>
          <w:sz w:val="17"/>
          <w:szCs w:val="17"/>
          <w:color w:val="auto"/>
        </w:rPr>
        <w:t>Marvell today announced that it had declared the payment of its quarterly dividend of $0.06 per share to be paid on December 29, 2014 to all shareholders of record as of December 11, 2014.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November 20, 2014</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20,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Michael Rashkin</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Michael Rashkin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5" w:name="page6"/>
    <w:bookmarkEnd w:id="5"/>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November 20, 2014</w:t>
      </w:r>
    </w:p>
    <w:p>
      <w:pPr>
        <w:sectPr>
          <w:pgSz w:w="11900" w:h="16838" w:orient="portrait"/>
          <w:cols w:equalWidth="0" w:num="2">
            <w:col w:w="740" w:space="720"/>
            <w:col w:w="8759"/>
          </w:cols>
          <w:pgMar w:left="240" w:top="270" w:right="1440" w:bottom="1440" w:gutter="0" w:footer="0" w:header="0"/>
          <w:type w:val="continuous"/>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5424805</wp:posOffset>
            </wp:positionH>
            <wp:positionV relativeFrom="paragraph">
              <wp:posOffset>172085</wp:posOffset>
            </wp:positionV>
            <wp:extent cx="1826895" cy="1714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44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440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34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Year 2015 Financial Results</w:t>
      </w:r>
    </w:p>
    <w:p>
      <w:pPr>
        <w:spacing w:after="0" w:line="225" w:lineRule="exact"/>
        <w:rPr>
          <w:sz w:val="20"/>
          <w:szCs w:val="20"/>
          <w:color w:val="auto"/>
        </w:rPr>
      </w:pPr>
    </w:p>
    <w:p>
      <w:pPr>
        <w:ind w:right="440"/>
        <w:spacing w:after="0" w:line="282" w:lineRule="auto"/>
        <w:rPr>
          <w:sz w:val="20"/>
          <w:szCs w:val="20"/>
          <w:color w:val="auto"/>
        </w:rPr>
      </w:pPr>
      <w:r>
        <w:rPr>
          <w:rFonts w:ascii="Arial" w:cs="Arial" w:eastAsia="Arial" w:hAnsi="Arial"/>
          <w:sz w:val="18"/>
          <w:szCs w:val="18"/>
          <w:b w:val="1"/>
          <w:bCs w:val="1"/>
          <w:color w:val="auto"/>
        </w:rPr>
        <w:t xml:space="preserve">Santa Clara, Calif. (November 20, 2014)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third quarter of fiscal year 2015, ended November 1, 2014.</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Third Quarter of Fiscal 2015 Financial Highlights</w:t>
      </w:r>
    </w:p>
    <w:p>
      <w:pPr>
        <w:spacing w:after="0" w:line="135"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Q3 FY 2015, $930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Net Income: Q3 FY 2015, $115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GAAP Diluted EPS: Q3 FY 2015, $0.22</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Net Income: Q3 FY 2015, $155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Non-GAAP Diluted EPS: Q3 FY 2015, $0.29</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Free Cash Flow: Q3 FY 2015, $167 Million</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2015 Financial Outlook</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Marvell’s financial outlook does not include the potential impact of future share repurchases, pending litigation matters, business combinations, asset acquisitions or other investments that may be completed after November 19, 2014.</w:t>
      </w:r>
    </w:p>
    <w:p>
      <w:pPr>
        <w:spacing w:after="0" w:line="76" w:lineRule="exact"/>
        <w:rPr>
          <w:sz w:val="20"/>
          <w:szCs w:val="20"/>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Revenue is expected to be in the range of $880 Million to $900 Million.</w:t>
      </w:r>
    </w:p>
    <w:p>
      <w:pPr>
        <w:spacing w:after="0" w:line="130" w:lineRule="exact"/>
        <w:rPr>
          <w:rFonts w:ascii="Arial" w:cs="Arial" w:eastAsia="Arial" w:hAnsi="Arial"/>
          <w:sz w:val="18"/>
          <w:szCs w:val="18"/>
          <w:color w:val="auto"/>
        </w:rPr>
      </w:pPr>
    </w:p>
    <w:p>
      <w:pPr>
        <w:ind w:left="900" w:right="18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50.1% +/- 100 bps. Non-GAAP Gross Margin is expected to be in the range of 50.5% +/-100 bps.</w:t>
      </w:r>
    </w:p>
    <w:p>
      <w:pPr>
        <w:spacing w:after="0" w:line="75" w:lineRule="exact"/>
        <w:rPr>
          <w:rFonts w:ascii="Arial" w:cs="Arial" w:eastAsia="Arial" w:hAnsi="Arial"/>
          <w:sz w:val="18"/>
          <w:szCs w:val="18"/>
          <w:color w:val="auto"/>
        </w:rPr>
      </w:pPr>
    </w:p>
    <w:p>
      <w:pPr>
        <w:ind w:left="900" w:right="20" w:hanging="325"/>
        <w:spacing w:after="0" w:line="277"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GAAP Operating Expenses are expected to be in the range of $365 Million +/- $10 Million. Non-GAAP Operating Expenses to be in the range of $320 Million +/- $10 Million.</w:t>
      </w:r>
    </w:p>
    <w:p>
      <w:pPr>
        <w:spacing w:after="0" w:line="75"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7"/>
          <w:szCs w:val="17"/>
          <w:color w:val="auto"/>
        </w:rPr>
      </w:pPr>
      <w:r>
        <w:rPr>
          <w:rFonts w:ascii="Arial" w:cs="Arial" w:eastAsia="Arial" w:hAnsi="Arial"/>
          <w:sz w:val="17"/>
          <w:szCs w:val="17"/>
          <w:color w:val="auto"/>
        </w:rPr>
        <w:t>GAAP Diluted EPS expected to be in the range of $0.16 +/- $0.02. Non-GAAP Diluted EPS expected to be in the range of $0.24 +/- $0.02.</w:t>
      </w:r>
    </w:p>
    <w:p>
      <w:pPr>
        <w:sectPr>
          <w:pgSz w:w="11900" w:h="16838" w:orient="portrait"/>
          <w:cols w:equalWidth="0" w:num="1">
            <w:col w:w="11420"/>
          </w:cols>
          <w:pgMar w:left="240" w:top="121" w:right="2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Third Quarter of Fiscal 2015 Summary</w:t>
      </w:r>
    </w:p>
    <w:p>
      <w:pPr>
        <w:spacing w:after="0" w:line="12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Revenue for the third quarter of fiscal 2015 was $930 million, down approximately 3% from $962 million in the second quarter of fiscal 2015, ended August 2, 2014, and approximately flat from $931 million in the third quarter of fiscal 2014, ended November 2, 2013.</w:t>
      </w:r>
    </w:p>
    <w:p>
      <w:pPr>
        <w:spacing w:after="0" w:line="170" w:lineRule="exact"/>
        <w:rPr>
          <w:sz w:val="20"/>
          <w:szCs w:val="20"/>
          <w:color w:val="auto"/>
        </w:rPr>
      </w:pPr>
    </w:p>
    <w:p>
      <w:pPr>
        <w:ind w:right="300"/>
        <w:spacing w:after="0" w:line="342" w:lineRule="auto"/>
        <w:rPr>
          <w:sz w:val="20"/>
          <w:szCs w:val="20"/>
          <w:color w:val="auto"/>
        </w:rPr>
      </w:pPr>
      <w:r>
        <w:rPr>
          <w:rFonts w:ascii="Arial" w:cs="Arial" w:eastAsia="Arial" w:hAnsi="Arial"/>
          <w:sz w:val="16"/>
          <w:szCs w:val="16"/>
          <w:color w:val="auto"/>
        </w:rPr>
        <w:t>GAAP net income for the third quarter of fiscal 2015 was $115 million, or $0.22 per share (diluted), compared with GAAP net income of $139 million, or $0.27 per share (diluted), for the second quarter of fiscal 2015, and $103 million, or $0.21 per share (diluted), for the third quarter of fiscal 2014.</w:t>
      </w:r>
    </w:p>
    <w:p>
      <w:pPr>
        <w:spacing w:after="0" w:line="124"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Non-GAAP net income was $155 million, or $0.29 per share (diluted), for the third quarter of fiscal 2015, compared with non-GAAP net income of $181 million, or $0.34 per share (diluted), for the second quarter of fiscal 2015 and $163 million, or $0.32 per share (diluted), for the third quarter of fiscal 2014.</w:t>
      </w:r>
    </w:p>
    <w:p>
      <w:pPr>
        <w:spacing w:after="0" w:line="124"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Marvell reports net income, basic and diluted net income per share, in accordance with U.S. generally accepted accounting principles (GAAP) and on a non-GAAP basis as outlined below. Reconciliations of GAAP net income to non-GAAP net income for the three months ended November 1, 2014, August 2, 2014 and November 2, 2013 appear in the financial statements below. Non-GAAP net income, where applicable, excludes the effect of share-based compensation, amortization and write-off of acquired intangible assets, acquisition-related costs, restructuring and other exit related costs, litigation settlement and certain one-time expenses and benefits.</w:t>
      </w:r>
    </w:p>
    <w:p>
      <w:pPr>
        <w:spacing w:after="0" w:line="18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GAAP gross margin for the third quarter of fiscal 2015 was 51.1 percent, compared to 50.3 percent for the second quarter of fiscal 2015 and 50.1 percent for the third quarter of fiscal 2014.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Non-GAAP gross margin for the third quarter of fiscal 2015 was 51.0 percent, compared to 50.6 percent for the second quarter of fiscal 2015 and 50.3 percent for the third quarter of fiscal 2014.</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Shares used to compute GAAP net income per diluted share for the third quarter of fiscal 2015 were 520 million shares, compared with 520 million shares in the second quarter of fiscal 2015 and 501 million shares in the third quarter of fiscal 2014.</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0" w:right="239" w:bottom="1440" w:gutter="0" w:footer="0" w:header="0"/>
        </w:sectPr>
      </w:pPr>
    </w:p>
    <w:bookmarkStart w:id="8" w:name="page9"/>
    <w:bookmarkEnd w:id="8"/>
    <w:p>
      <w:pPr>
        <w:ind w:right="40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Shares used to compute non-GAAP net income per diluted share for the third quarter of fiscal 2015 were 533 million shares, compared with 533 million shares for the second quarter of fiscal 2015 and 514 million shares for the third quarter of fiscal 2014.</w:t>
      </w:r>
    </w:p>
    <w:p>
      <w:pPr>
        <w:spacing w:after="0" w:line="170"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Cash flow from operations for the third quarter of fiscal 2015 was $195 million, compared to the $157 million reported in the second quarter of fiscal 2015 and the $177 million reported in the third quarter of fiscal 2014. Free cash flow for the third quarter of fiscal 2015 was $167 million, compared to the $137 million reported in the second quarter of fiscal 2015 and the $157 million reported in the third quarter of fiscal 2014. Free cash flow as presented above is defined as cash flow from operations, less capital expenditures and purchases of technology licenses reported under investing and financing activities in the consolidated statement of cash flows.</w:t>
      </w:r>
    </w:p>
    <w:p>
      <w:pPr>
        <w:spacing w:after="0" w:line="188" w:lineRule="exact"/>
        <w:rPr>
          <w:sz w:val="20"/>
          <w:szCs w:val="20"/>
          <w:color w:val="auto"/>
        </w:rPr>
      </w:pPr>
    </w:p>
    <w:p>
      <w:pPr>
        <w:jc w:val="both"/>
        <w:ind w:right="480"/>
        <w:spacing w:after="0" w:line="312" w:lineRule="auto"/>
        <w:rPr>
          <w:sz w:val="20"/>
          <w:szCs w:val="20"/>
          <w:color w:val="auto"/>
        </w:rPr>
      </w:pPr>
      <w:r>
        <w:rPr>
          <w:rFonts w:ascii="Arial" w:cs="Arial" w:eastAsia="Arial" w:hAnsi="Arial"/>
          <w:sz w:val="16"/>
          <w:szCs w:val="16"/>
          <w:color w:val="auto"/>
        </w:rPr>
        <w:t>Under the company’s authorized share repurchase program, Marvell repurchased approximately 3.7 million shares for a total of $45 million in the third quarter of fiscal 2015. Marvell paid a quarterly dividend of $0.06 per share on October 2, 2014 to all shareholders of record as of September 11, 2014. Marvell intends to pay its next quarterly dividend of $0.06 per share on December 29, 2014 to all shareholders of record as of December 11, 2014.</w:t>
      </w:r>
    </w:p>
    <w:p>
      <w:pPr>
        <w:spacing w:after="0" w:line="147"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The payment of future quarterly cash dividends on Marvell’s common shares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Marvell will be conducting a conference call on Thursday, November 20, 2014 at 1:45 p.m. Pacific Time to discuss results for the third quarter of fiscal year 2015. Interested parties may join the conference call by dialing 1-800-322-2803 or 1-617-614-4925, pass-code 459 797 93. The call will be webcast by Thomson Reuters and can be accessed at the Marvell Investor Relations website at http://investor.marvell.com/ with a replay available following the call until December 20, 2014.</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74" w:right="27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121"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Non-GAAP financial measures exclude the effect of share-based compensation expense, amortization and write-off of acquired intangible assets, acquisition-related costs, restructuring and other exit-related costs, litigation settlement, and certain one-time expenses and benefits that are driven primarily by discrete events that management does not consider to be directly related to Marvell’s core operating performance. Non-GAAP net income per share is calculated by dividing non-GAAP net income by non-GAAP weighted average shares outstanding (diluted). For purposes of calculating non-GAAP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 units.</w:t>
      </w:r>
    </w:p>
    <w:p>
      <w:pPr>
        <w:spacing w:after="0" w:line="167"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www.sec.gov as well as on the Marvell website in the Investor Relations section at www.marvell.com.</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160"/>
        <w:spacing w:after="0" w:line="286"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Marvell’s expectations and statements regarding its financial outlook for the fourth quarter of fiscal 2015; its dividend program including the declaration of, timing of, funding of, payment of and quarterly amount of dividends; and its use of non-GAAP financial measures as important</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0" w:right="259" w:bottom="1440" w:gutter="0" w:footer="0" w:header="0"/>
        </w:sectPr>
      </w:pPr>
    </w:p>
    <w:bookmarkStart w:id="10" w:name="page11"/>
    <w:bookmarkEnd w:id="10"/>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reliance on a few customers for a significant portion of its revenue; costs and liabilities relating to current and future litigation; Marvell’s ability to develop and introduce new and enhanced products in a timely and cost effective manner and the adoption of those products in the market; seasonality in sales of consumer devices in which Marvell’s products are incorporated; Marvell’s ability to compete in products and prices in an intensely competitive industry; uncertainty in the worldwide economic conditions; Marvell’s ability to recruit and retain skilled personnel; and other risks detailed in Marvell’s SEC filings from time to time. When Marvell files its Quarterly Report on Form 10-Q for the third quarter of fiscal 2015, the financial statements may differ from the results disclosed in this press release because judgments and estimates that management used in preparing the financial results reported in this press release may need to be updated to the date of the filing. For other factors that could cause Marvell’s results to vary from expectations, please see the risk factors identified in the Marvell’s latest Quarterly Report on Form 10-Q for the quarter ended August 2, 2014 as filed with the SEC, and other factors detailed from time to time in Marvell’s filings with the SEC. Marvell undertakes no obligation to revise or update publicly any forward-looking statements.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4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360"/>
          </w:cols>
          <w:pgMar w:left="240" w:top="274" w:right="29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0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20" w:type="dxa"/>
            <w:vAlign w:val="bottom"/>
            <w:gridSpan w:val="4"/>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0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02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8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36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3"/>
          </w:tcPr>
          <w:p>
            <w:pPr>
              <w:jc w:val="center"/>
              <w:ind w:right="380"/>
              <w:spacing w:after="0" w:line="119" w:lineRule="exact"/>
              <w:rPr>
                <w:sz w:val="20"/>
                <w:szCs w:val="20"/>
                <w:color w:val="auto"/>
              </w:rPr>
            </w:pPr>
            <w:r>
              <w:rPr>
                <w:rFonts w:ascii="Arial" w:cs="Arial" w:eastAsia="Arial" w:hAnsi="Arial"/>
                <w:sz w:val="13"/>
                <w:szCs w:val="13"/>
                <w:b w:val="1"/>
                <w:bCs w:val="1"/>
                <w:color w:val="auto"/>
              </w:rPr>
              <w:t>August 2,</w:t>
            </w:r>
          </w:p>
        </w:tc>
        <w:tc>
          <w:tcPr>
            <w:tcW w:w="6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November 2,</w:t>
            </w:r>
          </w:p>
        </w:tc>
        <w:tc>
          <w:tcPr>
            <w:tcW w:w="440" w:type="dxa"/>
            <w:vAlign w:val="bottom"/>
          </w:tcPr>
          <w:p>
            <w:pPr>
              <w:spacing w:after="0"/>
              <w:rPr>
                <w:sz w:val="10"/>
                <w:szCs w:val="10"/>
                <w:color w:val="auto"/>
              </w:rPr>
            </w:pPr>
          </w:p>
        </w:tc>
        <w:tc>
          <w:tcPr>
            <w:tcW w:w="1060" w:type="dxa"/>
            <w:vAlign w:val="bottom"/>
            <w:tcBorders>
              <w:top w:val="single" w:sz="8" w:color="auto"/>
            </w:tcBorders>
            <w:gridSpan w:val="3"/>
          </w:tcPr>
          <w:p>
            <w:pPr>
              <w:ind w:left="20"/>
              <w:spacing w:after="0" w:line="119" w:lineRule="exact"/>
              <w:rPr>
                <w:sz w:val="20"/>
                <w:szCs w:val="20"/>
                <w:color w:val="auto"/>
              </w:rPr>
            </w:pPr>
            <w:r>
              <w:rPr>
                <w:rFonts w:ascii="Arial" w:cs="Arial" w:eastAsia="Arial" w:hAnsi="Arial"/>
                <w:sz w:val="13"/>
                <w:szCs w:val="13"/>
                <w:b w:val="1"/>
                <w:bCs w:val="1"/>
                <w:color w:val="auto"/>
              </w:rPr>
              <w:t>November 1,</w:t>
            </w:r>
          </w:p>
        </w:tc>
        <w:tc>
          <w:tcPr>
            <w:tcW w:w="180" w:type="dxa"/>
            <w:vAlign w:val="bottom"/>
            <w:tcBorders>
              <w:top w:val="single" w:sz="8" w:color="auto"/>
            </w:tcBorders>
          </w:tcPr>
          <w:p>
            <w:pPr>
              <w:spacing w:after="0"/>
              <w:rPr>
                <w:sz w:val="10"/>
                <w:szCs w:val="10"/>
                <w:color w:val="auto"/>
              </w:rPr>
            </w:pPr>
          </w:p>
        </w:tc>
        <w:tc>
          <w:tcPr>
            <w:tcW w:w="84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November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020" w:type="dxa"/>
            <w:vAlign w:val="bottom"/>
            <w:tcBorders>
              <w:bottom w:val="single" w:sz="8" w:color="CCEEFF"/>
            </w:tcBorders>
          </w:tcPr>
          <w:p>
            <w:pPr>
              <w:spacing w:after="0"/>
              <w:rPr>
                <w:sz w:val="14"/>
                <w:szCs w:val="14"/>
                <w:color w:val="auto"/>
              </w:rPr>
            </w:pPr>
          </w:p>
        </w:tc>
        <w:tc>
          <w:tcPr>
            <w:tcW w:w="6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6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1"/>
              <w:spacing w:after="0"/>
              <w:rPr>
                <w:sz w:val="20"/>
                <w:szCs w:val="20"/>
                <w:color w:val="auto"/>
              </w:rPr>
            </w:pPr>
            <w:r>
              <w:rPr>
                <w:rFonts w:ascii="Arial" w:cs="Arial" w:eastAsia="Arial" w:hAnsi="Arial"/>
                <w:sz w:val="14"/>
                <w:szCs w:val="14"/>
                <w:b w:val="1"/>
                <w:bCs w:val="1"/>
                <w:color w:val="auto"/>
                <w:w w:val="89"/>
              </w:rPr>
              <w:t>2014</w:t>
            </w:r>
          </w:p>
        </w:tc>
        <w:tc>
          <w:tcPr>
            <w:tcW w:w="380" w:type="dxa"/>
            <w:vAlign w:val="bottom"/>
            <w:tcBorders>
              <w:bottom w:val="single" w:sz="8" w:color="CCEEFF"/>
            </w:tcBorders>
          </w:tcPr>
          <w:p>
            <w:pPr>
              <w:spacing w:after="0"/>
              <w:rPr>
                <w:sz w:val="14"/>
                <w:szCs w:val="14"/>
                <w:color w:val="auto"/>
              </w:rPr>
            </w:pPr>
          </w:p>
        </w:tc>
        <w:tc>
          <w:tcPr>
            <w:tcW w:w="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2014</w:t>
            </w:r>
          </w:p>
        </w:tc>
        <w:tc>
          <w:tcPr>
            <w:tcW w:w="24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930,136</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3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931,226</w:t>
            </w:r>
          </w:p>
        </w:tc>
        <w:tc>
          <w:tcPr>
            <w:tcW w:w="4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2,849,511</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2,472,651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Cost of goods sold</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454,974</w:t>
            </w: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477,741</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w w:val="95"/>
              </w:rPr>
              <w:t>464,981</w:t>
            </w: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1,426,575</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w w:val="89"/>
              </w:rPr>
              <w:t>1,186,478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475,162</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483,804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5"/>
              </w:rPr>
              <w:t>466,245</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1,422,936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1,286,173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Operating expenses:</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288,435</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294,764</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5"/>
              </w:rPr>
              <w:t>296,291</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878,562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867,985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34,410</w:t>
            </w: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33,949</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37,496</w:t>
            </w: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106,717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116,033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33,473</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31,333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26,589</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95,379</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80,104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3,304</w:t>
            </w:r>
          </w:p>
        </w:tc>
        <w:tc>
          <w:tcPr>
            <w:tcW w:w="6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3,304</w:t>
            </w:r>
          </w:p>
        </w:tc>
        <w:tc>
          <w:tcPr>
            <w:tcW w:w="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10,645</w:t>
            </w: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13,297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31,969</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359,622</w:t>
            </w:r>
          </w:p>
        </w:tc>
        <w:tc>
          <w:tcPr>
            <w:tcW w:w="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363,350</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5"/>
              </w:rPr>
              <w:t>371,021</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1,093,955</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9"/>
              </w:rPr>
              <w:t>1,096,091</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Operating income</w:t>
            </w:r>
          </w:p>
        </w:tc>
        <w:tc>
          <w:tcPr>
            <w:tcW w:w="6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115,540</w:t>
            </w:r>
          </w:p>
        </w:tc>
        <w:tc>
          <w:tcPr>
            <w:tcW w:w="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120,454</w:t>
            </w: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95,224</w:t>
            </w:r>
          </w:p>
        </w:tc>
        <w:tc>
          <w:tcPr>
            <w:tcW w:w="4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328,981</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190,082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4,764</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12,263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1,536</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18,952</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12,949</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Income before income taxes</w:t>
            </w:r>
          </w:p>
        </w:tc>
        <w:tc>
          <w:tcPr>
            <w:tcW w:w="6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120,304</w:t>
            </w:r>
          </w:p>
        </w:tc>
        <w:tc>
          <w:tcPr>
            <w:tcW w:w="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132,717</w:t>
            </w: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96,760</w:t>
            </w:r>
          </w:p>
        </w:tc>
        <w:tc>
          <w:tcPr>
            <w:tcW w:w="4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347,933</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203,031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5,000</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(6,153)</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(6,396)</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(5,720)</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(15,160)</w:t>
            </w:r>
          </w:p>
        </w:tc>
        <w:tc>
          <w:tcPr>
            <w:tcW w:w="0" w:type="dxa"/>
            <w:vAlign w:val="bottom"/>
          </w:tcPr>
          <w:p>
            <w:pPr>
              <w:spacing w:after="0"/>
              <w:rPr>
                <w:sz w:val="1"/>
                <w:szCs w:val="1"/>
                <w:color w:val="auto"/>
              </w:rPr>
            </w:pPr>
          </w:p>
        </w:tc>
      </w:tr>
      <w:tr>
        <w:trPr>
          <w:trHeight w:val="223"/>
        </w:trPr>
        <w:tc>
          <w:tcPr>
            <w:tcW w:w="5040" w:type="dxa"/>
            <w:vAlign w:val="bottom"/>
            <w:gridSpan w:val="2"/>
          </w:tcPr>
          <w:p>
            <w:pPr>
              <w:spacing w:after="0"/>
              <w:rPr>
                <w:sz w:val="20"/>
                <w:szCs w:val="20"/>
                <w:color w:val="auto"/>
              </w:rPr>
            </w:pPr>
            <w:r>
              <w:rPr>
                <w:rFonts w:ascii="Arial" w:cs="Arial" w:eastAsia="Arial" w:hAnsi="Arial"/>
                <w:sz w:val="18"/>
                <w:szCs w:val="18"/>
                <w:color w:val="auto"/>
              </w:rPr>
              <w:t>Net income</w:t>
            </w:r>
          </w:p>
        </w:tc>
        <w:tc>
          <w:tcPr>
            <w:tcW w:w="66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115,304</w:t>
            </w:r>
          </w:p>
        </w:tc>
        <w:tc>
          <w:tcPr>
            <w:tcW w:w="6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138,870</w:t>
            </w:r>
          </w:p>
        </w:tc>
        <w:tc>
          <w:tcPr>
            <w:tcW w:w="3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103,156</w:t>
            </w:r>
          </w:p>
        </w:tc>
        <w:tc>
          <w:tcPr>
            <w:tcW w:w="44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353,653</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218,191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 w:type="dxa"/>
            <w:vAlign w:val="bottom"/>
            <w:vMerge w:val="restart"/>
          </w:tcPr>
          <w:p>
            <w:pPr>
              <w:spacing w:after="0"/>
              <w:rPr>
                <w:sz w:val="12"/>
                <w:szCs w:val="12"/>
                <w:color w:val="auto"/>
              </w:rPr>
            </w:pPr>
          </w:p>
        </w:tc>
        <w:tc>
          <w:tcPr>
            <w:tcW w:w="502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580" w:type="dxa"/>
            <w:vAlign w:val="bottom"/>
            <w:shd w:val="clear" w:color="auto" w:fill="CCEEFF"/>
          </w:tcPr>
          <w:p>
            <w:pPr>
              <w:spacing w:after="0"/>
              <w:rPr>
                <w:sz w:val="12"/>
                <w:szCs w:val="12"/>
                <w:color w:val="auto"/>
              </w:rPr>
            </w:pPr>
          </w:p>
        </w:tc>
        <w:tc>
          <w:tcPr>
            <w:tcW w:w="38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40" w:type="dxa"/>
            <w:vAlign w:val="bottom"/>
            <w:shd w:val="clear" w:color="auto" w:fill="CCEEFF"/>
          </w:tcPr>
          <w:p>
            <w:pPr>
              <w:spacing w:after="0"/>
              <w:rPr>
                <w:sz w:val="12"/>
                <w:szCs w:val="12"/>
                <w:color w:val="auto"/>
              </w:rPr>
            </w:pPr>
          </w:p>
        </w:tc>
        <w:tc>
          <w:tcPr>
            <w:tcW w:w="44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74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Basic net income per share</w:t>
            </w:r>
          </w:p>
        </w:tc>
        <w:tc>
          <w:tcPr>
            <w:tcW w:w="800" w:type="dxa"/>
            <w:vAlign w:val="bottom"/>
            <w:gridSpan w:val="2"/>
          </w:tcPr>
          <w:p>
            <w:pPr>
              <w:ind w:left="66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0.22</w:t>
            </w:r>
          </w:p>
        </w:tc>
        <w:tc>
          <w:tcPr>
            <w:tcW w:w="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rPr>
              <w:t>0.27</w:t>
            </w:r>
          </w:p>
        </w:tc>
        <w:tc>
          <w:tcPr>
            <w:tcW w:w="20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rPr>
              <w:t>0.21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0.69</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Diluted net income per share</w:t>
            </w:r>
          </w:p>
        </w:tc>
        <w:tc>
          <w:tcPr>
            <w:tcW w:w="80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0.22</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0.27</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0.21</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0.68</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20" w:type="dxa"/>
            <w:vAlign w:val="bottom"/>
            <w:vMerge w:val="restart"/>
          </w:tcPr>
          <w:p>
            <w:pPr>
              <w:spacing w:after="0"/>
              <w:rPr>
                <w:sz w:val="12"/>
                <w:szCs w:val="12"/>
                <w:color w:val="auto"/>
              </w:rPr>
            </w:pPr>
          </w:p>
        </w:tc>
        <w:tc>
          <w:tcPr>
            <w:tcW w:w="50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2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513,859</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6"/>
              </w:rPr>
              <w:t>511,821</w:t>
            </w:r>
          </w:p>
        </w:tc>
        <w:tc>
          <w:tcPr>
            <w:tcW w:w="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w w:val="95"/>
              </w:rPr>
              <w:t>491,979</w:t>
            </w: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510,261</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496,151</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2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6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519,907</w:t>
            </w:r>
          </w:p>
        </w:tc>
        <w:tc>
          <w:tcPr>
            <w:tcW w:w="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gridSpan w:val="2"/>
          </w:tcPr>
          <w:p>
            <w:pPr>
              <w:jc w:val="right"/>
              <w:ind w:right="380"/>
              <w:spacing w:after="0"/>
              <w:rPr>
                <w:sz w:val="20"/>
                <w:szCs w:val="20"/>
                <w:color w:val="auto"/>
              </w:rPr>
            </w:pPr>
            <w:r>
              <w:rPr>
                <w:rFonts w:ascii="Arial" w:cs="Arial" w:eastAsia="Arial" w:hAnsi="Arial"/>
                <w:sz w:val="18"/>
                <w:szCs w:val="18"/>
                <w:color w:val="auto"/>
                <w:w w:val="86"/>
              </w:rPr>
              <w:t>520,269</w:t>
            </w:r>
          </w:p>
        </w:tc>
        <w:tc>
          <w:tcPr>
            <w:tcW w:w="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80" w:type="dxa"/>
            <w:vAlign w:val="bottom"/>
            <w:gridSpan w:val="2"/>
          </w:tcPr>
          <w:p>
            <w:pPr>
              <w:jc w:val="right"/>
              <w:ind w:right="440"/>
              <w:spacing w:after="0"/>
              <w:rPr>
                <w:sz w:val="20"/>
                <w:szCs w:val="20"/>
                <w:color w:val="auto"/>
              </w:rPr>
            </w:pPr>
            <w:r>
              <w:rPr>
                <w:rFonts w:ascii="Arial" w:cs="Arial" w:eastAsia="Arial" w:hAnsi="Arial"/>
                <w:sz w:val="18"/>
                <w:szCs w:val="18"/>
                <w:color w:val="auto"/>
                <w:w w:val="95"/>
              </w:rPr>
              <w:t>501,189</w:t>
            </w:r>
          </w:p>
        </w:tc>
        <w:tc>
          <w:tcPr>
            <w:tcW w:w="80" w:type="dxa"/>
            <w:vAlign w:val="bottom"/>
          </w:tcPr>
          <w:p>
            <w:pPr>
              <w:spacing w:after="0"/>
              <w:rPr>
                <w:sz w:val="20"/>
                <w:szCs w:val="20"/>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520,309</w:t>
            </w:r>
          </w:p>
        </w:tc>
        <w:tc>
          <w:tcPr>
            <w:tcW w:w="1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502,401</w:t>
            </w:r>
          </w:p>
        </w:tc>
        <w:tc>
          <w:tcPr>
            <w:tcW w:w="0" w:type="dxa"/>
            <w:vAlign w:val="bottom"/>
          </w:tcPr>
          <w:p>
            <w:pPr>
              <w:spacing w:after="0"/>
              <w:rPr>
                <w:sz w:val="1"/>
                <w:szCs w:val="1"/>
                <w:color w:val="auto"/>
              </w:rPr>
            </w:pPr>
          </w:p>
        </w:tc>
      </w:tr>
      <w:tr>
        <w:trPr>
          <w:trHeight w:val="350"/>
        </w:trPr>
        <w:tc>
          <w:tcPr>
            <w:tcW w:w="20" w:type="dxa"/>
            <w:vAlign w:val="bottom"/>
          </w:tcPr>
          <w:p>
            <w:pPr>
              <w:spacing w:after="0"/>
              <w:rPr>
                <w:sz w:val="24"/>
                <w:szCs w:val="24"/>
                <w:color w:val="auto"/>
              </w:rPr>
            </w:pPr>
          </w:p>
        </w:tc>
        <w:tc>
          <w:tcPr>
            <w:tcW w:w="5020" w:type="dxa"/>
            <w:vAlign w:val="bottom"/>
          </w:tcPr>
          <w:p>
            <w:pPr>
              <w:spacing w:after="0"/>
              <w:rPr>
                <w:sz w:val="24"/>
                <w:szCs w:val="24"/>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6</w:t>
            </w: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20" w:type="dxa"/>
            <w:vAlign w:val="bottom"/>
          </w:tcPr>
          <w:p>
            <w:pPr>
              <w:spacing w:after="0"/>
              <w:rPr>
                <w:sz w:val="14"/>
                <w:szCs w:val="14"/>
                <w:color w:val="auto"/>
              </w:rPr>
            </w:pPr>
          </w:p>
        </w:tc>
        <w:tc>
          <w:tcPr>
            <w:tcW w:w="4400" w:type="dxa"/>
            <w:vAlign w:val="bottom"/>
          </w:tcPr>
          <w:p>
            <w:pPr>
              <w:spacing w:after="0"/>
              <w:rPr>
                <w:sz w:val="14"/>
                <w:szCs w:val="14"/>
                <w:color w:val="auto"/>
              </w:rPr>
            </w:pPr>
          </w:p>
        </w:tc>
        <w:tc>
          <w:tcPr>
            <w:tcW w:w="10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92"/>
              </w:rPr>
              <w:t>November 1,</w:t>
            </w:r>
          </w:p>
        </w:tc>
        <w:tc>
          <w:tcPr>
            <w:tcW w:w="200" w:type="dxa"/>
            <w:vAlign w:val="bottom"/>
          </w:tcPr>
          <w:p>
            <w:pPr>
              <w:spacing w:after="0"/>
              <w:rPr>
                <w:sz w:val="14"/>
                <w:szCs w:val="14"/>
                <w:color w:val="auto"/>
              </w:rPr>
            </w:pPr>
          </w:p>
        </w:tc>
        <w:tc>
          <w:tcPr>
            <w:tcW w:w="920" w:type="dxa"/>
            <w:vAlign w:val="bottom"/>
            <w:gridSpan w:val="3"/>
          </w:tcPr>
          <w:p>
            <w:pPr>
              <w:jc w:val="right"/>
              <w:ind w:right="140"/>
              <w:spacing w:after="0"/>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820" w:type="dxa"/>
            <w:vAlign w:val="bottom"/>
            <w:tcBorders>
              <w:bottom w:val="single" w:sz="8" w:color="CCEEFF"/>
            </w:tcBorders>
          </w:tcPr>
          <w:p>
            <w:pPr>
              <w:spacing w:after="0"/>
              <w:rPr>
                <w:sz w:val="14"/>
                <w:szCs w:val="14"/>
                <w:color w:val="auto"/>
              </w:rPr>
            </w:pPr>
          </w:p>
        </w:tc>
        <w:tc>
          <w:tcPr>
            <w:tcW w:w="4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1"/>
              <w:spacing w:after="0"/>
              <w:rPr>
                <w:sz w:val="20"/>
                <w:szCs w:val="20"/>
                <w:color w:val="auto"/>
              </w:rPr>
            </w:pPr>
            <w:r>
              <w:rPr>
                <w:rFonts w:ascii="Arial" w:cs="Arial" w:eastAsia="Arial" w:hAnsi="Arial"/>
                <w:sz w:val="14"/>
                <w:szCs w:val="14"/>
                <w:b w:val="1"/>
                <w:bCs w:val="1"/>
                <w:color w:val="auto"/>
              </w:rPr>
              <w:t>2014</w:t>
            </w:r>
          </w:p>
        </w:tc>
        <w:tc>
          <w:tcPr>
            <w:tcW w:w="24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8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4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assets:</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Cash, cash equivalents and short-term investments</w:t>
            </w:r>
          </w:p>
        </w:tc>
        <w:tc>
          <w:tcPr>
            <w:tcW w:w="4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2,402,778</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1,969,405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Accounts receivable, net</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445,050</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453,496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Inventories</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356,417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347,861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Prepaid expenses and other current assets</w:t>
            </w:r>
          </w:p>
        </w:tc>
        <w:tc>
          <w:tcPr>
            <w:tcW w:w="4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82,117</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68,458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current assets</w:t>
            </w:r>
          </w:p>
        </w:tc>
        <w:tc>
          <w:tcPr>
            <w:tcW w:w="440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3,286,362</w:t>
            </w: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2,839,220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343,101</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356,165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10,077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16,279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w w:val="89"/>
              </w:rPr>
              <w:t>2,064,228</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2,078,980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145,039</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160,366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assets</w:t>
            </w:r>
          </w:p>
        </w:tc>
        <w:tc>
          <w:tcPr>
            <w:tcW w:w="4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5,848,807</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4820" w:type="dxa"/>
            <w:vAlign w:val="bottom"/>
          </w:tcPr>
          <w:p>
            <w:pPr>
              <w:spacing w:after="0"/>
              <w:rPr>
                <w:sz w:val="18"/>
                <w:szCs w:val="18"/>
                <w:color w:val="auto"/>
              </w:rPr>
            </w:pP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spacing w:after="0"/>
              <w:rPr>
                <w:sz w:val="20"/>
                <w:szCs w:val="20"/>
                <w:color w:val="auto"/>
              </w:rPr>
            </w:pPr>
            <w:r>
              <w:rPr>
                <w:rFonts w:ascii="Arial" w:cs="Arial" w:eastAsia="Arial" w:hAnsi="Arial"/>
                <w:sz w:val="18"/>
                <w:szCs w:val="18"/>
                <w:color w:val="auto"/>
              </w:rPr>
              <w:t>Current liabilities:</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Accounts payable</w:t>
            </w:r>
          </w:p>
        </w:tc>
        <w:tc>
          <w:tcPr>
            <w:tcW w:w="4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341,431</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316,389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Accrued liabilities</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293,143</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273,170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70,834</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61,747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current liabilities</w:t>
            </w:r>
          </w:p>
        </w:tc>
        <w:tc>
          <w:tcPr>
            <w:tcW w:w="440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705,408</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651,306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109,489</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123,794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liabilities</w:t>
            </w:r>
          </w:p>
        </w:tc>
        <w:tc>
          <w:tcPr>
            <w:tcW w:w="4400" w:type="dxa"/>
            <w:vAlign w:val="bottom"/>
          </w:tcPr>
          <w:p>
            <w:pPr>
              <w:spacing w:after="0"/>
              <w:rPr>
                <w:sz w:val="19"/>
                <w:szCs w:val="19"/>
                <w:color w:val="auto"/>
              </w:rPr>
            </w:pPr>
          </w:p>
        </w:tc>
        <w:tc>
          <w:tcPr>
            <w:tcW w:w="80" w:type="dxa"/>
            <w:vAlign w:val="bottom"/>
            <w:tcBorders>
              <w:top w:val="single" w:sz="8" w:color="auto"/>
              <w:bottom w:val="single" w:sz="8" w:color="auto"/>
            </w:tcBorders>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814,897</w:t>
            </w: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775,100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20" w:type="dxa"/>
            <w:vAlign w:val="bottom"/>
            <w:vMerge w:val="restart"/>
          </w:tcPr>
          <w:p>
            <w:pPr>
              <w:spacing w:after="0"/>
              <w:rPr>
                <w:sz w:val="19"/>
                <w:szCs w:val="19"/>
                <w:color w:val="auto"/>
              </w:rPr>
            </w:pPr>
          </w:p>
        </w:tc>
        <w:tc>
          <w:tcPr>
            <w:tcW w:w="4820" w:type="dxa"/>
            <w:vAlign w:val="bottom"/>
          </w:tcPr>
          <w:p>
            <w:pPr>
              <w:spacing w:after="0"/>
              <w:rPr>
                <w:sz w:val="19"/>
                <w:szCs w:val="19"/>
                <w:color w:val="auto"/>
              </w:rPr>
            </w:pPr>
          </w:p>
        </w:tc>
        <w:tc>
          <w:tcPr>
            <w:tcW w:w="44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2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Common stock</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8"/>
                <w:szCs w:val="18"/>
                <w:color w:val="auto"/>
              </w:rPr>
              <w:t>1,022</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Additional paid-in capital</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3,041,400</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2,941,650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tcPr>
          <w:p>
            <w:pPr>
              <w:ind w:left="340"/>
              <w:spacing w:after="0"/>
              <w:rPr>
                <w:sz w:val="20"/>
                <w:szCs w:val="20"/>
                <w:color w:val="auto"/>
              </w:rPr>
            </w:pPr>
            <w:r>
              <w:rPr>
                <w:rFonts w:ascii="Arial" w:cs="Arial" w:eastAsia="Arial" w:hAnsi="Arial"/>
                <w:sz w:val="18"/>
                <w:szCs w:val="18"/>
                <w:color w:val="auto"/>
              </w:rPr>
              <w:t>Accumulated other comprehensive income</w:t>
            </w:r>
          </w:p>
        </w:tc>
        <w:tc>
          <w:tcPr>
            <w:tcW w:w="4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(2,964)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Retained earnings</w:t>
            </w:r>
          </w:p>
        </w:tc>
        <w:tc>
          <w:tcPr>
            <w:tcW w:w="4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1,994,452</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1,732,658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20" w:type="dxa"/>
            <w:vAlign w:val="bottom"/>
          </w:tcPr>
          <w:p>
            <w:pPr>
              <w:ind w:left="700"/>
              <w:spacing w:after="0"/>
              <w:rPr>
                <w:sz w:val="20"/>
                <w:szCs w:val="20"/>
                <w:color w:val="auto"/>
              </w:rPr>
            </w:pPr>
            <w:r>
              <w:rPr>
                <w:rFonts w:ascii="Arial" w:cs="Arial" w:eastAsia="Arial" w:hAnsi="Arial"/>
                <w:sz w:val="18"/>
                <w:szCs w:val="18"/>
                <w:color w:val="auto"/>
              </w:rPr>
              <w:t>Total shareholders' equity</w:t>
            </w:r>
          </w:p>
        </w:tc>
        <w:tc>
          <w:tcPr>
            <w:tcW w:w="440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9"/>
              </w:rPr>
              <w:t>5,033,910</w:t>
            </w:r>
          </w:p>
        </w:tc>
        <w:tc>
          <w:tcPr>
            <w:tcW w:w="2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4,675,910</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2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liabilities and shareholders' equity</w:t>
            </w:r>
          </w:p>
        </w:tc>
        <w:tc>
          <w:tcPr>
            <w:tcW w:w="4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9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9"/>
              </w:rPr>
              <w:t>5,848,807</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5,451,010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20" w:type="dxa"/>
            <w:vAlign w:val="bottom"/>
          </w:tcPr>
          <w:p>
            <w:pPr>
              <w:spacing w:after="0" w:line="20" w:lineRule="exact"/>
              <w:rPr>
                <w:sz w:val="1"/>
                <w:szCs w:val="1"/>
                <w:color w:val="auto"/>
              </w:rPr>
            </w:pPr>
          </w:p>
        </w:tc>
        <w:tc>
          <w:tcPr>
            <w:tcW w:w="4400" w:type="dxa"/>
            <w:vAlign w:val="bottom"/>
            <w:vMerge w:val="restart"/>
          </w:tcPr>
          <w:p>
            <w:pPr>
              <w:jc w:val="right"/>
              <w:ind w:right="3390"/>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20" w:type="dxa"/>
            <w:vAlign w:val="bottom"/>
          </w:tcPr>
          <w:p>
            <w:pPr>
              <w:spacing w:after="0"/>
              <w:rPr>
                <w:sz w:val="24"/>
                <w:szCs w:val="24"/>
                <w:color w:val="auto"/>
              </w:rPr>
            </w:pPr>
          </w:p>
        </w:tc>
        <w:tc>
          <w:tcPr>
            <w:tcW w:w="44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0"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56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4"/>
                <w:szCs w:val="14"/>
                <w:color w:val="auto"/>
              </w:rPr>
            </w:pPr>
          </w:p>
        </w:tc>
        <w:tc>
          <w:tcPr>
            <w:tcW w:w="2160" w:type="dxa"/>
            <w:vAlign w:val="bottom"/>
            <w:gridSpan w:val="6"/>
          </w:tcPr>
          <w:p>
            <w:pPr>
              <w:jc w:val="right"/>
              <w:ind w:right="560"/>
              <w:spacing w:after="0"/>
              <w:rPr>
                <w:sz w:val="20"/>
                <w:szCs w:val="20"/>
                <w:color w:val="auto"/>
              </w:rPr>
            </w:pPr>
            <w:r>
              <w:rPr>
                <w:rFonts w:ascii="Arial" w:cs="Arial" w:eastAsia="Arial" w:hAnsi="Arial"/>
                <w:sz w:val="14"/>
                <w:szCs w:val="14"/>
                <w:b w:val="1"/>
                <w:bCs w:val="1"/>
                <w:color w:val="auto"/>
              </w:rPr>
              <w:t>Nine Months Ended</w:t>
            </w:r>
          </w:p>
        </w:tc>
      </w:tr>
      <w:tr>
        <w:trPr>
          <w:trHeight w:val="119"/>
        </w:trPr>
        <w:tc>
          <w:tcPr>
            <w:tcW w:w="20" w:type="dxa"/>
            <w:vAlign w:val="bottom"/>
          </w:tcPr>
          <w:p>
            <w:pPr>
              <w:spacing w:after="0"/>
              <w:rPr>
                <w:sz w:val="10"/>
                <w:szCs w:val="10"/>
                <w:color w:val="auto"/>
              </w:rPr>
            </w:pPr>
          </w:p>
        </w:tc>
        <w:tc>
          <w:tcPr>
            <w:tcW w:w="61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360" w:type="dxa"/>
            <w:vAlign w:val="bottom"/>
            <w:tcBorders>
              <w:top w:val="single" w:sz="8" w:color="auto"/>
            </w:tcBorders>
            <w:gridSpan w:val="3"/>
          </w:tcPr>
          <w:p>
            <w:pPr>
              <w:jc w:val="right"/>
              <w:ind w:right="560"/>
              <w:spacing w:after="0" w:line="119" w:lineRule="exact"/>
              <w:rPr>
                <w:sz w:val="20"/>
                <w:szCs w:val="20"/>
                <w:color w:val="auto"/>
              </w:rPr>
            </w:pPr>
            <w:r>
              <w:rPr>
                <w:rFonts w:ascii="Arial" w:cs="Arial" w:eastAsia="Arial" w:hAnsi="Arial"/>
                <w:sz w:val="13"/>
                <w:szCs w:val="13"/>
                <w:b w:val="1"/>
                <w:bCs w:val="1"/>
                <w:color w:val="auto"/>
                <w:w w:val="99"/>
              </w:rPr>
              <w:t>November 1,</w:t>
            </w:r>
          </w:p>
        </w:tc>
        <w:tc>
          <w:tcPr>
            <w:tcW w:w="78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November 2,</w:t>
            </w:r>
          </w:p>
        </w:tc>
        <w:tc>
          <w:tcPr>
            <w:tcW w:w="520" w:type="dxa"/>
            <w:vAlign w:val="bottom"/>
          </w:tcPr>
          <w:p>
            <w:pPr>
              <w:spacing w:after="0"/>
              <w:rPr>
                <w:sz w:val="10"/>
                <w:szCs w:val="10"/>
                <w:color w:val="auto"/>
              </w:rPr>
            </w:pPr>
          </w:p>
        </w:tc>
        <w:tc>
          <w:tcPr>
            <w:tcW w:w="1120" w:type="dxa"/>
            <w:vAlign w:val="bottom"/>
            <w:tcBorders>
              <w:top w:val="single" w:sz="8" w:color="auto"/>
            </w:tcBorders>
            <w:gridSpan w:val="3"/>
          </w:tcPr>
          <w:p>
            <w:pPr>
              <w:jc w:val="right"/>
              <w:ind w:right="320"/>
              <w:spacing w:after="0" w:line="119" w:lineRule="exact"/>
              <w:rPr>
                <w:sz w:val="20"/>
                <w:szCs w:val="20"/>
                <w:color w:val="auto"/>
              </w:rPr>
            </w:pPr>
            <w:r>
              <w:rPr>
                <w:rFonts w:ascii="Arial" w:cs="Arial" w:eastAsia="Arial" w:hAnsi="Arial"/>
                <w:sz w:val="13"/>
                <w:szCs w:val="13"/>
                <w:b w:val="1"/>
                <w:bCs w:val="1"/>
                <w:color w:val="auto"/>
                <w:w w:val="99"/>
              </w:rPr>
              <w:t>November 1,</w:t>
            </w:r>
          </w:p>
        </w:tc>
        <w:tc>
          <w:tcPr>
            <w:tcW w:w="240" w:type="dxa"/>
            <w:vAlign w:val="bottom"/>
            <w:tcBorders>
              <w:top w:val="single" w:sz="8" w:color="auto"/>
            </w:tcBorders>
          </w:tcPr>
          <w:p>
            <w:pPr>
              <w:spacing w:after="0"/>
              <w:rPr>
                <w:sz w:val="10"/>
                <w:szCs w:val="10"/>
                <w:color w:val="auto"/>
              </w:rPr>
            </w:pPr>
          </w:p>
        </w:tc>
        <w:tc>
          <w:tcPr>
            <w:tcW w:w="80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9"/>
              </w:rPr>
              <w:t>November 2,</w:t>
            </w:r>
          </w:p>
        </w:tc>
        <w:tc>
          <w:tcPr>
            <w:tcW w:w="100" w:type="dxa"/>
            <w:vAlign w:val="bottom"/>
          </w:tcPr>
          <w:p>
            <w:pPr>
              <w:spacing w:after="0"/>
              <w:rPr>
                <w:sz w:val="10"/>
                <w:szCs w:val="10"/>
                <w:color w:val="auto"/>
              </w:rPr>
            </w:pPr>
          </w:p>
        </w:tc>
      </w:tr>
      <w:tr>
        <w:trPr>
          <w:trHeight w:val="171"/>
        </w:trPr>
        <w:tc>
          <w:tcPr>
            <w:tcW w:w="20" w:type="dxa"/>
            <w:vAlign w:val="bottom"/>
          </w:tcPr>
          <w:p>
            <w:pPr>
              <w:spacing w:after="0"/>
              <w:rPr>
                <w:sz w:val="14"/>
                <w:szCs w:val="14"/>
                <w:color w:val="auto"/>
              </w:rPr>
            </w:pPr>
          </w:p>
        </w:tc>
        <w:tc>
          <w:tcPr>
            <w:tcW w:w="61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5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51"/>
              <w:spacing w:after="0"/>
              <w:rPr>
                <w:sz w:val="20"/>
                <w:szCs w:val="20"/>
                <w:color w:val="auto"/>
              </w:rPr>
            </w:pPr>
            <w:r>
              <w:rPr>
                <w:rFonts w:ascii="Arial" w:cs="Arial" w:eastAsia="Arial" w:hAnsi="Arial"/>
                <w:sz w:val="14"/>
                <w:szCs w:val="14"/>
                <w:b w:val="1"/>
                <w:bCs w:val="1"/>
                <w:color w:val="auto"/>
              </w:rPr>
              <w:t>2013</w:t>
            </w:r>
          </w:p>
        </w:tc>
        <w:tc>
          <w:tcPr>
            <w:tcW w:w="5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2014</w:t>
            </w:r>
          </w:p>
        </w:tc>
        <w:tc>
          <w:tcPr>
            <w:tcW w:w="30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jc w:val="right"/>
              <w:ind w:right="171"/>
              <w:spacing w:after="0"/>
              <w:rPr>
                <w:sz w:val="20"/>
                <w:szCs w:val="20"/>
                <w:color w:val="auto"/>
              </w:rPr>
            </w:pPr>
            <w:r>
              <w:rPr>
                <w:rFonts w:ascii="Arial" w:cs="Arial" w:eastAsia="Arial" w:hAnsi="Arial"/>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616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Cash flows from operating activities:</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Net income</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115,304</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103,156</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353,653</w:t>
            </w:r>
          </w:p>
        </w:tc>
        <w:tc>
          <w:tcPr>
            <w:tcW w:w="300" w:type="dxa"/>
            <w:vAlign w:val="bottom"/>
          </w:tcPr>
          <w:p>
            <w:pPr>
              <w:spacing w:after="0"/>
              <w:rPr>
                <w:sz w:val="18"/>
                <w:szCs w:val="18"/>
                <w:color w:val="auto"/>
              </w:rPr>
            </w:pPr>
          </w:p>
        </w:tc>
        <w:tc>
          <w:tcPr>
            <w:tcW w:w="360" w:type="dxa"/>
            <w:vAlign w:val="bottom"/>
            <w:gridSpan w:val="2"/>
          </w:tcPr>
          <w:p>
            <w:pPr>
              <w:ind w:left="240"/>
              <w:spacing w:after="0"/>
              <w:rPr>
                <w:sz w:val="20"/>
                <w:szCs w:val="20"/>
                <w:color w:val="auto"/>
              </w:rPr>
            </w:pPr>
            <w:r>
              <w:rPr>
                <w:rFonts w:ascii="Arial" w:cs="Arial" w:eastAsia="Arial" w:hAnsi="Arial"/>
                <w:sz w:val="18"/>
                <w:szCs w:val="18"/>
                <w:color w:val="auto"/>
                <w:w w:val="99"/>
              </w:rPr>
              <w:t>$</w:t>
            </w: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218,191</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w w:val="96"/>
              </w:rPr>
              <w:t>Adjustments to reconcile net income to net cash provided by operating activities: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26,515</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25,913</w:t>
            </w: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79,784</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76,576</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Share-based compensation</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34,294</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43,201</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99,283</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117,805</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3,789</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10,645</w:t>
            </w: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14,752</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31,969</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expense (income), net</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(6,034)</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1,655</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(12,160)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5,994</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(78)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(42)</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Changes in assets and liabilities: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700"/>
              <w:spacing w:after="0"/>
              <w:rPr>
                <w:sz w:val="20"/>
                <w:szCs w:val="20"/>
                <w:color w:val="auto"/>
              </w:rPr>
            </w:pPr>
            <w:r>
              <w:rPr>
                <w:rFonts w:ascii="Arial" w:cs="Arial" w:eastAsia="Arial" w:hAnsi="Arial"/>
                <w:sz w:val="18"/>
                <w:szCs w:val="18"/>
                <w:color w:val="auto"/>
              </w:rPr>
              <w:t>Accounts receivable</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53,434</w:t>
            </w:r>
          </w:p>
        </w:tc>
        <w:tc>
          <w:tcPr>
            <w:tcW w:w="10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(35,855)</w:t>
            </w: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23,275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w w:val="93"/>
              </w:rPr>
              <w:t>(136,491)</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Inventories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37,506</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(45,157)</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(8,793)</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3"/>
              </w:rPr>
              <w:t>(129,450)</w:t>
            </w:r>
          </w:p>
        </w:tc>
      </w:tr>
      <w:tr>
        <w:trPr>
          <w:trHeight w:val="216"/>
        </w:trPr>
        <w:tc>
          <w:tcPr>
            <w:tcW w:w="20" w:type="dxa"/>
            <w:vAlign w:val="bottom"/>
          </w:tcPr>
          <w:p>
            <w:pPr>
              <w:spacing w:after="0"/>
              <w:rPr>
                <w:sz w:val="18"/>
                <w:szCs w:val="18"/>
                <w:color w:val="auto"/>
              </w:rPr>
            </w:pPr>
          </w:p>
        </w:tc>
        <w:tc>
          <w:tcPr>
            <w:tcW w:w="6160" w:type="dxa"/>
            <w:vAlign w:val="bottom"/>
          </w:tcPr>
          <w:p>
            <w:pPr>
              <w:ind w:left="70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18,536</w:t>
            </w:r>
          </w:p>
        </w:tc>
        <w:tc>
          <w:tcPr>
            <w:tcW w:w="10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(4,293)</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(8,621)</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15,012</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Accounts payable</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(70,749)</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44,442</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16,937</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128,311</w:t>
            </w:r>
          </w:p>
        </w:tc>
      </w:tr>
      <w:tr>
        <w:trPr>
          <w:trHeight w:val="216"/>
        </w:trPr>
        <w:tc>
          <w:tcPr>
            <w:tcW w:w="20" w:type="dxa"/>
            <w:vAlign w:val="bottom"/>
          </w:tcPr>
          <w:p>
            <w:pPr>
              <w:spacing w:after="0"/>
              <w:rPr>
                <w:sz w:val="18"/>
                <w:szCs w:val="18"/>
                <w:color w:val="auto"/>
              </w:rPr>
            </w:pPr>
          </w:p>
        </w:tc>
        <w:tc>
          <w:tcPr>
            <w:tcW w:w="6160" w:type="dxa"/>
            <w:vAlign w:val="bottom"/>
          </w:tcPr>
          <w:p>
            <w:pPr>
              <w:ind w:left="700"/>
              <w:spacing w:after="0"/>
              <w:rPr>
                <w:sz w:val="20"/>
                <w:szCs w:val="20"/>
                <w:color w:val="auto"/>
              </w:rPr>
            </w:pPr>
            <w:r>
              <w:rPr>
                <w:rFonts w:ascii="Arial" w:cs="Arial" w:eastAsia="Arial" w:hAnsi="Arial"/>
                <w:sz w:val="18"/>
                <w:szCs w:val="18"/>
                <w:color w:val="auto"/>
              </w:rPr>
              <w:t>Accrued liabilities and other non-current liabilities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(24,997)</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12,584</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(22,035)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(20,510)</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Accrued employee compensation</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19,101</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10,013</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41,651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13,965</w:t>
            </w:r>
          </w:p>
        </w:tc>
      </w:tr>
      <w:tr>
        <w:trPr>
          <w:trHeight w:val="216"/>
        </w:trPr>
        <w:tc>
          <w:tcPr>
            <w:tcW w:w="20" w:type="dxa"/>
            <w:vAlign w:val="bottom"/>
          </w:tcPr>
          <w:p>
            <w:pPr>
              <w:spacing w:after="0"/>
              <w:rPr>
                <w:sz w:val="18"/>
                <w:szCs w:val="18"/>
                <w:color w:val="auto"/>
              </w:rPr>
            </w:pPr>
          </w:p>
        </w:tc>
        <w:tc>
          <w:tcPr>
            <w:tcW w:w="6160" w:type="dxa"/>
            <w:vAlign w:val="bottom"/>
          </w:tcPr>
          <w:p>
            <w:pPr>
              <w:ind w:left="700"/>
              <w:spacing w:after="0"/>
              <w:rPr>
                <w:sz w:val="20"/>
                <w:szCs w:val="20"/>
                <w:color w:val="auto"/>
              </w:rPr>
            </w:pPr>
            <w:r>
              <w:rPr>
                <w:rFonts w:ascii="Arial" w:cs="Arial" w:eastAsia="Arial" w:hAnsi="Arial"/>
                <w:sz w:val="18"/>
                <w:szCs w:val="18"/>
                <w:color w:val="auto"/>
              </w:rPr>
              <w:t>Deferred income</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(12,053)</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10,905</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9,087</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26,220</w:t>
            </w:r>
          </w:p>
        </w:tc>
      </w:tr>
      <w:tr>
        <w:trPr>
          <w:trHeight w:val="27"/>
        </w:trPr>
        <w:tc>
          <w:tcPr>
            <w:tcW w:w="20" w:type="dxa"/>
            <w:vAlign w:val="bottom"/>
          </w:tcPr>
          <w:p>
            <w:pPr>
              <w:spacing w:after="0"/>
              <w:rPr>
                <w:sz w:val="2"/>
                <w:szCs w:val="2"/>
                <w:color w:val="auto"/>
              </w:rPr>
            </w:pPr>
          </w:p>
        </w:tc>
        <w:tc>
          <w:tcPr>
            <w:tcW w:w="6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194,644</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177,199</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586,735</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347,550</w:t>
            </w: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available-for-sale securities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8"/>
              </w:rPr>
              <w:t>(448,526)</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w w:val="93"/>
              </w:rPr>
              <w:t>(220,280)</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(784,296)</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3"/>
              </w:rPr>
              <w:t>(691,749)</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Sales and maturities of available-for-sale securities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205,685</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346,826</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578,095</w:t>
            </w: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845,506</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Investments in privately-held companies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(260)</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(1,119)</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(701)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(1,869)</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Cash paid for acquisitions, net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(2,551)</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(5,105)</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(6,383)</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(14,514)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(13,993)</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(16,661)</w:t>
            </w:r>
          </w:p>
        </w:tc>
        <w:tc>
          <w:tcPr>
            <w:tcW w:w="10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(14,222)</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(48,615)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(53,283)</w:t>
            </w:r>
          </w:p>
        </w:tc>
      </w:tr>
      <w:tr>
        <w:trPr>
          <w:trHeight w:val="27"/>
        </w:trPr>
        <w:tc>
          <w:tcPr>
            <w:tcW w:w="20" w:type="dxa"/>
            <w:vAlign w:val="bottom"/>
          </w:tcPr>
          <w:p>
            <w:pPr>
              <w:spacing w:after="0"/>
              <w:rPr>
                <w:sz w:val="2"/>
                <w:szCs w:val="2"/>
                <w:color w:val="auto"/>
              </w:rPr>
            </w:pPr>
          </w:p>
        </w:tc>
        <w:tc>
          <w:tcPr>
            <w:tcW w:w="6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1060"/>
              <w:spacing w:after="0"/>
              <w:rPr>
                <w:sz w:val="20"/>
                <w:szCs w:val="20"/>
                <w:color w:val="auto"/>
              </w:rPr>
            </w:pPr>
            <w:r>
              <w:rPr>
                <w:rFonts w:ascii="Arial" w:cs="Arial" w:eastAsia="Arial" w:hAnsi="Arial"/>
                <w:sz w:val="18"/>
                <w:szCs w:val="18"/>
                <w:color w:val="auto"/>
              </w:rPr>
              <w:t>Net cash provided by (used in) investing activities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8"/>
              </w:rPr>
              <w:t>(264,867)</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104,822</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8"/>
              </w:rPr>
              <w:t>(270,031)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82,061</w:t>
            </w: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 xml:space="preserve">Repurchase of common stock </w:t>
            </w:r>
            <w:r>
              <w:rPr>
                <w:rFonts w:ascii="Arial" w:cs="Arial" w:eastAsia="Arial" w:hAnsi="Arial"/>
                <w:sz w:val="18"/>
                <w:szCs w:val="18"/>
                <w:i w:val="1"/>
                <w:iCs w:val="1"/>
                <w:color w:val="auto"/>
              </w:rPr>
              <w:t>(a)</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(43,774)</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(71,477)</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(43,774)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3"/>
              </w:rPr>
              <w:t>(376,285)</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Proceeds from employee stock plans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540"/>
              <w:spacing w:after="0"/>
              <w:rPr>
                <w:sz w:val="20"/>
                <w:szCs w:val="20"/>
                <w:color w:val="auto"/>
              </w:rPr>
            </w:pPr>
            <w:r>
              <w:rPr>
                <w:rFonts w:ascii="Arial" w:cs="Arial" w:eastAsia="Arial" w:hAnsi="Arial"/>
                <w:sz w:val="18"/>
                <w:szCs w:val="18"/>
                <w:color w:val="auto"/>
              </w:rPr>
              <w:t>2,934</w:t>
            </w:r>
          </w:p>
        </w:tc>
        <w:tc>
          <w:tcPr>
            <w:tcW w:w="100" w:type="dxa"/>
            <w:vAlign w:val="bottom"/>
          </w:tcPr>
          <w:p>
            <w:pPr>
              <w:spacing w:after="0"/>
              <w:rPr>
                <w:sz w:val="18"/>
                <w:szCs w:val="18"/>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24,155</w:t>
            </w:r>
          </w:p>
        </w:tc>
        <w:tc>
          <w:tcPr>
            <w:tcW w:w="100" w:type="dxa"/>
            <w:vAlign w:val="bottom"/>
          </w:tcPr>
          <w:p>
            <w:pPr>
              <w:spacing w:after="0"/>
              <w:rPr>
                <w:sz w:val="18"/>
                <w:szCs w:val="18"/>
                <w:color w:val="auto"/>
              </w:rPr>
            </w:pPr>
          </w:p>
        </w:tc>
        <w:tc>
          <w:tcPr>
            <w:tcW w:w="1020" w:type="dxa"/>
            <w:vAlign w:val="bottom"/>
            <w:gridSpan w:val="2"/>
          </w:tcPr>
          <w:p>
            <w:pPr>
              <w:jc w:val="right"/>
              <w:ind w:right="300"/>
              <w:spacing w:after="0"/>
              <w:rPr>
                <w:sz w:val="20"/>
                <w:szCs w:val="20"/>
                <w:color w:val="auto"/>
              </w:rPr>
            </w:pPr>
            <w:r>
              <w:rPr>
                <w:rFonts w:ascii="Arial" w:cs="Arial" w:eastAsia="Arial" w:hAnsi="Arial"/>
                <w:sz w:val="18"/>
                <w:szCs w:val="18"/>
                <w:color w:val="auto"/>
              </w:rPr>
              <w:t>71,308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8"/>
                <w:szCs w:val="18"/>
                <w:color w:val="auto"/>
              </w:rPr>
              <w:t>97,276</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Minimum tax withholding paid on behalf of employees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for net share settlement</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(663)</w:t>
            </w:r>
          </w:p>
        </w:tc>
        <w:tc>
          <w:tcPr>
            <w:tcW w:w="10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(518)</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(25,586)</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(10,406)</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shareholders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(30,867)</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(29,516)</w:t>
            </w: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(91,859)</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(89,560)</w:t>
            </w:r>
          </w:p>
        </w:tc>
      </w:tr>
      <w:tr>
        <w:trPr>
          <w:trHeight w:val="216"/>
        </w:trPr>
        <w:tc>
          <w:tcPr>
            <w:tcW w:w="20" w:type="dxa"/>
            <w:vAlign w:val="bottom"/>
          </w:tcPr>
          <w:p>
            <w:pPr>
              <w:spacing w:after="0"/>
              <w:rPr>
                <w:sz w:val="18"/>
                <w:szCs w:val="18"/>
                <w:color w:val="auto"/>
              </w:rPr>
            </w:pPr>
          </w:p>
        </w:tc>
        <w:tc>
          <w:tcPr>
            <w:tcW w:w="616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gridSpan w:val="2"/>
          </w:tcPr>
          <w:p>
            <w:pPr>
              <w:jc w:val="right"/>
              <w:ind w:right="480"/>
              <w:spacing w:after="0"/>
              <w:rPr>
                <w:sz w:val="20"/>
                <w:szCs w:val="20"/>
                <w:color w:val="auto"/>
              </w:rPr>
            </w:pPr>
            <w:r>
              <w:rPr>
                <w:rFonts w:ascii="Arial" w:cs="Arial" w:eastAsia="Arial" w:hAnsi="Arial"/>
                <w:sz w:val="18"/>
                <w:szCs w:val="18"/>
                <w:color w:val="auto"/>
              </w:rPr>
              <w:t>(5,951)</w:t>
            </w:r>
          </w:p>
        </w:tc>
        <w:tc>
          <w:tcPr>
            <w:tcW w:w="100" w:type="dxa"/>
            <w:vAlign w:val="bottom"/>
          </w:tcPr>
          <w:p>
            <w:pPr>
              <w:spacing w:after="0"/>
              <w:rPr>
                <w:sz w:val="18"/>
                <w:szCs w:val="18"/>
                <w:color w:val="auto"/>
              </w:rPr>
            </w:pPr>
          </w:p>
        </w:tc>
        <w:tc>
          <w:tcPr>
            <w:tcW w:w="1200" w:type="dxa"/>
            <w:vAlign w:val="bottom"/>
            <w:gridSpan w:val="2"/>
          </w:tcPr>
          <w:p>
            <w:pPr>
              <w:jc w:val="right"/>
              <w:ind w:right="6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20" w:type="dxa"/>
            <w:vAlign w:val="bottom"/>
            <w:gridSpan w:val="2"/>
          </w:tcPr>
          <w:p>
            <w:pPr>
              <w:jc w:val="right"/>
              <w:ind w:right="240"/>
              <w:spacing w:after="0"/>
              <w:rPr>
                <w:sz w:val="20"/>
                <w:szCs w:val="20"/>
                <w:color w:val="auto"/>
              </w:rPr>
            </w:pPr>
            <w:r>
              <w:rPr>
                <w:rFonts w:ascii="Arial" w:cs="Arial" w:eastAsia="Arial" w:hAnsi="Arial"/>
                <w:sz w:val="18"/>
                <w:szCs w:val="18"/>
                <w:color w:val="auto"/>
              </w:rPr>
              <w:t>(8,628)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40"/>
              <w:spacing w:after="0"/>
              <w:rPr>
                <w:sz w:val="20"/>
                <w:szCs w:val="20"/>
                <w:color w:val="auto"/>
              </w:rPr>
            </w:pPr>
            <w:r>
              <w:rPr>
                <w:rFonts w:ascii="Arial" w:cs="Arial" w:eastAsia="Arial" w:hAnsi="Arial"/>
                <w:sz w:val="18"/>
                <w:szCs w:val="18"/>
                <w:color w:val="auto"/>
              </w:rPr>
              <w:t>(6,301)</w:t>
            </w: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Excess tax benefits from share-based compensation</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w:t>
            </w:r>
          </w:p>
        </w:tc>
        <w:tc>
          <w:tcPr>
            <w:tcW w:w="1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42</w:t>
            </w:r>
          </w:p>
        </w:tc>
      </w:tr>
      <w:tr>
        <w:trPr>
          <w:trHeight w:val="230"/>
        </w:trPr>
        <w:tc>
          <w:tcPr>
            <w:tcW w:w="20" w:type="dxa"/>
            <w:vAlign w:val="bottom"/>
          </w:tcPr>
          <w:p>
            <w:pPr>
              <w:spacing w:after="0"/>
              <w:rPr>
                <w:sz w:val="20"/>
                <w:szCs w:val="20"/>
                <w:color w:val="auto"/>
              </w:rPr>
            </w:pPr>
          </w:p>
        </w:tc>
        <w:tc>
          <w:tcPr>
            <w:tcW w:w="6160" w:type="dxa"/>
            <w:vAlign w:val="bottom"/>
          </w:tcPr>
          <w:p>
            <w:pPr>
              <w:ind w:left="1060"/>
              <w:spacing w:after="0"/>
              <w:rPr>
                <w:sz w:val="20"/>
                <w:szCs w:val="20"/>
                <w:color w:val="auto"/>
              </w:rPr>
            </w:pPr>
            <w:r>
              <w:rPr>
                <w:rFonts w:ascii="Arial" w:cs="Arial" w:eastAsia="Arial" w:hAnsi="Arial"/>
                <w:sz w:val="18"/>
                <w:szCs w:val="18"/>
                <w:color w:val="auto"/>
              </w:rPr>
              <w:t>Net cash used in financing activities</w:t>
            </w:r>
          </w:p>
        </w:tc>
        <w:tc>
          <w:tcPr>
            <w:tcW w:w="3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(78,319)</w:t>
            </w:r>
          </w:p>
        </w:tc>
        <w:tc>
          <w:tcPr>
            <w:tcW w:w="5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(77,346)</w:t>
            </w:r>
          </w:p>
        </w:tc>
        <w:tc>
          <w:tcPr>
            <w:tcW w:w="5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(98,461)</w:t>
            </w: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5"/>
              </w:rPr>
              <w:t>(385,234)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8"/>
              </w:rPr>
              <w:t>(148,542)</w:t>
            </w:r>
          </w:p>
        </w:tc>
        <w:tc>
          <w:tcPr>
            <w:tcW w:w="10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204,675</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218,243</w:t>
            </w:r>
          </w:p>
        </w:tc>
        <w:tc>
          <w:tcPr>
            <w:tcW w:w="3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44,377</w:t>
            </w:r>
          </w:p>
        </w:tc>
      </w:tr>
      <w:tr>
        <w:trPr>
          <w:trHeight w:val="230"/>
        </w:trPr>
        <w:tc>
          <w:tcPr>
            <w:tcW w:w="618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1,332,535</w:t>
            </w:r>
          </w:p>
        </w:tc>
        <w:tc>
          <w:tcPr>
            <w:tcW w:w="5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591,655</w:t>
            </w:r>
          </w:p>
        </w:tc>
        <w:tc>
          <w:tcPr>
            <w:tcW w:w="5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965,750</w:t>
            </w: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751,953</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1,183,993</w:t>
            </w: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796,330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1,183,993</w:t>
            </w:r>
          </w:p>
        </w:tc>
        <w:tc>
          <w:tcPr>
            <w:tcW w:w="30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796,330</w:t>
            </w: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right="20" w:hanging="452"/>
        <w:spacing w:after="0" w:line="259" w:lineRule="auto"/>
        <w:tabs>
          <w:tab w:leader="none" w:pos="46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Marvell records all repurchases as well as investment purchases and sales, based on trade date in accordance with U.S. GAAP. Cash paid for repurchase of Marvell common shares includes a total of 3.6 million shares repurchased for $45.0 million in the third quarter of fiscal 2015, adjusted for repurchases of $1.2 million made within the final three days of the quarter that are accrued but not yet paid due to the standard settlement period that normally takes up to three days.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270"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5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380" w:type="dxa"/>
            <w:vAlign w:val="bottom"/>
            <w:gridSpan w:val="4"/>
          </w:tcPr>
          <w:p>
            <w:pPr>
              <w:jc w:val="center"/>
              <w:ind w:right="80"/>
              <w:spacing w:after="0"/>
              <w:rPr>
                <w:sz w:val="20"/>
                <w:szCs w:val="20"/>
                <w:color w:val="auto"/>
              </w:rPr>
            </w:pPr>
            <w:r>
              <w:rPr>
                <w:rFonts w:ascii="Arial" w:cs="Arial" w:eastAsia="Arial" w:hAnsi="Arial"/>
                <w:sz w:val="14"/>
                <w:szCs w:val="14"/>
                <w:b w:val="1"/>
                <w:bCs w:val="1"/>
                <w:color w:val="auto"/>
                <w:w w:val="93"/>
              </w:rPr>
              <w:t>Three Months Ended</w:t>
            </w: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40" w:type="dxa"/>
            <w:vAlign w:val="bottom"/>
            <w:gridSpan w:val="5"/>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5520" w:type="dxa"/>
            <w:vAlign w:val="bottom"/>
          </w:tcPr>
          <w:p>
            <w:pPr>
              <w:spacing w:after="0"/>
              <w:rPr>
                <w:sz w:val="10"/>
                <w:szCs w:val="10"/>
                <w:color w:val="auto"/>
              </w:rPr>
            </w:pPr>
          </w:p>
        </w:tc>
        <w:tc>
          <w:tcPr>
            <w:tcW w:w="9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320" w:type="dxa"/>
            <w:vAlign w:val="bottom"/>
            <w:tcBorders>
              <w:top w:val="single" w:sz="8" w:color="auto"/>
            </w:tcBorders>
          </w:tcPr>
          <w:p>
            <w:pPr>
              <w:spacing w:after="0"/>
              <w:rPr>
                <w:sz w:val="10"/>
                <w:szCs w:val="10"/>
                <w:color w:val="auto"/>
              </w:rPr>
            </w:pPr>
          </w:p>
        </w:tc>
        <w:tc>
          <w:tcPr>
            <w:tcW w:w="1060" w:type="dxa"/>
            <w:vAlign w:val="bottom"/>
            <w:tcBorders>
              <w:top w:val="single" w:sz="8" w:color="auto"/>
            </w:tcBorders>
            <w:gridSpan w:val="3"/>
          </w:tcPr>
          <w:p>
            <w:pPr>
              <w:jc w:val="center"/>
              <w:ind w:right="400"/>
              <w:spacing w:after="0" w:line="119" w:lineRule="exact"/>
              <w:rPr>
                <w:sz w:val="20"/>
                <w:szCs w:val="20"/>
                <w:color w:val="auto"/>
              </w:rPr>
            </w:pPr>
            <w:r>
              <w:rPr>
                <w:rFonts w:ascii="Arial" w:cs="Arial" w:eastAsia="Arial" w:hAnsi="Arial"/>
                <w:sz w:val="13"/>
                <w:szCs w:val="13"/>
                <w:b w:val="1"/>
                <w:bCs w:val="1"/>
                <w:color w:val="auto"/>
                <w:w w:val="97"/>
              </w:rPr>
              <w:t>August 2,</w:t>
            </w:r>
          </w:p>
        </w:tc>
        <w:tc>
          <w:tcPr>
            <w:tcW w:w="80" w:type="dxa"/>
            <w:vAlign w:val="bottom"/>
            <w:tcBorders>
              <w:top w:val="single" w:sz="8" w:color="auto"/>
            </w:tcBorders>
          </w:tcPr>
          <w:p>
            <w:pPr>
              <w:spacing w:after="0"/>
              <w:rPr>
                <w:sz w:val="10"/>
                <w:szCs w:val="10"/>
                <w:color w:val="auto"/>
              </w:rPr>
            </w:pPr>
          </w:p>
        </w:tc>
        <w:tc>
          <w:tcPr>
            <w:tcW w:w="78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7"/>
              </w:rPr>
              <w:t>November 2,</w:t>
            </w:r>
          </w:p>
        </w:tc>
        <w:tc>
          <w:tcPr>
            <w:tcW w:w="480" w:type="dxa"/>
            <w:vAlign w:val="bottom"/>
          </w:tcPr>
          <w:p>
            <w:pPr>
              <w:spacing w:after="0"/>
              <w:rPr>
                <w:sz w:val="10"/>
                <w:szCs w:val="10"/>
                <w:color w:val="auto"/>
              </w:rPr>
            </w:pPr>
          </w:p>
        </w:tc>
        <w:tc>
          <w:tcPr>
            <w:tcW w:w="1240" w:type="dxa"/>
            <w:vAlign w:val="bottom"/>
            <w:tcBorders>
              <w:top w:val="single" w:sz="8" w:color="auto"/>
            </w:tcBorders>
            <w:gridSpan w:val="3"/>
          </w:tcPr>
          <w:p>
            <w:pPr>
              <w:spacing w:after="0" w:line="119" w:lineRule="exact"/>
              <w:rPr>
                <w:sz w:val="20"/>
                <w:szCs w:val="20"/>
                <w:color w:val="auto"/>
              </w:rPr>
            </w:pPr>
            <w:r>
              <w:rPr>
                <w:rFonts w:ascii="Arial" w:cs="Arial" w:eastAsia="Arial" w:hAnsi="Arial"/>
                <w:sz w:val="13"/>
                <w:szCs w:val="13"/>
                <w:b w:val="1"/>
                <w:bCs w:val="1"/>
                <w:color w:val="auto"/>
              </w:rPr>
              <w:t>November 1,</w:t>
            </w:r>
          </w:p>
        </w:tc>
        <w:tc>
          <w:tcPr>
            <w:tcW w:w="800" w:type="dxa"/>
            <w:vAlign w:val="bottom"/>
            <w:tcBorders>
              <w:top w:val="single" w:sz="8" w:color="auto"/>
            </w:tcBorders>
            <w:gridSpan w:val="2"/>
          </w:tcPr>
          <w:p>
            <w:pPr>
              <w:spacing w:after="0" w:line="119" w:lineRule="exact"/>
              <w:rPr>
                <w:sz w:val="20"/>
                <w:szCs w:val="20"/>
                <w:color w:val="auto"/>
              </w:rPr>
            </w:pPr>
            <w:r>
              <w:rPr>
                <w:rFonts w:ascii="Arial" w:cs="Arial" w:eastAsia="Arial" w:hAnsi="Arial"/>
                <w:sz w:val="13"/>
                <w:szCs w:val="13"/>
                <w:b w:val="1"/>
                <w:bCs w:val="1"/>
                <w:color w:val="auto"/>
                <w:w w:val="99"/>
              </w:rPr>
              <w:t>November 2,</w:t>
            </w: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5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2014</w:t>
            </w:r>
          </w:p>
        </w:tc>
        <w:tc>
          <w:tcPr>
            <w:tcW w:w="16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96"/>
              </w:rPr>
              <w:t>2014</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2013</w:t>
            </w:r>
          </w:p>
        </w:tc>
        <w:tc>
          <w:tcPr>
            <w:tcW w:w="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2014</w:t>
            </w:r>
          </w:p>
        </w:tc>
        <w:tc>
          <w:tcPr>
            <w:tcW w:w="4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Arial" w:cs="Arial" w:eastAsia="Arial" w:hAnsi="Arial"/>
                <w:sz w:val="14"/>
                <w:szCs w:val="14"/>
                <w:b w:val="1"/>
                <w:bCs w:val="1"/>
                <w:color w:val="auto"/>
              </w:rPr>
              <w:t>2013</w:t>
            </w:r>
          </w:p>
        </w:tc>
        <w:tc>
          <w:tcPr>
            <w:tcW w:w="1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GAAP net income</w:t>
            </w: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7"/>
              </w:rPr>
              <w:t>115,304</w:t>
            </w:r>
          </w:p>
        </w:tc>
        <w:tc>
          <w:tcPr>
            <w:tcW w:w="16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7"/>
                <w:szCs w:val="17"/>
                <w:color w:val="auto"/>
                <w:w w:val="87"/>
              </w:rPr>
              <w:t>138,870</w:t>
            </w:r>
          </w:p>
        </w:tc>
        <w:tc>
          <w:tcPr>
            <w:tcW w:w="4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7"/>
                <w:szCs w:val="17"/>
                <w:color w:val="auto"/>
                <w:w w:val="97"/>
              </w:rPr>
              <w:t>103,156</w:t>
            </w: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7"/>
                <w:szCs w:val="17"/>
                <w:color w:val="auto"/>
              </w:rPr>
              <w:t>353,653</w:t>
            </w:r>
          </w:p>
        </w:tc>
        <w:tc>
          <w:tcPr>
            <w:tcW w:w="46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7"/>
                <w:szCs w:val="17"/>
                <w:color w:val="auto"/>
                <w:w w:val="84"/>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7"/>
                <w:szCs w:val="17"/>
                <w:color w:val="auto"/>
              </w:rPr>
              <w:t>218,191</w:t>
            </w:r>
          </w:p>
        </w:tc>
        <w:tc>
          <w:tcPr>
            <w:tcW w:w="18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spacing w:after="0"/>
              <w:rPr>
                <w:sz w:val="20"/>
                <w:szCs w:val="20"/>
                <w:color w:val="auto"/>
              </w:rPr>
            </w:pPr>
            <w:r>
              <w:rPr>
                <w:rFonts w:ascii="Arial" w:cs="Arial" w:eastAsia="Arial" w:hAnsi="Arial"/>
                <w:sz w:val="17"/>
                <w:szCs w:val="17"/>
                <w:color w:val="auto"/>
              </w:rPr>
              <w:t>Share-based compensation</w:t>
            </w:r>
          </w:p>
        </w:tc>
        <w:tc>
          <w:tcPr>
            <w:tcW w:w="160" w:type="dxa"/>
            <w:vAlign w:val="bottom"/>
          </w:tcPr>
          <w:p>
            <w:pPr>
              <w:spacing w:after="0"/>
              <w:rPr>
                <w:sz w:val="17"/>
                <w:szCs w:val="17"/>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rPr>
              <w:t>34,294</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35,020</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rPr>
              <w:t>43,201</w:t>
            </w:r>
          </w:p>
        </w:tc>
        <w:tc>
          <w:tcPr>
            <w:tcW w:w="80" w:type="dxa"/>
            <w:vAlign w:val="bottom"/>
          </w:tcPr>
          <w:p>
            <w:pPr>
              <w:spacing w:after="0"/>
              <w:rPr>
                <w:sz w:val="17"/>
                <w:szCs w:val="17"/>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99,283</w:t>
            </w:r>
          </w:p>
        </w:tc>
        <w:tc>
          <w:tcPr>
            <w:tcW w:w="100" w:type="dxa"/>
            <w:vAlign w:val="bottom"/>
          </w:tcPr>
          <w:p>
            <w:pPr>
              <w:spacing w:after="0"/>
              <w:rPr>
                <w:sz w:val="17"/>
                <w:szCs w:val="17"/>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117,805</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Amortization and write-off of acquired intangible assets</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4,229</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4,229</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10,645</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16,072</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31,969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spacing w:after="0"/>
              <w:rPr>
                <w:sz w:val="20"/>
                <w:szCs w:val="20"/>
                <w:color w:val="auto"/>
              </w:rPr>
            </w:pPr>
            <w:r>
              <w:rPr>
                <w:rFonts w:ascii="Arial" w:cs="Arial" w:eastAsia="Arial" w:hAnsi="Arial"/>
                <w:sz w:val="17"/>
                <w:szCs w:val="17"/>
                <w:color w:val="auto"/>
              </w:rPr>
              <w:t xml:space="preserve">Acquisition-related costs </w:t>
            </w:r>
            <w:r>
              <w:rPr>
                <w:rFonts w:ascii="Arial" w:cs="Arial" w:eastAsia="Arial" w:hAnsi="Arial"/>
                <w:sz w:val="17"/>
                <w:szCs w:val="17"/>
                <w:i w:val="1"/>
                <w:iCs w:val="1"/>
                <w:color w:val="auto"/>
              </w:rPr>
              <w:t>(a)</w:t>
            </w:r>
          </w:p>
        </w:tc>
        <w:tc>
          <w:tcPr>
            <w:tcW w:w="1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rPr>
              <w:t>433</w:t>
            </w:r>
          </w:p>
        </w:tc>
        <w:tc>
          <w:tcPr>
            <w:tcW w:w="80" w:type="dxa"/>
            <w:vAlign w:val="bottom"/>
          </w:tcPr>
          <w:p>
            <w:pPr>
              <w:spacing w:after="0"/>
              <w:rPr>
                <w:sz w:val="17"/>
                <w:szCs w:val="17"/>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(183)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 xml:space="preserve">Restructuring and other exit-related costs </w:t>
            </w:r>
            <w:r>
              <w:rPr>
                <w:rFonts w:ascii="Arial" w:cs="Arial" w:eastAsia="Arial" w:hAnsi="Arial"/>
                <w:sz w:val="17"/>
                <w:szCs w:val="17"/>
                <w:i w:val="1"/>
                <w:iCs w:val="1"/>
                <w:color w:val="auto"/>
              </w:rPr>
              <w:t>(b)</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1,203</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735</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5,935</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7,026</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6,341</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spacing w:after="0"/>
              <w:rPr>
                <w:sz w:val="20"/>
                <w:szCs w:val="20"/>
                <w:color w:val="auto"/>
              </w:rPr>
            </w:pPr>
            <w:r>
              <w:rPr>
                <w:rFonts w:ascii="Arial" w:cs="Arial" w:eastAsia="Arial" w:hAnsi="Arial"/>
                <w:sz w:val="17"/>
                <w:szCs w:val="17"/>
                <w:color w:val="auto"/>
              </w:rPr>
              <w:t xml:space="preserve">Litigation settlement </w:t>
            </w:r>
            <w:r>
              <w:rPr>
                <w:rFonts w:ascii="Arial" w:cs="Arial" w:eastAsia="Arial" w:hAnsi="Arial"/>
                <w:sz w:val="17"/>
                <w:szCs w:val="17"/>
                <w:i w:val="1"/>
                <w:iCs w:val="1"/>
                <w:color w:val="auto"/>
              </w:rPr>
              <w:t>(c)</w:t>
            </w:r>
          </w:p>
        </w:tc>
        <w:tc>
          <w:tcPr>
            <w:tcW w:w="160" w:type="dxa"/>
            <w:vAlign w:val="bottom"/>
          </w:tcPr>
          <w:p>
            <w:pPr>
              <w:spacing w:after="0"/>
              <w:rPr>
                <w:sz w:val="17"/>
                <w:szCs w:val="17"/>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7"/>
                <w:szCs w:val="17"/>
                <w:color w:val="auto"/>
              </w:rPr>
              <w:t>(2,398)</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475</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77</w:t>
            </w:r>
          </w:p>
        </w:tc>
        <w:tc>
          <w:tcPr>
            <w:tcW w:w="100" w:type="dxa"/>
            <w:vAlign w:val="bottom"/>
          </w:tcPr>
          <w:p>
            <w:pPr>
              <w:spacing w:after="0"/>
              <w:rPr>
                <w:sz w:val="17"/>
                <w:szCs w:val="17"/>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5,228</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 xml:space="preserve">Other </w:t>
            </w:r>
            <w:r>
              <w:rPr>
                <w:rFonts w:ascii="Arial" w:cs="Arial" w:eastAsia="Arial" w:hAnsi="Arial"/>
                <w:sz w:val="17"/>
                <w:szCs w:val="17"/>
                <w:i w:val="1"/>
                <w:iCs w:val="1"/>
                <w:color w:val="auto"/>
              </w:rPr>
              <w:t>(d)</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2,318</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2,155</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4,473</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10"/>
        </w:trPr>
        <w:tc>
          <w:tcPr>
            <w:tcW w:w="5540" w:type="dxa"/>
            <w:vAlign w:val="bottom"/>
            <w:gridSpan w:val="2"/>
          </w:tcPr>
          <w:p>
            <w:pPr>
              <w:spacing w:after="0"/>
              <w:rPr>
                <w:sz w:val="20"/>
                <w:szCs w:val="20"/>
                <w:color w:val="auto"/>
              </w:rPr>
            </w:pPr>
            <w:r>
              <w:rPr>
                <w:rFonts w:ascii="Arial" w:cs="Arial" w:eastAsia="Arial" w:hAnsi="Arial"/>
                <w:sz w:val="17"/>
                <w:szCs w:val="17"/>
                <w:color w:val="auto"/>
              </w:rPr>
              <w:t>Non-GAAP net income</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154,950</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87"/>
              </w:rPr>
              <w:t>181,484</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163,370</w:t>
            </w:r>
          </w:p>
        </w:tc>
        <w:tc>
          <w:tcPr>
            <w:tcW w:w="480" w:type="dxa"/>
            <w:vAlign w:val="bottom"/>
          </w:tcPr>
          <w:p>
            <w:pPr>
              <w:spacing w:after="0"/>
              <w:rPr>
                <w:sz w:val="18"/>
                <w:szCs w:val="18"/>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480,584</w:t>
            </w:r>
          </w:p>
        </w:tc>
        <w:tc>
          <w:tcPr>
            <w:tcW w:w="46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w w:val="84"/>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379,351</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5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GAAP weighted average shares—diluted</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w w:val="97"/>
              </w:rPr>
              <w:t>519,907</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w w:val="87"/>
              </w:rPr>
              <w:t>520,269</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w w:val="97"/>
              </w:rPr>
              <w:t>501,189</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520,309</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502,401</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Non-GAAP adjustment</w:t>
            </w:r>
          </w:p>
        </w:tc>
        <w:tc>
          <w:tcPr>
            <w:tcW w:w="160" w:type="dxa"/>
            <w:vAlign w:val="bottom"/>
          </w:tcPr>
          <w:p>
            <w:pPr>
              <w:spacing w:after="0"/>
              <w:rPr>
                <w:sz w:val="17"/>
                <w:szCs w:val="17"/>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rPr>
              <w:t>12,905</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13,201</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rPr>
              <w:t>13,014</w:t>
            </w:r>
          </w:p>
        </w:tc>
        <w:tc>
          <w:tcPr>
            <w:tcW w:w="80" w:type="dxa"/>
            <w:vAlign w:val="bottom"/>
          </w:tcPr>
          <w:p>
            <w:pPr>
              <w:spacing w:after="0"/>
              <w:rPr>
                <w:sz w:val="17"/>
                <w:szCs w:val="17"/>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11,910</w:t>
            </w:r>
          </w:p>
        </w:tc>
        <w:tc>
          <w:tcPr>
            <w:tcW w:w="100" w:type="dxa"/>
            <w:vAlign w:val="bottom"/>
          </w:tcPr>
          <w:p>
            <w:pPr>
              <w:spacing w:after="0"/>
              <w:rPr>
                <w:sz w:val="17"/>
                <w:szCs w:val="17"/>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15,042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 xml:space="preserve">Non-GAAP weighted average shares diluted </w:t>
            </w:r>
            <w:r>
              <w:rPr>
                <w:rFonts w:ascii="Arial" w:cs="Arial" w:eastAsia="Arial" w:hAnsi="Arial"/>
                <w:sz w:val="17"/>
                <w:szCs w:val="17"/>
                <w:i w:val="1"/>
                <w:iCs w:val="1"/>
                <w:color w:val="auto"/>
              </w:rPr>
              <w:t>(e)</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w w:val="97"/>
              </w:rPr>
              <w:t>532,812</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w w:val="87"/>
              </w:rPr>
              <w:t>533,470</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w w:val="97"/>
              </w:rPr>
              <w:t>514,203</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532,219</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517,443</w:t>
            </w:r>
          </w:p>
        </w:tc>
        <w:tc>
          <w:tcPr>
            <w:tcW w:w="0" w:type="dxa"/>
            <w:vAlign w:val="bottom"/>
          </w:tcPr>
          <w:p>
            <w:pPr>
              <w:spacing w:after="0"/>
              <w:rPr>
                <w:sz w:val="1"/>
                <w:szCs w:val="1"/>
                <w:color w:val="auto"/>
              </w:rPr>
            </w:pPr>
          </w:p>
        </w:tc>
      </w:tr>
      <w:tr>
        <w:trPr>
          <w:trHeight w:val="20"/>
        </w:trPr>
        <w:tc>
          <w:tcPr>
            <w:tcW w:w="5540" w:type="dxa"/>
            <w:vAlign w:val="bottom"/>
            <w:gridSpan w:val="2"/>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5540" w:type="dxa"/>
            <w:vAlign w:val="bottom"/>
            <w:gridSpan w:val="2"/>
          </w:tcPr>
          <w:p>
            <w:pPr>
              <w:spacing w:after="0"/>
              <w:rPr>
                <w:sz w:val="20"/>
                <w:szCs w:val="20"/>
                <w:color w:val="auto"/>
              </w:rPr>
            </w:pPr>
            <w:r>
              <w:rPr>
                <w:rFonts w:ascii="Arial" w:cs="Arial" w:eastAsia="Arial" w:hAnsi="Arial"/>
                <w:sz w:val="17"/>
                <w:szCs w:val="17"/>
                <w:color w:val="auto"/>
              </w:rPr>
              <w:t>GAAP diluted net income per share</w:t>
            </w:r>
          </w:p>
        </w:tc>
        <w:tc>
          <w:tcPr>
            <w:tcW w:w="160" w:type="dxa"/>
            <w:vAlign w:val="bottom"/>
          </w:tcPr>
          <w:p>
            <w:pPr>
              <w:spacing w:after="0"/>
              <w:rPr>
                <w:sz w:val="20"/>
                <w:szCs w:val="20"/>
                <w:color w:val="auto"/>
              </w:rPr>
            </w:pPr>
            <w:r>
              <w:rPr>
                <w:rFonts w:ascii="Arial" w:cs="Arial" w:eastAsia="Arial" w:hAnsi="Arial"/>
                <w:sz w:val="17"/>
                <w:szCs w:val="17"/>
                <w:color w:val="auto"/>
              </w:rPr>
              <w:t>$</w:t>
            </w: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rPr>
              <w:t>0.22</w:t>
            </w: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0.27</w:t>
            </w:r>
          </w:p>
        </w:tc>
        <w:tc>
          <w:tcPr>
            <w:tcW w:w="240" w:type="dxa"/>
            <w:vAlign w:val="bottom"/>
            <w:gridSpan w:val="2"/>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rPr>
              <w:t>0.21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0.68</w:t>
            </w:r>
          </w:p>
        </w:tc>
        <w:tc>
          <w:tcPr>
            <w:tcW w:w="100" w:type="dxa"/>
            <w:vAlign w:val="bottom"/>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0.43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9"/>
        </w:trPr>
        <w:tc>
          <w:tcPr>
            <w:tcW w:w="20" w:type="dxa"/>
            <w:vAlign w:val="bottom"/>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Non-GAAP diluted net income per share</w:t>
            </w: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0.29</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0.34</w:t>
            </w:r>
          </w:p>
        </w:tc>
        <w:tc>
          <w:tcPr>
            <w:tcW w:w="24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0.32</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0.90</w:t>
            </w:r>
          </w:p>
        </w:tc>
        <w:tc>
          <w:tcPr>
            <w:tcW w:w="100" w:type="dxa"/>
            <w:vAlign w:val="bottom"/>
            <w:shd w:val="clear" w:color="auto" w:fill="CCEEFF"/>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0.73</w:t>
            </w:r>
          </w:p>
        </w:tc>
        <w:tc>
          <w:tcPr>
            <w:tcW w:w="0" w:type="dxa"/>
            <w:vAlign w:val="bottom"/>
          </w:tcPr>
          <w:p>
            <w:pPr>
              <w:spacing w:after="0"/>
              <w:rPr>
                <w:sz w:val="1"/>
                <w:szCs w:val="1"/>
                <w:color w:val="auto"/>
              </w:rPr>
            </w:pPr>
          </w:p>
        </w:tc>
      </w:tr>
      <w:tr>
        <w:trPr>
          <w:trHeight w:val="20"/>
        </w:trPr>
        <w:tc>
          <w:tcPr>
            <w:tcW w:w="5540" w:type="dxa"/>
            <w:vAlign w:val="bottom"/>
            <w:gridSpan w:val="2"/>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5540" w:type="dxa"/>
            <w:vAlign w:val="bottom"/>
            <w:gridSpan w:val="2"/>
          </w:tcPr>
          <w:p>
            <w:pPr>
              <w:spacing w:after="0"/>
              <w:rPr>
                <w:sz w:val="20"/>
                <w:szCs w:val="20"/>
                <w:color w:val="auto"/>
              </w:rPr>
            </w:pPr>
            <w:r>
              <w:rPr>
                <w:rFonts w:ascii="Arial" w:cs="Arial" w:eastAsia="Arial" w:hAnsi="Arial"/>
                <w:sz w:val="17"/>
                <w:szCs w:val="17"/>
                <w:color w:val="auto"/>
              </w:rPr>
              <w:t>GAAP gross profit:</w:t>
            </w:r>
          </w:p>
        </w:tc>
        <w:tc>
          <w:tcPr>
            <w:tcW w:w="160" w:type="dxa"/>
            <w:vAlign w:val="bottom"/>
          </w:tcPr>
          <w:p>
            <w:pPr>
              <w:spacing w:after="0"/>
              <w:rPr>
                <w:sz w:val="20"/>
                <w:szCs w:val="20"/>
                <w:color w:val="auto"/>
              </w:rPr>
            </w:pPr>
            <w:r>
              <w:rPr>
                <w:rFonts w:ascii="Arial" w:cs="Arial" w:eastAsia="Arial" w:hAnsi="Arial"/>
                <w:sz w:val="17"/>
                <w:szCs w:val="17"/>
                <w:color w:val="auto"/>
              </w:rPr>
              <w:t>$</w:t>
            </w: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w w:val="97"/>
              </w:rPr>
              <w:t>475,162</w:t>
            </w: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w w:val="87"/>
              </w:rPr>
              <w:t>483,804</w:t>
            </w:r>
          </w:p>
        </w:tc>
        <w:tc>
          <w:tcPr>
            <w:tcW w:w="240" w:type="dxa"/>
            <w:vAlign w:val="bottom"/>
            <w:gridSpan w:val="2"/>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w w:val="97"/>
              </w:rPr>
              <w:t>466,245</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w w:val="89"/>
              </w:rPr>
              <w:t>1,422,936</w:t>
            </w:r>
          </w:p>
        </w:tc>
        <w:tc>
          <w:tcPr>
            <w:tcW w:w="100" w:type="dxa"/>
            <w:vAlign w:val="bottom"/>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w w:val="89"/>
              </w:rPr>
              <w:t>1,286,173</w:t>
            </w: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Share-based compensation</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1,934</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1,733</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2,531</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5,966</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6,266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Amortization of acquired intangible assets</w:t>
            </w:r>
          </w:p>
        </w:tc>
        <w:tc>
          <w:tcPr>
            <w:tcW w:w="160" w:type="dxa"/>
            <w:vAlign w:val="bottom"/>
          </w:tcPr>
          <w:p>
            <w:pPr>
              <w:spacing w:after="0"/>
              <w:rPr>
                <w:sz w:val="17"/>
                <w:szCs w:val="17"/>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rPr>
              <w:t>925</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925</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2,775</w:t>
            </w:r>
          </w:p>
        </w:tc>
        <w:tc>
          <w:tcPr>
            <w:tcW w:w="100" w:type="dxa"/>
            <w:vAlign w:val="bottom"/>
          </w:tcPr>
          <w:p>
            <w:pPr>
              <w:spacing w:after="0"/>
              <w:rPr>
                <w:sz w:val="17"/>
                <w:szCs w:val="17"/>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Litigation settlement </w:t>
            </w:r>
            <w:r>
              <w:rPr>
                <w:rFonts w:ascii="Arial" w:cs="Arial" w:eastAsia="Arial" w:hAnsi="Arial"/>
                <w:sz w:val="17"/>
                <w:szCs w:val="17"/>
                <w:i w:val="1"/>
                <w:iCs w:val="1"/>
                <w:color w:val="auto"/>
              </w:rPr>
              <w:t>(c)</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(3,998)</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(3,998)</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4,728</w:t>
            </w:r>
          </w:p>
        </w:tc>
        <w:tc>
          <w:tcPr>
            <w:tcW w:w="0" w:type="dxa"/>
            <w:vAlign w:val="bottom"/>
          </w:tcPr>
          <w:p>
            <w:pPr>
              <w:spacing w:after="0"/>
              <w:rPr>
                <w:sz w:val="1"/>
                <w:szCs w:val="1"/>
                <w:color w:val="auto"/>
              </w:rPr>
            </w:pPr>
          </w:p>
        </w:tc>
      </w:tr>
      <w:tr>
        <w:trPr>
          <w:trHeight w:val="210"/>
        </w:trPr>
        <w:tc>
          <w:tcPr>
            <w:tcW w:w="5540" w:type="dxa"/>
            <w:vAlign w:val="bottom"/>
            <w:gridSpan w:val="2"/>
          </w:tcPr>
          <w:p>
            <w:pPr>
              <w:spacing w:after="0"/>
              <w:rPr>
                <w:sz w:val="20"/>
                <w:szCs w:val="20"/>
                <w:color w:val="auto"/>
              </w:rPr>
            </w:pPr>
            <w:r>
              <w:rPr>
                <w:rFonts w:ascii="Arial" w:cs="Arial" w:eastAsia="Arial" w:hAnsi="Arial"/>
                <w:sz w:val="17"/>
                <w:szCs w:val="17"/>
                <w:color w:val="auto"/>
              </w:rPr>
              <w:t>Non-GAAP gross profit</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474,023</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87"/>
              </w:rPr>
              <w:t>486,462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468,776</w:t>
            </w:r>
          </w:p>
        </w:tc>
        <w:tc>
          <w:tcPr>
            <w:tcW w:w="480" w:type="dxa"/>
            <w:vAlign w:val="bottom"/>
          </w:tcPr>
          <w:p>
            <w:pPr>
              <w:spacing w:after="0"/>
              <w:rPr>
                <w:sz w:val="18"/>
                <w:szCs w:val="18"/>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u w:val="single" w:color="auto"/>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89"/>
              </w:rPr>
              <w:t>1,427,679</w:t>
            </w:r>
          </w:p>
        </w:tc>
        <w:tc>
          <w:tcPr>
            <w:tcW w:w="46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u w:val="single" w:color="auto"/>
                <w:color w:val="auto"/>
                <w:w w:val="84"/>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89"/>
              </w:rPr>
              <w:t>1,297,167</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5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GAAP gross margin</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51.1%</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7"/>
                <w:szCs w:val="17"/>
                <w:color w:val="auto"/>
              </w:rPr>
              <w:t>50.3%</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7"/>
                <w:szCs w:val="17"/>
                <w:color w:val="auto"/>
              </w:rPr>
              <w:t>50.1%</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7"/>
                <w:szCs w:val="17"/>
                <w:color w:val="auto"/>
              </w:rPr>
              <w:t>49.9%</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52.0%</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Share-based compensation</w:t>
            </w:r>
          </w:p>
        </w:tc>
        <w:tc>
          <w:tcPr>
            <w:tcW w:w="160" w:type="dxa"/>
            <w:vAlign w:val="bottom"/>
          </w:tcPr>
          <w:p>
            <w:pPr>
              <w:spacing w:after="0"/>
              <w:rPr>
                <w:sz w:val="17"/>
                <w:szCs w:val="17"/>
                <w:color w:val="auto"/>
              </w:rPr>
            </w:pPr>
          </w:p>
        </w:tc>
        <w:tc>
          <w:tcPr>
            <w:tcW w:w="780" w:type="dxa"/>
            <w:vAlign w:val="bottom"/>
            <w:gridSpan w:val="2"/>
          </w:tcPr>
          <w:p>
            <w:pPr>
              <w:jc w:val="right"/>
              <w:spacing w:after="0"/>
              <w:rPr>
                <w:sz w:val="20"/>
                <w:szCs w:val="20"/>
                <w:color w:val="auto"/>
              </w:rPr>
            </w:pPr>
            <w:r>
              <w:rPr>
                <w:rFonts w:ascii="Arial" w:cs="Arial" w:eastAsia="Arial" w:hAnsi="Arial"/>
                <w:sz w:val="17"/>
                <w:szCs w:val="17"/>
                <w:color w:val="auto"/>
              </w:rPr>
              <w:t>0.2%</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7"/>
                <w:szCs w:val="17"/>
                <w:color w:val="auto"/>
              </w:rPr>
              <w:t>0.2%</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7"/>
                <w:szCs w:val="17"/>
                <w:color w:val="auto"/>
              </w:rPr>
              <w:t>0.2%</w:t>
            </w:r>
          </w:p>
        </w:tc>
        <w:tc>
          <w:tcPr>
            <w:tcW w:w="80" w:type="dxa"/>
            <w:vAlign w:val="bottom"/>
          </w:tcPr>
          <w:p>
            <w:pPr>
              <w:spacing w:after="0"/>
              <w:rPr>
                <w:sz w:val="17"/>
                <w:szCs w:val="17"/>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7"/>
                <w:szCs w:val="17"/>
                <w:color w:val="auto"/>
              </w:rPr>
              <w:t>0.2%</w:t>
            </w:r>
          </w:p>
        </w:tc>
        <w:tc>
          <w:tcPr>
            <w:tcW w:w="100" w:type="dxa"/>
            <w:vAlign w:val="bottom"/>
          </w:tcPr>
          <w:p>
            <w:pPr>
              <w:spacing w:after="0"/>
              <w:rPr>
                <w:sz w:val="17"/>
                <w:szCs w:val="17"/>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7"/>
                <w:szCs w:val="17"/>
                <w:color w:val="auto"/>
              </w:rPr>
              <w:t>0.3%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Amortization of acquired intangible assets</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0.1%</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7"/>
                <w:szCs w:val="17"/>
                <w:color w:val="auto"/>
              </w:rPr>
              <w:t>0.1%</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7"/>
                <w:szCs w:val="17"/>
                <w:color w:val="auto"/>
              </w:rPr>
              <w:t>0.1%</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 xml:space="preserve">Litigation settlement </w:t>
            </w:r>
            <w:r>
              <w:rPr>
                <w:rFonts w:ascii="Arial" w:cs="Arial" w:eastAsia="Arial" w:hAnsi="Arial"/>
                <w:sz w:val="17"/>
                <w:szCs w:val="17"/>
                <w:i w:val="1"/>
                <w:iCs w:val="1"/>
                <w:color w:val="auto"/>
              </w:rPr>
              <w:t>(c)</w:t>
            </w:r>
          </w:p>
        </w:tc>
        <w:tc>
          <w:tcPr>
            <w:tcW w:w="160" w:type="dxa"/>
            <w:vAlign w:val="bottom"/>
          </w:tcPr>
          <w:p>
            <w:pPr>
              <w:spacing w:after="0"/>
              <w:rPr>
                <w:sz w:val="17"/>
                <w:szCs w:val="17"/>
                <w:color w:val="auto"/>
              </w:rPr>
            </w:pPr>
          </w:p>
        </w:tc>
        <w:tc>
          <w:tcPr>
            <w:tcW w:w="780" w:type="dxa"/>
            <w:vAlign w:val="bottom"/>
            <w:gridSpan w:val="2"/>
          </w:tcPr>
          <w:p>
            <w:pPr>
              <w:jc w:val="right"/>
              <w:spacing w:after="0"/>
              <w:rPr>
                <w:sz w:val="20"/>
                <w:szCs w:val="20"/>
                <w:color w:val="auto"/>
              </w:rPr>
            </w:pPr>
            <w:r>
              <w:rPr>
                <w:rFonts w:ascii="Arial" w:cs="Arial" w:eastAsia="Arial" w:hAnsi="Arial"/>
                <w:sz w:val="17"/>
                <w:szCs w:val="17"/>
                <w:color w:val="auto"/>
              </w:rPr>
              <w:t>-0.4%</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340"/>
              <w:spacing w:after="0"/>
              <w:rPr>
                <w:sz w:val="20"/>
                <w:szCs w:val="20"/>
                <w:color w:val="auto"/>
              </w:rPr>
            </w:pPr>
            <w:r>
              <w:rPr>
                <w:rFonts w:ascii="Arial" w:cs="Arial" w:eastAsia="Arial" w:hAnsi="Arial"/>
                <w:sz w:val="17"/>
                <w:szCs w:val="17"/>
                <w:color w:val="auto"/>
              </w:rPr>
              <w:t>0.0%</w:t>
            </w:r>
          </w:p>
        </w:tc>
        <w:tc>
          <w:tcPr>
            <w:tcW w:w="80" w:type="dxa"/>
            <w:vAlign w:val="bottom"/>
          </w:tcPr>
          <w:p>
            <w:pPr>
              <w:spacing w:after="0"/>
              <w:rPr>
                <w:sz w:val="17"/>
                <w:szCs w:val="17"/>
                <w:color w:val="auto"/>
              </w:rPr>
            </w:pPr>
          </w:p>
        </w:tc>
        <w:tc>
          <w:tcPr>
            <w:tcW w:w="1160" w:type="dxa"/>
            <w:vAlign w:val="bottom"/>
            <w:gridSpan w:val="2"/>
          </w:tcPr>
          <w:p>
            <w:pPr>
              <w:jc w:val="right"/>
              <w:ind w:right="320"/>
              <w:spacing w:after="0"/>
              <w:rPr>
                <w:sz w:val="20"/>
                <w:szCs w:val="20"/>
                <w:color w:val="auto"/>
              </w:rPr>
            </w:pPr>
            <w:r>
              <w:rPr>
                <w:rFonts w:ascii="Arial" w:cs="Arial" w:eastAsia="Arial" w:hAnsi="Arial"/>
                <w:sz w:val="17"/>
                <w:szCs w:val="17"/>
                <w:color w:val="auto"/>
              </w:rPr>
              <w:t>-0.1%</w:t>
            </w:r>
          </w:p>
        </w:tc>
        <w:tc>
          <w:tcPr>
            <w:tcW w:w="100" w:type="dxa"/>
            <w:vAlign w:val="bottom"/>
          </w:tcPr>
          <w:p>
            <w:pPr>
              <w:spacing w:after="0"/>
              <w:rPr>
                <w:sz w:val="17"/>
                <w:szCs w:val="17"/>
                <w:color w:val="auto"/>
              </w:rPr>
            </w:pPr>
          </w:p>
        </w:tc>
        <w:tc>
          <w:tcPr>
            <w:tcW w:w="880" w:type="dxa"/>
            <w:vAlign w:val="bottom"/>
            <w:gridSpan w:val="2"/>
          </w:tcPr>
          <w:p>
            <w:pPr>
              <w:jc w:val="right"/>
              <w:ind w:right="40"/>
              <w:spacing w:after="0"/>
              <w:rPr>
                <w:sz w:val="20"/>
                <w:szCs w:val="20"/>
                <w:color w:val="auto"/>
              </w:rPr>
            </w:pPr>
            <w:r>
              <w:rPr>
                <w:rFonts w:ascii="Arial" w:cs="Arial" w:eastAsia="Arial" w:hAnsi="Arial"/>
                <w:sz w:val="17"/>
                <w:szCs w:val="17"/>
                <w:color w:val="auto"/>
              </w:rPr>
              <w:t>0.2%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Non-GAAP gross margin</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51.0%</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7"/>
                <w:szCs w:val="17"/>
                <w:color w:val="auto"/>
              </w:rPr>
              <w:t>50.6%</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340"/>
              <w:spacing w:after="0"/>
              <w:rPr>
                <w:sz w:val="20"/>
                <w:szCs w:val="20"/>
                <w:color w:val="auto"/>
              </w:rPr>
            </w:pPr>
            <w:r>
              <w:rPr>
                <w:rFonts w:ascii="Arial" w:cs="Arial" w:eastAsia="Arial" w:hAnsi="Arial"/>
                <w:sz w:val="17"/>
                <w:szCs w:val="17"/>
                <w:color w:val="auto"/>
              </w:rPr>
              <w:t>50.3%</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320"/>
              <w:spacing w:after="0"/>
              <w:rPr>
                <w:sz w:val="20"/>
                <w:szCs w:val="20"/>
                <w:color w:val="auto"/>
              </w:rPr>
            </w:pPr>
            <w:r>
              <w:rPr>
                <w:rFonts w:ascii="Arial" w:cs="Arial" w:eastAsia="Arial" w:hAnsi="Arial"/>
                <w:sz w:val="17"/>
                <w:szCs w:val="17"/>
                <w:color w:val="auto"/>
              </w:rPr>
              <w:t>50.1%</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40"/>
              <w:spacing w:after="0"/>
              <w:rPr>
                <w:sz w:val="20"/>
                <w:szCs w:val="20"/>
                <w:color w:val="auto"/>
              </w:rPr>
            </w:pPr>
            <w:r>
              <w:rPr>
                <w:rFonts w:ascii="Arial" w:cs="Arial" w:eastAsia="Arial" w:hAnsi="Arial"/>
                <w:sz w:val="17"/>
                <w:szCs w:val="17"/>
                <w:color w:val="auto"/>
              </w:rPr>
              <w:t>52.5%</w:t>
            </w:r>
          </w:p>
        </w:tc>
        <w:tc>
          <w:tcPr>
            <w:tcW w:w="0" w:type="dxa"/>
            <w:vAlign w:val="bottom"/>
          </w:tcPr>
          <w:p>
            <w:pPr>
              <w:spacing w:after="0"/>
              <w:rPr>
                <w:sz w:val="1"/>
                <w:szCs w:val="1"/>
                <w:color w:val="auto"/>
              </w:rPr>
            </w:pPr>
          </w:p>
        </w:tc>
      </w:tr>
      <w:tr>
        <w:trPr>
          <w:trHeight w:val="20"/>
        </w:trPr>
        <w:tc>
          <w:tcPr>
            <w:tcW w:w="5540" w:type="dxa"/>
            <w:vAlign w:val="bottom"/>
            <w:gridSpan w:val="2"/>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1"/>
        </w:trPr>
        <w:tc>
          <w:tcPr>
            <w:tcW w:w="5540" w:type="dxa"/>
            <w:vAlign w:val="bottom"/>
            <w:gridSpan w:val="2"/>
          </w:tcPr>
          <w:p>
            <w:pPr>
              <w:spacing w:after="0"/>
              <w:rPr>
                <w:sz w:val="20"/>
                <w:szCs w:val="20"/>
                <w:color w:val="auto"/>
              </w:rPr>
            </w:pPr>
            <w:r>
              <w:rPr>
                <w:rFonts w:ascii="Arial" w:cs="Arial" w:eastAsia="Arial" w:hAnsi="Arial"/>
                <w:sz w:val="17"/>
                <w:szCs w:val="17"/>
                <w:color w:val="auto"/>
              </w:rPr>
              <w:t>GAAP research and development:</w:t>
            </w:r>
          </w:p>
        </w:tc>
        <w:tc>
          <w:tcPr>
            <w:tcW w:w="160" w:type="dxa"/>
            <w:vAlign w:val="bottom"/>
          </w:tcPr>
          <w:p>
            <w:pPr>
              <w:spacing w:after="0"/>
              <w:rPr>
                <w:sz w:val="20"/>
                <w:szCs w:val="20"/>
                <w:color w:val="auto"/>
              </w:rPr>
            </w:pPr>
            <w:r>
              <w:rPr>
                <w:rFonts w:ascii="Arial" w:cs="Arial" w:eastAsia="Arial" w:hAnsi="Arial"/>
                <w:sz w:val="17"/>
                <w:szCs w:val="17"/>
                <w:color w:val="auto"/>
              </w:rPr>
              <w:t>$</w:t>
            </w:r>
          </w:p>
        </w:tc>
        <w:tc>
          <w:tcPr>
            <w:tcW w:w="780" w:type="dxa"/>
            <w:vAlign w:val="bottom"/>
            <w:gridSpan w:val="2"/>
          </w:tcPr>
          <w:p>
            <w:pPr>
              <w:jc w:val="right"/>
              <w:ind w:right="160"/>
              <w:spacing w:after="0"/>
              <w:rPr>
                <w:sz w:val="20"/>
                <w:szCs w:val="20"/>
                <w:color w:val="auto"/>
              </w:rPr>
            </w:pPr>
            <w:r>
              <w:rPr>
                <w:rFonts w:ascii="Arial" w:cs="Arial" w:eastAsia="Arial" w:hAnsi="Arial"/>
                <w:sz w:val="17"/>
                <w:szCs w:val="17"/>
                <w:color w:val="auto"/>
                <w:w w:val="97"/>
              </w:rPr>
              <w:t>288,435</w:t>
            </w:r>
          </w:p>
        </w:tc>
        <w:tc>
          <w:tcPr>
            <w:tcW w:w="420" w:type="dxa"/>
            <w:vAlign w:val="bottom"/>
            <w:gridSpan w:val="2"/>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w w:val="87"/>
              </w:rPr>
              <w:t>294,764</w:t>
            </w:r>
          </w:p>
        </w:tc>
        <w:tc>
          <w:tcPr>
            <w:tcW w:w="240" w:type="dxa"/>
            <w:vAlign w:val="bottom"/>
            <w:gridSpan w:val="2"/>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tcPr>
          <w:p>
            <w:pPr>
              <w:jc w:val="right"/>
              <w:ind w:right="480"/>
              <w:spacing w:after="0"/>
              <w:rPr>
                <w:sz w:val="20"/>
                <w:szCs w:val="20"/>
                <w:color w:val="auto"/>
              </w:rPr>
            </w:pPr>
            <w:r>
              <w:rPr>
                <w:rFonts w:ascii="Arial" w:cs="Arial" w:eastAsia="Arial" w:hAnsi="Arial"/>
                <w:sz w:val="17"/>
                <w:szCs w:val="17"/>
                <w:color w:val="auto"/>
                <w:w w:val="97"/>
              </w:rPr>
              <w:t>296,291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tcPr>
          <w:p>
            <w:pPr>
              <w:jc w:val="right"/>
              <w:ind w:right="460"/>
              <w:spacing w:after="0"/>
              <w:rPr>
                <w:sz w:val="20"/>
                <w:szCs w:val="20"/>
                <w:color w:val="auto"/>
              </w:rPr>
            </w:pPr>
            <w:r>
              <w:rPr>
                <w:rFonts w:ascii="Arial" w:cs="Arial" w:eastAsia="Arial" w:hAnsi="Arial"/>
                <w:sz w:val="17"/>
                <w:szCs w:val="17"/>
                <w:color w:val="auto"/>
              </w:rPr>
              <w:t>878,562</w:t>
            </w:r>
          </w:p>
        </w:tc>
        <w:tc>
          <w:tcPr>
            <w:tcW w:w="100" w:type="dxa"/>
            <w:vAlign w:val="bottom"/>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867,985</w:t>
            </w: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Share-based compensation</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(24,198)</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7"/>
                <w:szCs w:val="17"/>
                <w:color w:val="auto"/>
                <w:w w:val="94"/>
              </w:rPr>
              <w:t>(24,276)</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7"/>
                <w:szCs w:val="17"/>
                <w:color w:val="auto"/>
              </w:rPr>
              <w:t>(30,084)</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(68,842)</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(82,345)</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 xml:space="preserve">Acquisition-related costs </w:t>
            </w:r>
            <w:r>
              <w:rPr>
                <w:rFonts w:ascii="Arial" w:cs="Arial" w:eastAsia="Arial" w:hAnsi="Arial"/>
                <w:sz w:val="17"/>
                <w:szCs w:val="17"/>
                <w:i w:val="1"/>
                <w:iCs w:val="1"/>
                <w:color w:val="auto"/>
              </w:rPr>
              <w:t>(a)</w:t>
            </w:r>
          </w:p>
        </w:tc>
        <w:tc>
          <w:tcPr>
            <w:tcW w:w="1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7"/>
                <w:szCs w:val="17"/>
                <w:color w:val="auto"/>
              </w:rPr>
              <w:t>(414)</w:t>
            </w:r>
          </w:p>
        </w:tc>
        <w:tc>
          <w:tcPr>
            <w:tcW w:w="80" w:type="dxa"/>
            <w:vAlign w:val="bottom"/>
          </w:tcPr>
          <w:p>
            <w:pPr>
              <w:spacing w:after="0"/>
              <w:rPr>
                <w:sz w:val="17"/>
                <w:szCs w:val="17"/>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100" w:type="dxa"/>
            <w:vAlign w:val="bottom"/>
          </w:tcPr>
          <w:p>
            <w:pPr>
              <w:spacing w:after="0"/>
              <w:rPr>
                <w:sz w:val="17"/>
                <w:szCs w:val="17"/>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7"/>
                <w:szCs w:val="17"/>
                <w:color w:val="auto"/>
              </w:rPr>
              <w:t>321</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Restructuring and other exit-related costs </w:t>
            </w:r>
            <w:r>
              <w:rPr>
                <w:rFonts w:ascii="Arial" w:cs="Arial" w:eastAsia="Arial" w:hAnsi="Arial"/>
                <w:sz w:val="17"/>
                <w:szCs w:val="17"/>
                <w:i w:val="1"/>
                <w:iCs w:val="1"/>
                <w:color w:val="auto"/>
              </w:rPr>
              <w:t>(b)</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(88)</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7"/>
                <w:szCs w:val="17"/>
                <w:color w:val="auto"/>
              </w:rPr>
              <w:t>(412)</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7"/>
                <w:szCs w:val="17"/>
                <w:color w:val="auto"/>
              </w:rPr>
              <w:t>(4,613)</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(5,182)</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(4,613)</w:t>
            </w:r>
          </w:p>
        </w:tc>
        <w:tc>
          <w:tcPr>
            <w:tcW w:w="0" w:type="dxa"/>
            <w:vAlign w:val="bottom"/>
          </w:tcPr>
          <w:p>
            <w:pPr>
              <w:spacing w:after="0"/>
              <w:rPr>
                <w:sz w:val="1"/>
                <w:szCs w:val="1"/>
                <w:color w:val="auto"/>
              </w:rPr>
            </w:pPr>
          </w:p>
        </w:tc>
      </w:tr>
      <w:tr>
        <w:trPr>
          <w:trHeight w:val="210"/>
        </w:trPr>
        <w:tc>
          <w:tcPr>
            <w:tcW w:w="5540" w:type="dxa"/>
            <w:vAlign w:val="bottom"/>
            <w:gridSpan w:val="2"/>
          </w:tcPr>
          <w:p>
            <w:pPr>
              <w:spacing w:after="0"/>
              <w:rPr>
                <w:sz w:val="20"/>
                <w:szCs w:val="20"/>
                <w:color w:val="auto"/>
              </w:rPr>
            </w:pPr>
            <w:r>
              <w:rPr>
                <w:rFonts w:ascii="Arial" w:cs="Arial" w:eastAsia="Arial" w:hAnsi="Arial"/>
                <w:sz w:val="17"/>
                <w:szCs w:val="17"/>
                <w:color w:val="auto"/>
              </w:rPr>
              <w:t>Non-GAAP research and development</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264,149</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87"/>
              </w:rPr>
              <w:t>270,076</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w w:val="97"/>
              </w:rPr>
              <w:t>261,180</w:t>
            </w:r>
          </w:p>
        </w:tc>
        <w:tc>
          <w:tcPr>
            <w:tcW w:w="480" w:type="dxa"/>
            <w:vAlign w:val="bottom"/>
          </w:tcPr>
          <w:p>
            <w:pPr>
              <w:spacing w:after="0"/>
              <w:rPr>
                <w:sz w:val="18"/>
                <w:szCs w:val="18"/>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804,538</w:t>
            </w:r>
          </w:p>
        </w:tc>
        <w:tc>
          <w:tcPr>
            <w:tcW w:w="46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w w:val="84"/>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781,348</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5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GAAP selling and marketing:</w:t>
            </w: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34,410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33,949</w:t>
            </w:r>
          </w:p>
        </w:tc>
        <w:tc>
          <w:tcPr>
            <w:tcW w:w="24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37,496</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106,717</w:t>
            </w:r>
          </w:p>
        </w:tc>
        <w:tc>
          <w:tcPr>
            <w:tcW w:w="100" w:type="dxa"/>
            <w:vAlign w:val="bottom"/>
            <w:shd w:val="clear" w:color="auto" w:fill="CCEEFF"/>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116,033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Share-based compensation</w:t>
            </w:r>
          </w:p>
        </w:tc>
        <w:tc>
          <w:tcPr>
            <w:tcW w:w="160" w:type="dxa"/>
            <w:vAlign w:val="bottom"/>
          </w:tcPr>
          <w:p>
            <w:pPr>
              <w:spacing w:after="0"/>
              <w:rPr>
                <w:sz w:val="17"/>
                <w:szCs w:val="17"/>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7"/>
                <w:szCs w:val="17"/>
                <w:color w:val="auto"/>
              </w:rPr>
              <w:t>(2,855)</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7"/>
                <w:szCs w:val="17"/>
                <w:color w:val="auto"/>
              </w:rPr>
              <w:t>(2,617)</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7"/>
                <w:szCs w:val="17"/>
                <w:color w:val="auto"/>
              </w:rPr>
              <w:t>(3,738)</w:t>
            </w:r>
          </w:p>
        </w:tc>
        <w:tc>
          <w:tcPr>
            <w:tcW w:w="80" w:type="dxa"/>
            <w:vAlign w:val="bottom"/>
          </w:tcPr>
          <w:p>
            <w:pPr>
              <w:spacing w:after="0"/>
              <w:rPr>
                <w:sz w:val="17"/>
                <w:szCs w:val="17"/>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7"/>
                <w:szCs w:val="17"/>
                <w:color w:val="auto"/>
              </w:rPr>
              <w:t>(8,400)</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(10,778)</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Acquisition-related costs </w:t>
            </w:r>
            <w:r>
              <w:rPr>
                <w:rFonts w:ascii="Arial" w:cs="Arial" w:eastAsia="Arial" w:hAnsi="Arial"/>
                <w:sz w:val="17"/>
                <w:szCs w:val="17"/>
                <w:i w:val="1"/>
                <w:iCs w:val="1"/>
                <w:color w:val="auto"/>
              </w:rPr>
              <w:t>(a)</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(79)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 xml:space="preserve">Restructuring and other exit-related costs </w:t>
            </w:r>
            <w:r>
              <w:rPr>
                <w:rFonts w:ascii="Arial" w:cs="Arial" w:eastAsia="Arial" w:hAnsi="Arial"/>
                <w:sz w:val="17"/>
                <w:szCs w:val="17"/>
                <w:i w:val="1"/>
                <w:iCs w:val="1"/>
                <w:color w:val="auto"/>
              </w:rPr>
              <w:t>(b)</w:t>
            </w:r>
          </w:p>
        </w:tc>
        <w:tc>
          <w:tcPr>
            <w:tcW w:w="1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400"/>
              <w:spacing w:after="0"/>
              <w:rPr>
                <w:sz w:val="20"/>
                <w:szCs w:val="20"/>
                <w:color w:val="auto"/>
              </w:rPr>
            </w:pPr>
            <w:r>
              <w:rPr>
                <w:rFonts w:ascii="Arial" w:cs="Arial" w:eastAsia="Arial" w:hAnsi="Arial"/>
                <w:sz w:val="17"/>
                <w:szCs w:val="17"/>
                <w:color w:val="auto"/>
              </w:rPr>
              <w:t>48</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7"/>
                <w:szCs w:val="17"/>
                <w:color w:val="auto"/>
              </w:rPr>
              <w:t>(795)</w:t>
            </w:r>
          </w:p>
        </w:tc>
        <w:tc>
          <w:tcPr>
            <w:tcW w:w="80" w:type="dxa"/>
            <w:vAlign w:val="bottom"/>
          </w:tcPr>
          <w:p>
            <w:pPr>
              <w:spacing w:after="0"/>
              <w:rPr>
                <w:sz w:val="17"/>
                <w:szCs w:val="17"/>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(795)</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Litigation settlement </w:t>
            </w:r>
            <w:r>
              <w:rPr>
                <w:rFonts w:ascii="Arial" w:cs="Arial" w:eastAsia="Arial" w:hAnsi="Arial"/>
                <w:sz w:val="17"/>
                <w:szCs w:val="17"/>
                <w:i w:val="1"/>
                <w:iCs w:val="1"/>
                <w:color w:val="auto"/>
              </w:rPr>
              <w:t>(c)</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100"/>
              <w:spacing w:after="0"/>
              <w:rPr>
                <w:sz w:val="20"/>
                <w:szCs w:val="20"/>
                <w:color w:val="auto"/>
              </w:rPr>
            </w:pPr>
            <w:r>
              <w:rPr>
                <w:rFonts w:ascii="Arial" w:cs="Arial" w:eastAsia="Arial" w:hAnsi="Arial"/>
                <w:sz w:val="17"/>
                <w:szCs w:val="17"/>
                <w:color w:val="auto"/>
              </w:rPr>
              <w:t>(1,600)</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(1,600)</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10"/>
        </w:trPr>
        <w:tc>
          <w:tcPr>
            <w:tcW w:w="5540" w:type="dxa"/>
            <w:vAlign w:val="bottom"/>
            <w:gridSpan w:val="2"/>
          </w:tcPr>
          <w:p>
            <w:pPr>
              <w:spacing w:after="0"/>
              <w:rPr>
                <w:sz w:val="20"/>
                <w:szCs w:val="20"/>
                <w:color w:val="auto"/>
              </w:rPr>
            </w:pPr>
            <w:r>
              <w:rPr>
                <w:rFonts w:ascii="Arial" w:cs="Arial" w:eastAsia="Arial" w:hAnsi="Arial"/>
                <w:sz w:val="17"/>
                <w:szCs w:val="17"/>
                <w:color w:val="auto"/>
              </w:rPr>
              <w:t>Non-GAAP selling and marketing</w:t>
            </w: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29,955</w:t>
            </w: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31,380</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rPr>
              <w:t>$</w:t>
            </w:r>
          </w:p>
        </w:tc>
        <w:tc>
          <w:tcPr>
            <w:tcW w:w="6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32,963</w:t>
            </w:r>
          </w:p>
        </w:tc>
        <w:tc>
          <w:tcPr>
            <w:tcW w:w="480" w:type="dxa"/>
            <w:vAlign w:val="bottom"/>
          </w:tcPr>
          <w:p>
            <w:pPr>
              <w:spacing w:after="0"/>
              <w:rPr>
                <w:sz w:val="18"/>
                <w:szCs w:val="18"/>
                <w:color w:val="auto"/>
              </w:rPr>
            </w:pPr>
          </w:p>
        </w:tc>
        <w:tc>
          <w:tcPr>
            <w:tcW w:w="80" w:type="dxa"/>
            <w:vAlign w:val="bottom"/>
            <w:tcBorders>
              <w:top w:val="single" w:sz="8" w:color="auto"/>
              <w:bottom w:val="single" w:sz="8" w:color="auto"/>
            </w:tcBorders>
          </w:tcPr>
          <w:p>
            <w:pPr>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96,717</w:t>
            </w:r>
          </w:p>
        </w:tc>
        <w:tc>
          <w:tcPr>
            <w:tcW w:w="460" w:type="dxa"/>
            <w:vAlign w:val="bottom"/>
          </w:tcPr>
          <w:p>
            <w:pPr>
              <w:spacing w:after="0"/>
              <w:rPr>
                <w:sz w:val="18"/>
                <w:szCs w:val="18"/>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auto"/>
                <w:w w:val="84"/>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auto"/>
              </w:rPr>
              <w:t>104,381</w:t>
            </w: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restart"/>
          </w:tcPr>
          <w:p>
            <w:pPr>
              <w:spacing w:after="0"/>
              <w:rPr>
                <w:sz w:val="18"/>
                <w:szCs w:val="18"/>
                <w:color w:val="auto"/>
              </w:rPr>
            </w:pPr>
          </w:p>
        </w:tc>
        <w:tc>
          <w:tcPr>
            <w:tcW w:w="55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GAAP general and administrative:</w:t>
            </w: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33,473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31,333</w:t>
            </w:r>
          </w:p>
        </w:tc>
        <w:tc>
          <w:tcPr>
            <w:tcW w:w="24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26,589</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95,379</w:t>
            </w:r>
          </w:p>
        </w:tc>
        <w:tc>
          <w:tcPr>
            <w:tcW w:w="100" w:type="dxa"/>
            <w:vAlign w:val="bottom"/>
            <w:shd w:val="clear" w:color="auto" w:fill="CCEEFF"/>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80,104</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Share-based compensation</w:t>
            </w:r>
          </w:p>
        </w:tc>
        <w:tc>
          <w:tcPr>
            <w:tcW w:w="160" w:type="dxa"/>
            <w:vAlign w:val="bottom"/>
          </w:tcPr>
          <w:p>
            <w:pPr>
              <w:spacing w:after="0"/>
              <w:rPr>
                <w:sz w:val="17"/>
                <w:szCs w:val="17"/>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7"/>
                <w:szCs w:val="17"/>
                <w:color w:val="auto"/>
              </w:rPr>
              <w:t>(5,307)</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7"/>
                <w:szCs w:val="17"/>
                <w:color w:val="auto"/>
              </w:rPr>
              <w:t>(6,394)</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7"/>
                <w:szCs w:val="17"/>
                <w:color w:val="auto"/>
              </w:rPr>
              <w:t>(6,848)</w:t>
            </w:r>
          </w:p>
        </w:tc>
        <w:tc>
          <w:tcPr>
            <w:tcW w:w="80" w:type="dxa"/>
            <w:vAlign w:val="bottom"/>
          </w:tcPr>
          <w:p>
            <w:pPr>
              <w:spacing w:after="0"/>
              <w:rPr>
                <w:sz w:val="17"/>
                <w:szCs w:val="17"/>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7"/>
                <w:szCs w:val="17"/>
                <w:color w:val="auto"/>
              </w:rPr>
              <w:t>(16,075)</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(18,416)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Acquisition-related costs </w:t>
            </w:r>
            <w:r>
              <w:rPr>
                <w:rFonts w:ascii="Arial" w:cs="Arial" w:eastAsia="Arial" w:hAnsi="Arial"/>
                <w:sz w:val="17"/>
                <w:szCs w:val="17"/>
                <w:i w:val="1"/>
                <w:iCs w:val="1"/>
                <w:color w:val="auto"/>
              </w:rPr>
              <w:t>(a)</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7"/>
                <w:szCs w:val="17"/>
                <w:color w:val="auto"/>
              </w:rPr>
              <w:t>(19)</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7"/>
                <w:szCs w:val="17"/>
                <w:color w:val="auto"/>
              </w:rPr>
              <w:t>(59)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 xml:space="preserve">Restructuring and other exit-related costs </w:t>
            </w:r>
            <w:r>
              <w:rPr>
                <w:rFonts w:ascii="Arial" w:cs="Arial" w:eastAsia="Arial" w:hAnsi="Arial"/>
                <w:sz w:val="17"/>
                <w:szCs w:val="17"/>
                <w:i w:val="1"/>
                <w:iCs w:val="1"/>
                <w:color w:val="auto"/>
              </w:rPr>
              <w:t>(b)</w:t>
            </w:r>
          </w:p>
        </w:tc>
        <w:tc>
          <w:tcPr>
            <w:tcW w:w="160" w:type="dxa"/>
            <w:vAlign w:val="bottom"/>
          </w:tcPr>
          <w:p>
            <w:pPr>
              <w:spacing w:after="0"/>
              <w:rPr>
                <w:sz w:val="17"/>
                <w:szCs w:val="17"/>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7"/>
                <w:szCs w:val="17"/>
                <w:color w:val="auto"/>
              </w:rPr>
              <w:t>(1,115)</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7"/>
                <w:szCs w:val="17"/>
                <w:color w:val="auto"/>
              </w:rPr>
              <w:t>(371)</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420"/>
              <w:spacing w:after="0"/>
              <w:rPr>
                <w:sz w:val="20"/>
                <w:szCs w:val="20"/>
                <w:color w:val="auto"/>
              </w:rPr>
            </w:pPr>
            <w:r>
              <w:rPr>
                <w:rFonts w:ascii="Arial" w:cs="Arial" w:eastAsia="Arial" w:hAnsi="Arial"/>
                <w:sz w:val="17"/>
                <w:szCs w:val="17"/>
                <w:color w:val="auto"/>
              </w:rPr>
              <w:t>(527)</w:t>
            </w:r>
          </w:p>
        </w:tc>
        <w:tc>
          <w:tcPr>
            <w:tcW w:w="80" w:type="dxa"/>
            <w:vAlign w:val="bottom"/>
          </w:tcPr>
          <w:p>
            <w:pPr>
              <w:spacing w:after="0"/>
              <w:rPr>
                <w:sz w:val="17"/>
                <w:szCs w:val="17"/>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7"/>
                <w:szCs w:val="17"/>
                <w:color w:val="auto"/>
              </w:rPr>
              <w:t>(1,844)</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(933)</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shd w:val="clear" w:color="auto" w:fill="CCEEFF"/>
          </w:tcPr>
          <w:p>
            <w:pPr>
              <w:ind w:left="340"/>
              <w:spacing w:after="0"/>
              <w:rPr>
                <w:sz w:val="20"/>
                <w:szCs w:val="20"/>
                <w:color w:val="auto"/>
              </w:rPr>
            </w:pPr>
            <w:r>
              <w:rPr>
                <w:rFonts w:ascii="Arial" w:cs="Arial" w:eastAsia="Arial" w:hAnsi="Arial"/>
                <w:sz w:val="17"/>
                <w:szCs w:val="17"/>
                <w:color w:val="auto"/>
              </w:rPr>
              <w:t xml:space="preserve">Litigation settlement </w:t>
            </w:r>
            <w:r>
              <w:rPr>
                <w:rFonts w:ascii="Arial" w:cs="Arial" w:eastAsia="Arial" w:hAnsi="Arial"/>
                <w:sz w:val="17"/>
                <w:szCs w:val="17"/>
                <w:i w:val="1"/>
                <w:iCs w:val="1"/>
                <w:color w:val="auto"/>
              </w:rPr>
              <w:t>(c)</w:t>
            </w:r>
          </w:p>
        </w:tc>
        <w:tc>
          <w:tcPr>
            <w:tcW w:w="16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ind w:right="240"/>
              <w:spacing w:after="0"/>
              <w:rPr>
                <w:sz w:val="20"/>
                <w:szCs w:val="20"/>
                <w:color w:val="auto"/>
              </w:rPr>
            </w:pPr>
            <w:r>
              <w:rPr>
                <w:rFonts w:ascii="Arial" w:cs="Arial" w:eastAsia="Arial" w:hAnsi="Arial"/>
                <w:sz w:val="17"/>
                <w:szCs w:val="17"/>
                <w:color w:val="auto"/>
              </w:rPr>
              <w:t>—</w:t>
            </w:r>
          </w:p>
        </w:tc>
        <w:tc>
          <w:tcPr>
            <w:tcW w:w="3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340"/>
              <w:spacing w:after="0"/>
              <w:rPr>
                <w:sz w:val="20"/>
                <w:szCs w:val="20"/>
                <w:color w:val="auto"/>
              </w:rPr>
            </w:pPr>
            <w:r>
              <w:rPr>
                <w:rFonts w:ascii="Arial" w:cs="Arial" w:eastAsia="Arial" w:hAnsi="Arial"/>
                <w:sz w:val="17"/>
                <w:szCs w:val="17"/>
                <w:color w:val="auto"/>
              </w:rPr>
              <w:t>(475)</w:t>
            </w:r>
          </w:p>
        </w:tc>
        <w:tc>
          <w:tcPr>
            <w:tcW w:w="8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100" w:type="dxa"/>
            <w:vAlign w:val="bottom"/>
            <w:gridSpan w:val="2"/>
            <w:shd w:val="clear" w:color="auto" w:fill="CCEEFF"/>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(2,475)</w:t>
            </w:r>
          </w:p>
        </w:tc>
        <w:tc>
          <w:tcPr>
            <w:tcW w:w="100" w:type="dxa"/>
            <w:vAlign w:val="bottom"/>
            <w:shd w:val="clear" w:color="auto" w:fill="CCEEFF"/>
          </w:tcPr>
          <w:p>
            <w:pPr>
              <w:spacing w:after="0"/>
              <w:rPr>
                <w:sz w:val="17"/>
                <w:szCs w:val="17"/>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7"/>
                <w:szCs w:val="17"/>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520" w:type="dxa"/>
            <w:vAlign w:val="bottom"/>
          </w:tcPr>
          <w:p>
            <w:pPr>
              <w:ind w:left="340"/>
              <w:spacing w:after="0"/>
              <w:rPr>
                <w:sz w:val="20"/>
                <w:szCs w:val="20"/>
                <w:color w:val="auto"/>
              </w:rPr>
            </w:pPr>
            <w:r>
              <w:rPr>
                <w:rFonts w:ascii="Arial" w:cs="Arial" w:eastAsia="Arial" w:hAnsi="Arial"/>
                <w:sz w:val="17"/>
                <w:szCs w:val="17"/>
                <w:color w:val="auto"/>
              </w:rPr>
              <w:t xml:space="preserve">Other </w:t>
            </w:r>
            <w:r>
              <w:rPr>
                <w:rFonts w:ascii="Arial" w:cs="Arial" w:eastAsia="Arial" w:hAnsi="Arial"/>
                <w:sz w:val="17"/>
                <w:szCs w:val="17"/>
                <w:i w:val="1"/>
                <w:iCs w:val="1"/>
                <w:color w:val="auto"/>
              </w:rPr>
              <w:t>(d)</w:t>
            </w:r>
          </w:p>
        </w:tc>
        <w:tc>
          <w:tcPr>
            <w:tcW w:w="160" w:type="dxa"/>
            <w:vAlign w:val="bottom"/>
          </w:tcPr>
          <w:p>
            <w:pPr>
              <w:spacing w:after="0"/>
              <w:rPr>
                <w:sz w:val="17"/>
                <w:szCs w:val="17"/>
                <w:color w:val="auto"/>
              </w:rPr>
            </w:pPr>
          </w:p>
        </w:tc>
        <w:tc>
          <w:tcPr>
            <w:tcW w:w="780" w:type="dxa"/>
            <w:vAlign w:val="bottom"/>
            <w:gridSpan w:val="2"/>
          </w:tcPr>
          <w:p>
            <w:pPr>
              <w:jc w:val="right"/>
              <w:ind w:right="100"/>
              <w:spacing w:after="0"/>
              <w:rPr>
                <w:sz w:val="20"/>
                <w:szCs w:val="20"/>
                <w:color w:val="auto"/>
              </w:rPr>
            </w:pPr>
            <w:r>
              <w:rPr>
                <w:rFonts w:ascii="Arial" w:cs="Arial" w:eastAsia="Arial" w:hAnsi="Arial"/>
                <w:sz w:val="17"/>
                <w:szCs w:val="17"/>
                <w:color w:val="auto"/>
              </w:rPr>
              <w:t>(2,318)</w:t>
            </w:r>
          </w:p>
        </w:tc>
        <w:tc>
          <w:tcPr>
            <w:tcW w:w="3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7"/>
                <w:szCs w:val="17"/>
                <w:color w:val="auto"/>
              </w:rPr>
              <w:t>(2,155)</w:t>
            </w: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100" w:type="dxa"/>
            <w:vAlign w:val="bottom"/>
            <w:gridSpan w:val="2"/>
          </w:tcPr>
          <w:p>
            <w:pPr>
              <w:jc w:val="right"/>
              <w:ind w:right="560"/>
              <w:spacing w:after="0"/>
              <w:rPr>
                <w:sz w:val="20"/>
                <w:szCs w:val="20"/>
                <w:color w:val="auto"/>
              </w:rPr>
            </w:pPr>
            <w:r>
              <w:rPr>
                <w:rFonts w:ascii="Arial" w:cs="Arial" w:eastAsia="Arial" w:hAnsi="Arial"/>
                <w:sz w:val="17"/>
                <w:szCs w:val="17"/>
                <w:color w:val="auto"/>
              </w:rPr>
              <w:t>—</w:t>
            </w:r>
          </w:p>
        </w:tc>
        <w:tc>
          <w:tcPr>
            <w:tcW w:w="80" w:type="dxa"/>
            <w:vAlign w:val="bottom"/>
          </w:tcPr>
          <w:p>
            <w:pPr>
              <w:spacing w:after="0"/>
              <w:rPr>
                <w:sz w:val="17"/>
                <w:szCs w:val="17"/>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7"/>
                <w:szCs w:val="17"/>
                <w:color w:val="auto"/>
              </w:rPr>
              <w:t>(4,473)</w:t>
            </w:r>
          </w:p>
        </w:tc>
        <w:tc>
          <w:tcPr>
            <w:tcW w:w="100" w:type="dxa"/>
            <w:vAlign w:val="bottom"/>
          </w:tcPr>
          <w:p>
            <w:pPr>
              <w:spacing w:after="0"/>
              <w:rPr>
                <w:sz w:val="17"/>
                <w:szCs w:val="17"/>
                <w:color w:val="auto"/>
              </w:rPr>
            </w:pPr>
          </w:p>
        </w:tc>
        <w:tc>
          <w:tcPr>
            <w:tcW w:w="880" w:type="dxa"/>
            <w:vAlign w:val="bottom"/>
            <w:gridSpan w:val="2"/>
          </w:tcPr>
          <w:p>
            <w:pPr>
              <w:jc w:val="right"/>
              <w:ind w:right="140"/>
              <w:spacing w:after="0"/>
              <w:rPr>
                <w:sz w:val="20"/>
                <w:szCs w:val="20"/>
                <w:color w:val="auto"/>
              </w:rPr>
            </w:pPr>
            <w:r>
              <w:rPr>
                <w:rFonts w:ascii="Arial" w:cs="Arial" w:eastAsia="Arial" w:hAnsi="Arial"/>
                <w:sz w:val="17"/>
                <w:szCs w:val="17"/>
                <w:color w:val="auto"/>
              </w:rPr>
              <w:t>(500)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5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vMerge w:val="continue"/>
          </w:tcPr>
          <w:p>
            <w:pPr>
              <w:spacing w:after="0"/>
              <w:rPr>
                <w:sz w:val="17"/>
                <w:szCs w:val="17"/>
                <w:color w:val="auto"/>
              </w:rPr>
            </w:pPr>
          </w:p>
        </w:tc>
        <w:tc>
          <w:tcPr>
            <w:tcW w:w="5520" w:type="dxa"/>
            <w:vAlign w:val="bottom"/>
            <w:shd w:val="clear" w:color="auto" w:fill="CCEEFF"/>
          </w:tcPr>
          <w:p>
            <w:pPr>
              <w:spacing w:after="0"/>
              <w:rPr>
                <w:sz w:val="20"/>
                <w:szCs w:val="20"/>
                <w:color w:val="auto"/>
              </w:rPr>
            </w:pPr>
            <w:r>
              <w:rPr>
                <w:rFonts w:ascii="Arial" w:cs="Arial" w:eastAsia="Arial" w:hAnsi="Arial"/>
                <w:sz w:val="17"/>
                <w:szCs w:val="17"/>
                <w:color w:val="auto"/>
              </w:rPr>
              <w:t>Non-GAAP general and administrative</w:t>
            </w:r>
          </w:p>
        </w:tc>
        <w:tc>
          <w:tcPr>
            <w:tcW w:w="160" w:type="dxa"/>
            <w:vAlign w:val="bottom"/>
            <w:shd w:val="clear" w:color="auto" w:fill="CCEEFF"/>
          </w:tcPr>
          <w:p>
            <w:pPr>
              <w:spacing w:after="0"/>
              <w:rPr>
                <w:sz w:val="20"/>
                <w:szCs w:val="20"/>
                <w:color w:val="auto"/>
              </w:rPr>
            </w:pPr>
            <w:r>
              <w:rPr>
                <w:rFonts w:ascii="Arial" w:cs="Arial" w:eastAsia="Arial" w:hAnsi="Arial"/>
                <w:sz w:val="17"/>
                <w:szCs w:val="17"/>
                <w:color w:val="auto"/>
              </w:rPr>
              <w:t>$</w:t>
            </w:r>
          </w:p>
        </w:tc>
        <w:tc>
          <w:tcPr>
            <w:tcW w:w="780" w:type="dxa"/>
            <w:vAlign w:val="bottom"/>
            <w:gridSpan w:val="2"/>
            <w:shd w:val="clear" w:color="auto" w:fill="CCEEFF"/>
          </w:tcPr>
          <w:p>
            <w:pPr>
              <w:jc w:val="right"/>
              <w:ind w:right="160"/>
              <w:spacing w:after="0"/>
              <w:rPr>
                <w:sz w:val="20"/>
                <w:szCs w:val="20"/>
                <w:color w:val="auto"/>
              </w:rPr>
            </w:pPr>
            <w:r>
              <w:rPr>
                <w:rFonts w:ascii="Arial" w:cs="Arial" w:eastAsia="Arial" w:hAnsi="Arial"/>
                <w:sz w:val="17"/>
                <w:szCs w:val="17"/>
                <w:color w:val="auto"/>
              </w:rPr>
              <w:t>24,733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7"/>
                <w:szCs w:val="17"/>
                <w:color w:val="auto"/>
              </w:rPr>
              <w:t>$</w:t>
            </w:r>
          </w:p>
        </w:tc>
        <w:tc>
          <w:tcPr>
            <w:tcW w:w="960" w:type="dxa"/>
            <w:vAlign w:val="bottom"/>
            <w:gridSpan w:val="2"/>
            <w:shd w:val="clear" w:color="auto" w:fill="CCEEFF"/>
          </w:tcPr>
          <w:p>
            <w:pPr>
              <w:jc w:val="right"/>
              <w:ind w:right="400"/>
              <w:spacing w:after="0"/>
              <w:rPr>
                <w:sz w:val="20"/>
                <w:szCs w:val="20"/>
                <w:color w:val="auto"/>
              </w:rPr>
            </w:pPr>
            <w:r>
              <w:rPr>
                <w:rFonts w:ascii="Arial" w:cs="Arial" w:eastAsia="Arial" w:hAnsi="Arial"/>
                <w:sz w:val="17"/>
                <w:szCs w:val="17"/>
                <w:color w:val="auto"/>
              </w:rPr>
              <w:t>21,938</w:t>
            </w:r>
          </w:p>
        </w:tc>
        <w:tc>
          <w:tcPr>
            <w:tcW w:w="240" w:type="dxa"/>
            <w:vAlign w:val="bottom"/>
            <w:gridSpan w:val="2"/>
            <w:shd w:val="clear" w:color="auto" w:fill="CCEEFF"/>
          </w:tcPr>
          <w:p>
            <w:pPr>
              <w:ind w:left="80"/>
              <w:spacing w:after="0"/>
              <w:rPr>
                <w:sz w:val="20"/>
                <w:szCs w:val="20"/>
                <w:color w:val="auto"/>
              </w:rPr>
            </w:pPr>
            <w:r>
              <w:rPr>
                <w:rFonts w:ascii="Arial" w:cs="Arial" w:eastAsia="Arial" w:hAnsi="Arial"/>
                <w:sz w:val="17"/>
                <w:szCs w:val="17"/>
                <w:color w:val="auto"/>
              </w:rPr>
              <w:t>$</w:t>
            </w:r>
          </w:p>
        </w:tc>
        <w:tc>
          <w:tcPr>
            <w:tcW w:w="1100" w:type="dxa"/>
            <w:vAlign w:val="bottom"/>
            <w:gridSpan w:val="2"/>
            <w:shd w:val="clear" w:color="auto" w:fill="CCEEFF"/>
          </w:tcPr>
          <w:p>
            <w:pPr>
              <w:jc w:val="right"/>
              <w:ind w:right="480"/>
              <w:spacing w:after="0"/>
              <w:rPr>
                <w:sz w:val="20"/>
                <w:szCs w:val="20"/>
                <w:color w:val="auto"/>
              </w:rPr>
            </w:pPr>
            <w:r>
              <w:rPr>
                <w:rFonts w:ascii="Arial" w:cs="Arial" w:eastAsia="Arial" w:hAnsi="Arial"/>
                <w:sz w:val="17"/>
                <w:szCs w:val="17"/>
                <w:color w:val="auto"/>
              </w:rPr>
              <w:t>19,195</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1160" w:type="dxa"/>
            <w:vAlign w:val="bottom"/>
            <w:gridSpan w:val="2"/>
            <w:shd w:val="clear" w:color="auto" w:fill="CCEEFF"/>
          </w:tcPr>
          <w:p>
            <w:pPr>
              <w:jc w:val="right"/>
              <w:ind w:right="460"/>
              <w:spacing w:after="0"/>
              <w:rPr>
                <w:sz w:val="20"/>
                <w:szCs w:val="20"/>
                <w:color w:val="auto"/>
              </w:rPr>
            </w:pPr>
            <w:r>
              <w:rPr>
                <w:rFonts w:ascii="Arial" w:cs="Arial" w:eastAsia="Arial" w:hAnsi="Arial"/>
                <w:sz w:val="17"/>
                <w:szCs w:val="17"/>
                <w:color w:val="auto"/>
              </w:rPr>
              <w:t>70,512</w:t>
            </w:r>
          </w:p>
        </w:tc>
        <w:tc>
          <w:tcPr>
            <w:tcW w:w="100" w:type="dxa"/>
            <w:vAlign w:val="bottom"/>
            <w:shd w:val="clear" w:color="auto" w:fill="CCEEFF"/>
          </w:tcPr>
          <w:p>
            <w:pPr>
              <w:spacing w:after="0"/>
              <w:rPr>
                <w:sz w:val="20"/>
                <w:szCs w:val="20"/>
                <w:color w:val="auto"/>
              </w:rPr>
            </w:pPr>
            <w:r>
              <w:rPr>
                <w:rFonts w:ascii="Arial" w:cs="Arial" w:eastAsia="Arial" w:hAnsi="Arial"/>
                <w:sz w:val="17"/>
                <w:szCs w:val="17"/>
                <w:color w:val="auto"/>
                <w:w w:val="84"/>
              </w:rPr>
              <w:t>$</w:t>
            </w:r>
          </w:p>
        </w:tc>
        <w:tc>
          <w:tcPr>
            <w:tcW w:w="880" w:type="dxa"/>
            <w:vAlign w:val="bottom"/>
            <w:gridSpan w:val="2"/>
            <w:shd w:val="clear" w:color="auto" w:fill="CCEEFF"/>
          </w:tcPr>
          <w:p>
            <w:pPr>
              <w:jc w:val="right"/>
              <w:ind w:right="180"/>
              <w:spacing w:after="0"/>
              <w:rPr>
                <w:sz w:val="20"/>
                <w:szCs w:val="20"/>
                <w:color w:val="auto"/>
              </w:rPr>
            </w:pPr>
            <w:r>
              <w:rPr>
                <w:rFonts w:ascii="Arial" w:cs="Arial" w:eastAsia="Arial" w:hAnsi="Arial"/>
                <w:sz w:val="17"/>
                <w:szCs w:val="17"/>
                <w:color w:val="auto"/>
              </w:rPr>
              <w:t>60,196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5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Acquisition-related costs include the amortization of retention bonuses required by the terms of an acquisition.</w:t>
      </w:r>
    </w:p>
    <w:p>
      <w:pPr>
        <w:spacing w:after="0" w:line="23" w:lineRule="exact"/>
        <w:rPr>
          <w:rFonts w:ascii="Arial" w:cs="Arial" w:eastAsia="Arial" w:hAnsi="Arial"/>
          <w:sz w:val="18"/>
          <w:szCs w:val="18"/>
          <w:i w:val="1"/>
          <w:iCs w:val="1"/>
          <w:color w:val="auto"/>
        </w:rPr>
      </w:pPr>
    </w:p>
    <w:p>
      <w:pPr>
        <w:ind w:left="460" w:right="300" w:hanging="452"/>
        <w:spacing w:after="0" w:line="250" w:lineRule="auto"/>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Restructuring and other exit-related costs include costs that qualify under U.S. GAAP as restructuring costs, as well as operating expenses related to assets classified as held-for-sale that did not qualify as discontinued operations.</w:t>
      </w: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The amounts recorded do not relate to Marvell's litigation with Carnegie Mellon University.</w:t>
      </w:r>
    </w:p>
    <w:p>
      <w:pPr>
        <w:spacing w:after="0" w:line="9" w:lineRule="exact"/>
        <w:rPr>
          <w:rFonts w:ascii="Arial" w:cs="Arial" w:eastAsia="Arial" w:hAnsi="Arial"/>
          <w:sz w:val="18"/>
          <w:szCs w:val="18"/>
          <w:i w:val="1"/>
          <w:iCs w:val="1"/>
          <w:color w:val="auto"/>
        </w:rPr>
      </w:pPr>
    </w:p>
    <w:p>
      <w:pPr>
        <w:ind w:left="460" w:hanging="452"/>
        <w:spacing w:after="0"/>
        <w:tabs>
          <w:tab w:leader="none" w:pos="460" w:val="left"/>
        </w:tabs>
        <w:numPr>
          <w:ilvl w:val="0"/>
          <w:numId w:val="10"/>
        </w:numPr>
        <w:rPr>
          <w:rFonts w:ascii="Arial" w:cs="Arial" w:eastAsia="Arial" w:hAnsi="Arial"/>
          <w:sz w:val="18"/>
          <w:szCs w:val="18"/>
          <w:i w:val="1"/>
          <w:iCs w:val="1"/>
          <w:color w:val="auto"/>
        </w:rPr>
      </w:pPr>
      <w:r>
        <w:rPr>
          <w:rFonts w:ascii="Arial" w:cs="Arial" w:eastAsia="Arial" w:hAnsi="Arial"/>
          <w:sz w:val="18"/>
          <w:szCs w:val="18"/>
          <w:color w:val="auto"/>
        </w:rPr>
        <w:t>Other includes costs associated with the surety bond to appeal the Carnegie Mellon University judgment.</w:t>
      </w:r>
    </w:p>
    <w:p>
      <w:pPr>
        <w:spacing w:after="0" w:line="9" w:lineRule="exact"/>
        <w:rPr>
          <w:rFonts w:ascii="Arial" w:cs="Arial" w:eastAsia="Arial" w:hAnsi="Arial"/>
          <w:sz w:val="18"/>
          <w:szCs w:val="18"/>
          <w:i w:val="1"/>
          <w:iCs w:val="1"/>
          <w:color w:val="auto"/>
        </w:rPr>
      </w:pPr>
    </w:p>
    <w:p>
      <w:pPr>
        <w:ind w:left="460" w:right="100" w:hanging="452"/>
        <w:spacing w:after="0" w:line="323" w:lineRule="auto"/>
        <w:tabs>
          <w:tab w:leader="none" w:pos="460" w:val="left"/>
        </w:tabs>
        <w:numPr>
          <w:ilvl w:val="0"/>
          <w:numId w:val="10"/>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potential benefits of share-based compensation costs expected to be incurred in future periods but not yet recognized in the financial statements.</w:t>
      </w:r>
    </w:p>
    <w:p>
      <w:pPr>
        <w:sectPr>
          <w:pgSz w:w="11900" w:h="16838" w:orient="portrait"/>
          <w:cols w:equalWidth="0" w:num="1">
            <w:col w:w="11420"/>
          </w:cols>
          <w:pgMar w:left="240" w:top="270" w:right="239" w:bottom="1440" w:gutter="0" w:footer="0" w:header="0"/>
        </w:sectPr>
      </w:pPr>
    </w:p>
    <w:p>
      <w:pPr>
        <w:spacing w:after="0" w:line="7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9</w:t>
      </w:r>
    </w:p>
    <w:p>
      <w:pPr>
        <w:sectPr>
          <w:pgSz w:w="11900" w:h="16838" w:orient="portrait"/>
          <w:cols w:equalWidth="0" w:num="1">
            <w:col w:w="11420"/>
          </w:cols>
          <w:pgMar w:left="240" w:top="270" w:right="239" w:bottom="1440" w:gutter="0" w:footer="0" w:header="0"/>
          <w:type w:val="continuous"/>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Outlook</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52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Note : Amounts represent the midpoint of the expected range</w:t>
            </w: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Q4 FY2015</w:t>
            </w:r>
          </w:p>
        </w:tc>
        <w:tc>
          <w:tcPr>
            <w:tcW w:w="0" w:type="dxa"/>
            <w:vAlign w:val="bottom"/>
          </w:tcPr>
          <w:p>
            <w:pPr>
              <w:spacing w:after="0"/>
              <w:rPr>
                <w:sz w:val="1"/>
                <w:szCs w:val="1"/>
                <w:color w:val="auto"/>
              </w:rPr>
            </w:pPr>
          </w:p>
        </w:tc>
      </w:tr>
      <w:tr>
        <w:trPr>
          <w:trHeight w:val="171"/>
        </w:trPr>
        <w:tc>
          <w:tcPr>
            <w:tcW w:w="10520" w:type="dxa"/>
            <w:vAlign w:val="bottom"/>
            <w:gridSpan w:val="2"/>
            <w:vMerge w:val="continue"/>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vMerge w:val="restart"/>
            <w:shd w:val="clear" w:color="auto" w:fill="CCEEFF"/>
          </w:tcPr>
          <w:p>
            <w:pPr>
              <w:spacing w:after="0"/>
              <w:rPr>
                <w:sz w:val="20"/>
                <w:szCs w:val="20"/>
                <w:color w:val="auto"/>
              </w:rPr>
            </w:pPr>
            <w:r>
              <w:rPr>
                <w:rFonts w:ascii="Arial" w:cs="Arial" w:eastAsia="Arial" w:hAnsi="Arial"/>
                <w:sz w:val="18"/>
                <w:szCs w:val="18"/>
                <w:color w:val="auto"/>
              </w:rPr>
              <w:t>GAAP gross margin</w:t>
            </w:r>
          </w:p>
        </w:tc>
        <w:tc>
          <w:tcPr>
            <w:tcW w:w="8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shd w:val="clear" w:color="auto" w:fill="CCEEFF"/>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amortization of intangible assets and other</w:t>
            </w:r>
          </w:p>
        </w:tc>
        <w:tc>
          <w:tcPr>
            <w:tcW w:w="8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05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gross margin</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Q4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operating expenses</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365</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Pr>
          <w:p>
            <w:pPr>
              <w:spacing w:after="0"/>
              <w:rPr>
                <w:sz w:val="19"/>
                <w:szCs w:val="19"/>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operating expenses</w:t>
            </w:r>
          </w:p>
        </w:tc>
        <w:tc>
          <w:tcPr>
            <w:tcW w:w="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0500" w:type="dxa"/>
            <w:vAlign w:val="bottom"/>
          </w:tcPr>
          <w:p>
            <w:pPr>
              <w:spacing w:after="0" w:line="20" w:lineRule="exact"/>
              <w:rPr>
                <w:sz w:val="1"/>
                <w:szCs w:val="1"/>
                <w:color w:val="auto"/>
              </w:rPr>
            </w:pPr>
          </w:p>
        </w:tc>
        <w:tc>
          <w:tcPr>
            <w:tcW w:w="700" w:type="dxa"/>
            <w:vAlign w:val="bottom"/>
            <w:tcBorders>
              <w:bottom w:val="single" w:sz="8" w:color="auto"/>
            </w:tcBorders>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6"/>
        </w:trPr>
        <w:tc>
          <w:tcPr>
            <w:tcW w:w="20" w:type="dxa"/>
            <w:vAlign w:val="bottom"/>
          </w:tcPr>
          <w:p>
            <w:pPr>
              <w:spacing w:after="0"/>
              <w:rPr>
                <w:sz w:val="24"/>
                <w:szCs w:val="24"/>
                <w:color w:val="auto"/>
              </w:rPr>
            </w:pPr>
          </w:p>
        </w:tc>
        <w:tc>
          <w:tcPr>
            <w:tcW w:w="10500" w:type="dxa"/>
            <w:vAlign w:val="bottom"/>
          </w:tcPr>
          <w:p>
            <w:pPr>
              <w:spacing w:after="0"/>
              <w:rPr>
                <w:sz w:val="24"/>
                <w:szCs w:val="24"/>
                <w:color w:val="auto"/>
              </w:rPr>
            </w:pPr>
          </w:p>
        </w:tc>
        <w:tc>
          <w:tcPr>
            <w:tcW w:w="90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4"/>
              </w:rPr>
              <w:t>Q4 FY2015</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4"/>
              </w:rPr>
              <w:t>Outlook</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5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GAAP diluted earnings per share</w:t>
            </w: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500" w:type="dxa"/>
            <w:vAlign w:val="bottom"/>
          </w:tcPr>
          <w:p>
            <w:pPr>
              <w:ind w:left="340"/>
              <w:spacing w:after="0"/>
              <w:rPr>
                <w:sz w:val="20"/>
                <w:szCs w:val="20"/>
                <w:color w:val="auto"/>
              </w:rPr>
            </w:pPr>
            <w:r>
              <w:rPr>
                <w:rFonts w:ascii="Arial" w:cs="Arial" w:eastAsia="Arial" w:hAnsi="Arial"/>
                <w:sz w:val="18"/>
                <w:szCs w:val="18"/>
                <w:color w:val="auto"/>
              </w:rPr>
              <w:t>Share-based compensation, restructuring, amortization of intangible assets and other</w:t>
            </w:r>
          </w:p>
        </w:tc>
        <w:tc>
          <w:tcPr>
            <w:tcW w:w="8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0.08</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0500" w:type="dxa"/>
            <w:vAlign w:val="bottom"/>
            <w:shd w:val="clear" w:color="auto" w:fill="CCEEFF"/>
          </w:tcPr>
          <w:p>
            <w:pPr>
              <w:spacing w:after="0"/>
              <w:rPr>
                <w:sz w:val="20"/>
                <w:szCs w:val="20"/>
                <w:color w:val="auto"/>
              </w:rPr>
            </w:pPr>
            <w:r>
              <w:rPr>
                <w:rFonts w:ascii="Arial" w:cs="Arial" w:eastAsia="Arial" w:hAnsi="Arial"/>
                <w:sz w:val="18"/>
                <w:szCs w:val="18"/>
                <w:color w:val="auto"/>
              </w:rPr>
              <w:t>Non-GAAP diluted earnings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0"/>
        </w:trPr>
        <w:tc>
          <w:tcPr>
            <w:tcW w:w="10520" w:type="dxa"/>
            <w:vAlign w:val="bottom"/>
            <w:gridSpan w:val="2"/>
            <w:vMerge w:val="restart"/>
          </w:tcPr>
          <w:p>
            <w:pPr>
              <w:jc w:val="right"/>
              <w:ind w:right="4630"/>
              <w:spacing w:after="0"/>
              <w:rPr>
                <w:sz w:val="20"/>
                <w:szCs w:val="20"/>
                <w:color w:val="auto"/>
              </w:rPr>
            </w:pPr>
            <w:r>
              <w:rPr>
                <w:rFonts w:ascii="Arial" w:cs="Arial" w:eastAsia="Arial" w:hAnsi="Arial"/>
                <w:sz w:val="18"/>
                <w:szCs w:val="18"/>
                <w:color w:val="auto"/>
              </w:rPr>
              <w:t>10</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05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
      <w:numFmt w:val="bullet"/>
      <w:start w:val="1"/>
    </w:lvl>
  </w:abstractNum>
  <w:abstractNum w:abstractNumId="2">
    <w:nsid w:val="2EB141F2"/>
    <w:multiLevelType w:val="hybridMultilevel"/>
    <w:lvl w:ilvl="0">
      <w:lvlJc w:val="left"/>
      <w:lvlText w:val="•"/>
      <w:numFmt w:val="bullet"/>
      <w:start w:val="1"/>
    </w:lvl>
  </w:abstractNum>
  <w:abstractNum w:abstractNumId="3">
    <w:nsid w:val="41B71EFB"/>
    <w:multiLevelType w:val="hybridMultilevel"/>
    <w:lvl w:ilvl="0">
      <w:lvlJc w:val="left"/>
      <w:lvlText w:val="•"/>
      <w:numFmt w:val="bullet"/>
      <w:start w:val="1"/>
    </w:lvl>
  </w:abstractNum>
  <w:abstractNum w:abstractNumId="4">
    <w:nsid w:val="79E2A9E3"/>
    <w:multiLevelType w:val="hybridMultilevel"/>
    <w:lvl w:ilvl="0">
      <w:lvlJc w:val="left"/>
      <w:lvlText w:val="•"/>
      <w:numFmt w:val="bullet"/>
      <w:start w:val="1"/>
    </w:lvl>
  </w:abstractNum>
  <w:abstractNum w:abstractNumId="5">
    <w:nsid w:val="7545E146"/>
    <w:multiLevelType w:val="hybridMultilevel"/>
    <w:lvl w:ilvl="0">
      <w:lvlJc w:val="left"/>
      <w:lvlText w:val="(%1)"/>
      <w:numFmt w:val="lowerLetter"/>
      <w:start w:val="4"/>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
      <w:numFmt w:val="bullet"/>
      <w:start w:val="1"/>
    </w:lvl>
  </w:abstractNum>
  <w:abstractNum w:abstractNumId="8">
    <w:nsid w:val="12200854"/>
    <w:multiLevelType w:val="hybridMultilevel"/>
    <w:lvl w:ilvl="0">
      <w:lvlJc w:val="left"/>
      <w:lvlText w:val="(%1)"/>
      <w:numFmt w:val="lowerLetter"/>
      <w:start w:val="1"/>
    </w:lvl>
  </w:abstractNum>
  <w:abstractNum w:abstractNumId="9">
    <w:nsid w:val="4DB127F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2019-12-06T18:46:01Z</dcterms:created>
  <dcterms:modified xsi:type="dcterms:W3CDTF">2019-12-06T18:46:01Z</dcterms:modified>
</cp:coreProperties>
</file>