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91"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Date of Report (Date of earliest event reported): July 1,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240665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5" w:lineRule="exact"/>
        <w:rPr>
          <w:sz w:val="24"/>
          <w:szCs w:val="24"/>
          <w:color w:val="auto"/>
        </w:rPr>
      </w:pPr>
    </w:p>
    <w:p>
      <w:pPr>
        <w:jc w:val="center"/>
        <w:ind w:right="-11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140"/>
          </w:cols>
          <w:pgMar w:left="240" w:top="368" w:right="359" w:bottom="1440" w:gutter="0" w:footer="0" w:header="0"/>
          <w:type w:val="continuous"/>
        </w:sectPr>
      </w:pPr>
    </w:p>
    <w:p>
      <w:pPr>
        <w:spacing w:after="0" w:line="12" w:lineRule="exact"/>
        <w:rPr>
          <w:sz w:val="24"/>
          <w:szCs w:val="24"/>
          <w:color w:val="auto"/>
        </w:rPr>
      </w:pPr>
    </w:p>
    <w:p>
      <w:pPr>
        <w:jc w:val="center"/>
        <w:ind w:right="400"/>
        <w:spacing w:after="0"/>
        <w:rPr>
          <w:sz w:val="20"/>
          <w:szCs w:val="20"/>
          <w:color w:val="auto"/>
        </w:rPr>
      </w:pPr>
      <w:r>
        <w:rPr>
          <w:rFonts w:ascii="Arial" w:cs="Arial" w:eastAsia="Arial" w:hAnsi="Arial"/>
          <w:sz w:val="13"/>
          <w:szCs w:val="13"/>
          <w:b w:val="1"/>
          <w:bCs w:val="1"/>
          <w:color w:val="auto"/>
        </w:rPr>
        <w:t>(State or other jurisdiction of</w:t>
      </w:r>
    </w:p>
    <w:p>
      <w:pPr>
        <w:jc w:val="center"/>
        <w:ind w:right="40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640"/>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280" w:space="720"/>
            <w:col w:w="3320" w:space="720"/>
            <w:col w:w="2260"/>
          </w:cols>
          <w:pgMar w:left="240" w:top="368" w:right="359" w:bottom="1440" w:gutter="0" w:footer="0" w:header="0"/>
          <w:type w:val="continuous"/>
        </w:sectPr>
      </w:pPr>
    </w:p>
    <w:p>
      <w:pPr>
        <w:spacing w:after="0" w:line="6"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118110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right="600"/>
        <w:spacing w:after="0" w:line="342" w:lineRule="auto"/>
        <w:rPr>
          <w:sz w:val="20"/>
          <w:szCs w:val="20"/>
          <w:color w:val="auto"/>
        </w:rPr>
      </w:pPr>
      <w:r>
        <w:rPr>
          <w:rFonts w:ascii="Arial" w:cs="Arial" w:eastAsia="Arial" w:hAnsi="Arial"/>
          <w:sz w:val="16"/>
          <w:szCs w:val="16"/>
          <w:color w:val="auto"/>
        </w:rPr>
        <w:t>At the Annual General Meeting of Shareholders held on July 1, 2014 (the “Annual Meeting”) for Marvell Technology Group Ltd. (the “Company”), shareholders voted on the matters as set forth below. Each issued common share was entitled to one vote on the proposals voted on at the meeting.</w:t>
      </w:r>
    </w:p>
    <w:p>
      <w:pPr>
        <w:spacing w:after="0" w:line="25" w:lineRule="exact"/>
        <w:rPr>
          <w:sz w:val="20"/>
          <w:szCs w:val="20"/>
          <w:color w:val="auto"/>
        </w:rPr>
      </w:pPr>
    </w:p>
    <w:p>
      <w:pPr>
        <w:ind w:left="460" w:right="180" w:hanging="452"/>
        <w:spacing w:after="0" w:line="282"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The nominees for election to the Board were elected, each for a one-year term until the 2015 annual general meeting of shareholders, based upon the following votes:</w:t>
      </w:r>
    </w:p>
    <w:p>
      <w:pPr>
        <w:spacing w:after="0" w:line="172" w:lineRule="exact"/>
        <w:rPr>
          <w:sz w:val="20"/>
          <w:szCs w:val="20"/>
          <w:color w:val="auto"/>
        </w:rPr>
      </w:pPr>
    </w:p>
    <w:tbl>
      <w:tblPr>
        <w:tblLayout w:type="fixed"/>
        <w:tblInd w:w="580" w:type="dxa"/>
        <w:tblCellMar>
          <w:top w:w="0" w:type="dxa"/>
          <w:left w:w="0" w:type="dxa"/>
          <w:bottom w:w="0" w:type="dxa"/>
          <w:right w:w="0" w:type="dxa"/>
        </w:tblCellMar>
      </w:tblPr>
      <w:tr>
        <w:trPr>
          <w:trHeight w:val="161"/>
        </w:trPr>
        <w:tc>
          <w:tcPr>
            <w:tcW w:w="5540" w:type="dxa"/>
            <w:vAlign w:val="bottom"/>
          </w:tcPr>
          <w:p>
            <w:pPr>
              <w:spacing w:after="0"/>
              <w:rPr>
                <w:sz w:val="14"/>
                <w:szCs w:val="14"/>
                <w:color w:val="auto"/>
              </w:rPr>
            </w:pPr>
          </w:p>
        </w:tc>
        <w:tc>
          <w:tcPr>
            <w:tcW w:w="1340" w:type="dxa"/>
            <w:vAlign w:val="bottom"/>
            <w:gridSpan w:val="2"/>
            <w:vMerge w:val="restart"/>
          </w:tcPr>
          <w:p>
            <w:pPr>
              <w:ind w:left="360"/>
              <w:spacing w:after="0"/>
              <w:rPr>
                <w:sz w:val="20"/>
                <w:szCs w:val="20"/>
                <w:color w:val="auto"/>
              </w:rPr>
            </w:pPr>
            <w:r>
              <w:rPr>
                <w:rFonts w:ascii="Arial" w:cs="Arial" w:eastAsia="Arial" w:hAnsi="Arial"/>
                <w:sz w:val="14"/>
                <w:szCs w:val="14"/>
                <w:b w:val="1"/>
                <w:bCs w:val="1"/>
                <w:color w:val="auto"/>
              </w:rPr>
              <w:t>For</w:t>
            </w:r>
          </w:p>
        </w:tc>
        <w:tc>
          <w:tcPr>
            <w:tcW w:w="1260" w:type="dxa"/>
            <w:vAlign w:val="bottom"/>
            <w:gridSpan w:val="2"/>
            <w:vMerge w:val="restart"/>
          </w:tcPr>
          <w:p>
            <w:pPr>
              <w:ind w:left="200"/>
              <w:spacing w:after="0"/>
              <w:rPr>
                <w:sz w:val="20"/>
                <w:szCs w:val="20"/>
                <w:color w:val="auto"/>
              </w:rPr>
            </w:pPr>
            <w:r>
              <w:rPr>
                <w:rFonts w:ascii="Arial" w:cs="Arial" w:eastAsia="Arial" w:hAnsi="Arial"/>
                <w:sz w:val="14"/>
                <w:szCs w:val="14"/>
                <w:b w:val="1"/>
                <w:bCs w:val="1"/>
                <w:color w:val="auto"/>
              </w:rPr>
              <w:t>Against</w:t>
            </w:r>
          </w:p>
        </w:tc>
        <w:tc>
          <w:tcPr>
            <w:tcW w:w="11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Abstain</w:t>
            </w:r>
          </w:p>
        </w:tc>
        <w:tc>
          <w:tcPr>
            <w:tcW w:w="9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7"/>
              </w:rPr>
              <w:t>Broker</w:t>
            </w:r>
          </w:p>
        </w:tc>
        <w:tc>
          <w:tcPr>
            <w:tcW w:w="0" w:type="dxa"/>
            <w:vAlign w:val="bottom"/>
          </w:tcPr>
          <w:p>
            <w:pPr>
              <w:spacing w:after="0"/>
              <w:rPr>
                <w:sz w:val="1"/>
                <w:szCs w:val="1"/>
                <w:color w:val="auto"/>
              </w:rPr>
            </w:pPr>
          </w:p>
        </w:tc>
      </w:tr>
      <w:tr>
        <w:trPr>
          <w:trHeight w:val="171"/>
        </w:trPr>
        <w:tc>
          <w:tcPr>
            <w:tcW w:w="5540" w:type="dxa"/>
            <w:vAlign w:val="bottom"/>
          </w:tcPr>
          <w:p>
            <w:pPr>
              <w:spacing w:after="0"/>
              <w:rPr>
                <w:sz w:val="14"/>
                <w:szCs w:val="14"/>
                <w:color w:val="auto"/>
              </w:rPr>
            </w:pPr>
          </w:p>
        </w:tc>
        <w:tc>
          <w:tcPr>
            <w:tcW w:w="1340" w:type="dxa"/>
            <w:vAlign w:val="bottom"/>
            <w:gridSpan w:val="2"/>
            <w:vMerge w:val="continue"/>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96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1"/>
              </w:rPr>
              <w:t>Non-Votes</w:t>
            </w:r>
          </w:p>
        </w:tc>
        <w:tc>
          <w:tcPr>
            <w:tcW w:w="0" w:type="dxa"/>
            <w:vAlign w:val="bottom"/>
          </w:tcPr>
          <w:p>
            <w:pPr>
              <w:spacing w:after="0"/>
              <w:rPr>
                <w:sz w:val="1"/>
                <w:szCs w:val="1"/>
                <w:color w:val="auto"/>
              </w:rPr>
            </w:pPr>
          </w:p>
        </w:tc>
      </w:tr>
      <w:tr>
        <w:trPr>
          <w:trHeight w:val="210"/>
        </w:trPr>
        <w:tc>
          <w:tcPr>
            <w:tcW w:w="55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1"/>
              </w:rPr>
              <w:t>329,960,359</w:t>
            </w:r>
          </w:p>
        </w:tc>
        <w:tc>
          <w:tcPr>
            <w:tcW w:w="38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12,215,946</w:t>
            </w:r>
          </w:p>
        </w:tc>
        <w:tc>
          <w:tcPr>
            <w:tcW w:w="40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7,409,071</w:t>
            </w:r>
          </w:p>
        </w:tc>
        <w:tc>
          <w:tcPr>
            <w:tcW w:w="4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88,938,523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40" w:type="dxa"/>
            <w:vAlign w:val="bottom"/>
          </w:tcPr>
          <w:p>
            <w:pPr>
              <w:spacing w:after="0"/>
              <w:rPr>
                <w:sz w:val="20"/>
                <w:szCs w:val="20"/>
                <w:color w:val="auto"/>
              </w:rPr>
            </w:pPr>
            <w:r>
              <w:rPr>
                <w:rFonts w:ascii="Arial" w:cs="Arial" w:eastAsia="Arial" w:hAnsi="Arial"/>
                <w:sz w:val="18"/>
                <w:szCs w:val="18"/>
                <w:color w:val="auto"/>
              </w:rPr>
              <w:t>Dr. Juergen Gromer</w:t>
            </w:r>
          </w:p>
        </w:tc>
        <w:tc>
          <w:tcPr>
            <w:tcW w:w="960" w:type="dxa"/>
            <w:vAlign w:val="bottom"/>
          </w:tcPr>
          <w:p>
            <w:pPr>
              <w:jc w:val="right"/>
              <w:spacing w:after="0"/>
              <w:rPr>
                <w:sz w:val="20"/>
                <w:szCs w:val="20"/>
                <w:color w:val="auto"/>
              </w:rPr>
            </w:pPr>
            <w:r>
              <w:rPr>
                <w:rFonts w:ascii="Arial" w:cs="Arial" w:eastAsia="Arial" w:hAnsi="Arial"/>
                <w:sz w:val="18"/>
                <w:szCs w:val="18"/>
                <w:color w:val="auto"/>
                <w:w w:val="91"/>
              </w:rPr>
              <w:t>330,599,054</w:t>
            </w:r>
          </w:p>
        </w:tc>
        <w:tc>
          <w:tcPr>
            <w:tcW w:w="3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w w:val="93"/>
              </w:rPr>
              <w:t>14,254,732</w:t>
            </w:r>
          </w:p>
        </w:tc>
        <w:tc>
          <w:tcPr>
            <w:tcW w:w="4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4,731,590</w:t>
            </w:r>
          </w:p>
        </w:tc>
        <w:tc>
          <w:tcPr>
            <w:tcW w:w="4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w w:val="93"/>
              </w:rPr>
              <w:t>88,938,523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Dr. John G. Kassakian</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330,484,020</w:t>
            </w:r>
          </w:p>
        </w:tc>
        <w:tc>
          <w:tcPr>
            <w:tcW w:w="3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14,224,817</w:t>
            </w:r>
          </w:p>
        </w:tc>
        <w:tc>
          <w:tcPr>
            <w:tcW w:w="4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4,876,539</w:t>
            </w:r>
          </w:p>
        </w:tc>
        <w:tc>
          <w:tcPr>
            <w:tcW w:w="4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88,938,523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40" w:type="dxa"/>
            <w:vAlign w:val="bottom"/>
          </w:tcPr>
          <w:p>
            <w:pPr>
              <w:spacing w:after="0"/>
              <w:rPr>
                <w:sz w:val="20"/>
                <w:szCs w:val="20"/>
                <w:color w:val="auto"/>
              </w:rPr>
            </w:pPr>
            <w:r>
              <w:rPr>
                <w:rFonts w:ascii="Arial" w:cs="Arial" w:eastAsia="Arial" w:hAnsi="Arial"/>
                <w:sz w:val="18"/>
                <w:szCs w:val="18"/>
                <w:color w:val="auto"/>
              </w:rPr>
              <w:t>Arturo Krueger</w:t>
            </w:r>
          </w:p>
        </w:tc>
        <w:tc>
          <w:tcPr>
            <w:tcW w:w="960" w:type="dxa"/>
            <w:vAlign w:val="bottom"/>
          </w:tcPr>
          <w:p>
            <w:pPr>
              <w:jc w:val="right"/>
              <w:spacing w:after="0"/>
              <w:rPr>
                <w:sz w:val="20"/>
                <w:szCs w:val="20"/>
                <w:color w:val="auto"/>
              </w:rPr>
            </w:pPr>
            <w:r>
              <w:rPr>
                <w:rFonts w:ascii="Arial" w:cs="Arial" w:eastAsia="Arial" w:hAnsi="Arial"/>
                <w:sz w:val="18"/>
                <w:szCs w:val="18"/>
                <w:color w:val="auto"/>
                <w:w w:val="91"/>
              </w:rPr>
              <w:t>327,791,594</w:t>
            </w:r>
          </w:p>
        </w:tc>
        <w:tc>
          <w:tcPr>
            <w:tcW w:w="3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w w:val="93"/>
              </w:rPr>
              <w:t>17,058,526</w:t>
            </w:r>
          </w:p>
        </w:tc>
        <w:tc>
          <w:tcPr>
            <w:tcW w:w="4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4,735,256</w:t>
            </w:r>
          </w:p>
        </w:tc>
        <w:tc>
          <w:tcPr>
            <w:tcW w:w="4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w w:val="93"/>
              </w:rPr>
              <w:t>88,938,523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540" w:type="dxa"/>
            <w:vAlign w:val="bottom"/>
            <w:shd w:val="clear" w:color="auto" w:fill="CCEEFF"/>
          </w:tcPr>
          <w:p>
            <w:pPr>
              <w:spacing w:after="0"/>
              <w:rPr>
                <w:sz w:val="20"/>
                <w:szCs w:val="20"/>
                <w:color w:val="auto"/>
              </w:rPr>
            </w:pPr>
            <w:r>
              <w:rPr>
                <w:rFonts w:ascii="Arial" w:cs="Arial" w:eastAsia="Arial" w:hAnsi="Arial"/>
                <w:sz w:val="18"/>
                <w:szCs w:val="18"/>
                <w:color w:val="auto"/>
              </w:rPr>
              <w:t>Dr. Randhir Thakur</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1"/>
              </w:rPr>
              <w:t>330,606,470</w:t>
            </w:r>
          </w:p>
        </w:tc>
        <w:tc>
          <w:tcPr>
            <w:tcW w:w="3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14,257,227</w:t>
            </w:r>
          </w:p>
        </w:tc>
        <w:tc>
          <w:tcPr>
            <w:tcW w:w="40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4,721,679</w:t>
            </w:r>
          </w:p>
        </w:tc>
        <w:tc>
          <w:tcPr>
            <w:tcW w:w="40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88,938,523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With respect to the election of each director in the table above, an “abstain” vote had the same effect as an “against” vote.</w:t>
      </w:r>
    </w:p>
    <w:p>
      <w:pPr>
        <w:spacing w:after="0" w:line="248" w:lineRule="exact"/>
        <w:rPr>
          <w:sz w:val="20"/>
          <w:szCs w:val="20"/>
          <w:color w:val="auto"/>
        </w:rPr>
      </w:pPr>
    </w:p>
    <w:p>
      <w:pPr>
        <w:ind w:left="460" w:right="60" w:hanging="452"/>
        <w:spacing w:after="0" w:line="282"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proposal to approve, on an advisory and non-binding basis, the compensation of the Company’s named executive officers, was approved based upon the following votes:</w:t>
      </w:r>
    </w:p>
    <w:p>
      <w:pPr>
        <w:spacing w:after="0" w:line="207" w:lineRule="exact"/>
        <w:rPr>
          <w:sz w:val="20"/>
          <w:szCs w:val="20"/>
          <w:color w:val="auto"/>
        </w:rPr>
      </w:pPr>
    </w:p>
    <w:tbl>
      <w:tblPr>
        <w:tblLayout w:type="fixed"/>
        <w:tblInd w:w="28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For</w:t>
            </w:r>
          </w:p>
        </w:tc>
        <w:tc>
          <w:tcPr>
            <w:tcW w:w="27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208,319,583</w:t>
            </w:r>
          </w:p>
        </w:tc>
      </w:tr>
      <w:tr>
        <w:trPr>
          <w:trHeight w:val="216"/>
        </w:trPr>
        <w:tc>
          <w:tcPr>
            <w:tcW w:w="20" w:type="dxa"/>
            <w:vAlign w:val="bottom"/>
          </w:tcPr>
          <w:p>
            <w:pPr>
              <w:spacing w:after="0"/>
              <w:rPr>
                <w:sz w:val="18"/>
                <w:szCs w:val="18"/>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Against</w:t>
            </w:r>
          </w:p>
        </w:tc>
        <w:tc>
          <w:tcPr>
            <w:tcW w:w="2700" w:type="dxa"/>
            <w:vAlign w:val="bottom"/>
          </w:tcPr>
          <w:p>
            <w:pPr>
              <w:jc w:val="right"/>
              <w:ind w:right="30"/>
              <w:spacing w:after="0"/>
              <w:rPr>
                <w:sz w:val="20"/>
                <w:szCs w:val="20"/>
                <w:color w:val="auto"/>
              </w:rPr>
            </w:pPr>
            <w:r>
              <w:rPr>
                <w:rFonts w:ascii="Arial" w:cs="Arial" w:eastAsia="Arial" w:hAnsi="Arial"/>
                <w:sz w:val="18"/>
                <w:szCs w:val="18"/>
                <w:color w:val="auto"/>
              </w:rPr>
              <w:t>138,365,306</w:t>
            </w:r>
          </w:p>
        </w:tc>
      </w:tr>
      <w:tr>
        <w:trPr>
          <w:trHeight w:val="216"/>
        </w:trPr>
        <w:tc>
          <w:tcPr>
            <w:tcW w:w="20" w:type="dxa"/>
            <w:vAlign w:val="bottom"/>
          </w:tcPr>
          <w:p>
            <w:pPr>
              <w:spacing w:after="0"/>
              <w:rPr>
                <w:sz w:val="18"/>
                <w:szCs w:val="18"/>
                <w:color w:val="auto"/>
              </w:rPr>
            </w:pPr>
          </w:p>
        </w:tc>
        <w:tc>
          <w:tcPr>
            <w:tcW w:w="3000" w:type="dxa"/>
            <w:vAlign w:val="bottom"/>
            <w:shd w:val="clear" w:color="auto" w:fill="CCEEFF"/>
          </w:tcPr>
          <w:p>
            <w:pPr>
              <w:spacing w:after="0"/>
              <w:rPr>
                <w:sz w:val="20"/>
                <w:szCs w:val="20"/>
                <w:color w:val="auto"/>
              </w:rPr>
            </w:pPr>
            <w:r>
              <w:rPr>
                <w:rFonts w:ascii="Arial" w:cs="Arial" w:eastAsia="Arial" w:hAnsi="Arial"/>
                <w:sz w:val="18"/>
                <w:szCs w:val="18"/>
                <w:color w:val="auto"/>
              </w:rPr>
              <w:t>Abstain</w:t>
            </w:r>
          </w:p>
        </w:tc>
        <w:tc>
          <w:tcPr>
            <w:tcW w:w="270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2,900,487</w:t>
            </w:r>
          </w:p>
        </w:tc>
      </w:tr>
      <w:tr>
        <w:trPr>
          <w:trHeight w:val="230"/>
        </w:trPr>
        <w:tc>
          <w:tcPr>
            <w:tcW w:w="20" w:type="dxa"/>
            <w:vAlign w:val="bottom"/>
          </w:tcPr>
          <w:p>
            <w:pPr>
              <w:spacing w:after="0"/>
              <w:rPr>
                <w:sz w:val="20"/>
                <w:szCs w:val="20"/>
                <w:color w:val="auto"/>
              </w:rPr>
            </w:pPr>
          </w:p>
        </w:tc>
        <w:tc>
          <w:tcPr>
            <w:tcW w:w="3000" w:type="dxa"/>
            <w:vAlign w:val="bottom"/>
          </w:tcPr>
          <w:p>
            <w:pPr>
              <w:spacing w:after="0"/>
              <w:rPr>
                <w:sz w:val="20"/>
                <w:szCs w:val="20"/>
                <w:color w:val="auto"/>
              </w:rPr>
            </w:pPr>
            <w:r>
              <w:rPr>
                <w:rFonts w:ascii="Arial" w:cs="Arial" w:eastAsia="Arial" w:hAnsi="Arial"/>
                <w:sz w:val="18"/>
                <w:szCs w:val="18"/>
                <w:color w:val="auto"/>
              </w:rPr>
              <w:t>Broker Non-Votes</w:t>
            </w:r>
          </w:p>
        </w:tc>
        <w:tc>
          <w:tcPr>
            <w:tcW w:w="2700" w:type="dxa"/>
            <w:vAlign w:val="bottom"/>
          </w:tcPr>
          <w:p>
            <w:pPr>
              <w:jc w:val="right"/>
              <w:ind w:right="30"/>
              <w:spacing w:after="0"/>
              <w:rPr>
                <w:sz w:val="20"/>
                <w:szCs w:val="20"/>
                <w:color w:val="auto"/>
              </w:rPr>
            </w:pPr>
            <w:r>
              <w:rPr>
                <w:rFonts w:ascii="Arial" w:cs="Arial" w:eastAsia="Arial" w:hAnsi="Arial"/>
                <w:sz w:val="18"/>
                <w:szCs w:val="18"/>
                <w:color w:val="auto"/>
              </w:rPr>
              <w:t>88,938,523</w:t>
            </w:r>
          </w:p>
        </w:tc>
      </w:tr>
    </w:tbl>
    <w:p>
      <w:pPr>
        <w:spacing w:after="0" w:line="210" w:lineRule="exact"/>
        <w:rPr>
          <w:sz w:val="20"/>
          <w:szCs w:val="20"/>
          <w:color w:val="auto"/>
        </w:rPr>
      </w:pPr>
    </w:p>
    <w:p>
      <w:pPr>
        <w:ind w:left="460" w:hanging="452"/>
        <w:spacing w:after="0" w:line="314"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b w:val="1"/>
          <w:bCs w:val="1"/>
          <w:color w:val="auto"/>
        </w:rPr>
        <w:t>The proposal to re-appoint PricewaterhouseCoopers LLP as the Company’s auditors and independent registered public accounting firm, and to authorize the audit committee, acting on behalf of the Board, to fix the remuneration of the auditors and independent registered public accounting firm, in both cases for the Company’s fiscal year ending January 31, 2015, was approved based upon the following votes:</w:t>
      </w:r>
    </w:p>
    <w:p>
      <w:pPr>
        <w:spacing w:after="0" w:line="188" w:lineRule="exact"/>
        <w:rPr>
          <w:sz w:val="20"/>
          <w:szCs w:val="20"/>
          <w:color w:val="auto"/>
        </w:rPr>
      </w:pPr>
    </w:p>
    <w:tbl>
      <w:tblPr>
        <w:tblLayout w:type="fixed"/>
        <w:tblInd w:w="28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For</w:t>
            </w:r>
          </w:p>
        </w:tc>
        <w:tc>
          <w:tcPr>
            <w:tcW w:w="30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431,051,230</w:t>
            </w:r>
          </w:p>
        </w:tc>
      </w:tr>
      <w:tr>
        <w:trPr>
          <w:trHeight w:val="216"/>
        </w:trPr>
        <w:tc>
          <w:tcPr>
            <w:tcW w:w="20" w:type="dxa"/>
            <w:vAlign w:val="bottom"/>
          </w:tcPr>
          <w:p>
            <w:pPr>
              <w:spacing w:after="0"/>
              <w:rPr>
                <w:sz w:val="18"/>
                <w:szCs w:val="18"/>
                <w:color w:val="auto"/>
              </w:rPr>
            </w:pPr>
          </w:p>
        </w:tc>
        <w:tc>
          <w:tcPr>
            <w:tcW w:w="2620" w:type="dxa"/>
            <w:vAlign w:val="bottom"/>
          </w:tcPr>
          <w:p>
            <w:pPr>
              <w:spacing w:after="0"/>
              <w:rPr>
                <w:sz w:val="20"/>
                <w:szCs w:val="20"/>
                <w:color w:val="auto"/>
              </w:rPr>
            </w:pPr>
            <w:r>
              <w:rPr>
                <w:rFonts w:ascii="Arial" w:cs="Arial" w:eastAsia="Arial" w:hAnsi="Arial"/>
                <w:sz w:val="18"/>
                <w:szCs w:val="18"/>
                <w:color w:val="auto"/>
              </w:rPr>
              <w:t>Against</w:t>
            </w:r>
          </w:p>
        </w:tc>
        <w:tc>
          <w:tcPr>
            <w:tcW w:w="3080" w:type="dxa"/>
            <w:vAlign w:val="bottom"/>
          </w:tcPr>
          <w:p>
            <w:pPr>
              <w:jc w:val="right"/>
              <w:ind w:right="30"/>
              <w:spacing w:after="0"/>
              <w:rPr>
                <w:sz w:val="20"/>
                <w:szCs w:val="20"/>
                <w:color w:val="auto"/>
              </w:rPr>
            </w:pPr>
            <w:r>
              <w:rPr>
                <w:rFonts w:ascii="Arial" w:cs="Arial" w:eastAsia="Arial" w:hAnsi="Arial"/>
                <w:sz w:val="18"/>
                <w:szCs w:val="18"/>
                <w:color w:val="auto"/>
              </w:rPr>
              <w:t>2,579,773</w:t>
            </w:r>
          </w:p>
        </w:tc>
      </w:tr>
      <w:tr>
        <w:trPr>
          <w:trHeight w:val="216"/>
        </w:trPr>
        <w:tc>
          <w:tcPr>
            <w:tcW w:w="20" w:type="dxa"/>
            <w:vAlign w:val="bottom"/>
          </w:tcPr>
          <w:p>
            <w:pPr>
              <w:spacing w:after="0"/>
              <w:rPr>
                <w:sz w:val="18"/>
                <w:szCs w:val="18"/>
                <w:color w:val="auto"/>
              </w:rPr>
            </w:pPr>
          </w:p>
        </w:tc>
        <w:tc>
          <w:tcPr>
            <w:tcW w:w="2620" w:type="dxa"/>
            <w:vAlign w:val="bottom"/>
            <w:shd w:val="clear" w:color="auto" w:fill="CCEEFF"/>
          </w:tcPr>
          <w:p>
            <w:pPr>
              <w:spacing w:after="0"/>
              <w:rPr>
                <w:sz w:val="20"/>
                <w:szCs w:val="20"/>
                <w:color w:val="auto"/>
              </w:rPr>
            </w:pPr>
            <w:r>
              <w:rPr>
                <w:rFonts w:ascii="Arial" w:cs="Arial" w:eastAsia="Arial" w:hAnsi="Arial"/>
                <w:sz w:val="18"/>
                <w:szCs w:val="18"/>
                <w:color w:val="auto"/>
              </w:rPr>
              <w:t>Abstain</w:t>
            </w:r>
          </w:p>
        </w:tc>
        <w:tc>
          <w:tcPr>
            <w:tcW w:w="308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4,892,896</w:t>
            </w:r>
          </w:p>
        </w:tc>
      </w:tr>
    </w:tbl>
    <w:p>
      <w:pPr>
        <w:sectPr>
          <w:pgSz w:w="11900" w:h="16838" w:orient="portrait"/>
          <w:cols w:equalWidth="0" w:num="1">
            <w:col w:w="11280"/>
          </w:cols>
          <w:pgMar w:left="240" w:top="270" w:right="3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2,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2019-12-06T19:29:11Z</dcterms:created>
  <dcterms:modified xsi:type="dcterms:W3CDTF">2019-12-06T19:29:11Z</dcterms:modified>
</cp:coreProperties>
</file>