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August 2, 2014</w:t>
      </w:r>
    </w:p>
    <w:p>
      <w:pPr>
        <w:spacing w:after="0" w:line="17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9"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8"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80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460" w:type="dxa"/>
            <w:vAlign w:val="bottom"/>
          </w:tcPr>
          <w:p>
            <w:pPr>
              <w:ind w:left="30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80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460" w:type="dxa"/>
            <w:vAlign w:val="bottom"/>
          </w:tcPr>
          <w:p>
            <w:pPr>
              <w:ind w:left="30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46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93"/>
              </w:rPr>
              <w:t>The number of common shares of the registrant outstanding as of August 28, 2014 was 514.4 million shares.</w:t>
            </w:r>
          </w:p>
        </w:tc>
        <w:tc>
          <w:tcPr>
            <w:tcW w:w="246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800" w:type="dxa"/>
            <w:vAlign w:val="bottom"/>
            <w:tcBorders>
              <w:bottom w:val="single" w:sz="8" w:color="auto"/>
            </w:tcBorders>
          </w:tcPr>
          <w:p>
            <w:pPr>
              <w:spacing w:after="0"/>
              <w:rPr>
                <w:sz w:val="10"/>
                <w:szCs w:val="10"/>
                <w:color w:val="auto"/>
              </w:rPr>
            </w:pPr>
          </w:p>
        </w:tc>
        <w:tc>
          <w:tcPr>
            <w:tcW w:w="246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800" w:type="dxa"/>
            <w:vAlign w:val="bottom"/>
            <w:tcBorders>
              <w:bottom w:val="single" w:sz="8" w:color="auto"/>
            </w:tcBorders>
          </w:tcPr>
          <w:p>
            <w:pPr>
              <w:spacing w:after="0" w:line="20" w:lineRule="exact"/>
              <w:rPr>
                <w:sz w:val="1"/>
                <w:szCs w:val="1"/>
                <w:color w:val="auto"/>
              </w:rPr>
            </w:pPr>
          </w:p>
        </w:tc>
        <w:tc>
          <w:tcPr>
            <w:tcW w:w="246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180" w:type="dxa"/>
            <w:vAlign w:val="bottom"/>
            <w:gridSpan w:val="13"/>
            <w:vMerge w:val="restart"/>
          </w:tcPr>
          <w:p>
            <w:pPr>
              <w:jc w:val="center"/>
              <w:ind w:right="244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18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1.</w:t>
            </w:r>
          </w:p>
        </w:tc>
        <w:tc>
          <w:tcPr>
            <w:tcW w:w="3120" w:type="dxa"/>
            <w:vAlign w:val="bottom"/>
            <w:gridSpan w:val="7"/>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700" w:type="dxa"/>
            <w:vAlign w:val="bottom"/>
            <w:tcBorders>
              <w:bottom w:val="single" w:sz="8" w:color="0000EE"/>
            </w:tcBorders>
            <w:gridSpan w:val="15"/>
          </w:tcPr>
          <w:p>
            <w:pPr>
              <w:spacing w:after="0" w:line="196" w:lineRule="exact"/>
              <w:rPr>
                <w:rFonts w:ascii="Arial" w:cs="Arial" w:eastAsia="Arial" w:hAnsi="Arial"/>
                <w:sz w:val="18"/>
                <w:szCs w:val="18"/>
                <w:color w:val="0000EE"/>
                <w:w w:val="87"/>
              </w:rPr>
            </w:pPr>
            <w:hyperlink w:anchor="page3">
              <w:r>
                <w:rPr>
                  <w:rFonts w:ascii="Arial" w:cs="Arial" w:eastAsia="Arial" w:hAnsi="Arial"/>
                  <w:sz w:val="18"/>
                  <w:szCs w:val="18"/>
                  <w:color w:val="0000EE"/>
                  <w:w w:val="87"/>
                </w:rPr>
                <w:t>Unaudited Condensed Consolidated Balance Sheets as of August 2, 2014 and February 1, 2014</w:t>
              </w:r>
            </w:hyperlink>
          </w:p>
        </w:tc>
        <w:tc>
          <w:tcPr>
            <w:tcW w:w="3220" w:type="dxa"/>
            <w:vAlign w:val="bottom"/>
            <w:gridSpan w:val="4"/>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9920" w:type="dxa"/>
            <w:vAlign w:val="bottom"/>
            <w:gridSpan w:val="19"/>
          </w:tcPr>
          <w:p>
            <w:pPr>
              <w:spacing w:after="0" w:line="196" w:lineRule="exact"/>
              <w:rPr>
                <w:rFonts w:ascii="Arial" w:cs="Arial" w:eastAsia="Arial" w:hAnsi="Arial"/>
                <w:sz w:val="18"/>
                <w:szCs w:val="18"/>
                <w:color w:val="0000EE"/>
                <w:w w:val="92"/>
              </w:rPr>
            </w:pPr>
            <w:hyperlink w:anchor="page4">
              <w:r>
                <w:rPr>
                  <w:rFonts w:ascii="Arial" w:cs="Arial" w:eastAsia="Arial" w:hAnsi="Arial"/>
                  <w:sz w:val="18"/>
                  <w:szCs w:val="18"/>
                  <w:color w:val="0000EE"/>
                  <w:w w:val="92"/>
                </w:rPr>
                <w:t>Unaudited Condensed Consolidated Statements of Operations for the three and six months ended August 2, 2014 and August 3,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520" w:type="dxa"/>
            <w:vAlign w:val="bottom"/>
            <w:gridSpan w:val="2"/>
            <w:shd w:val="clear" w:color="auto" w:fill="0000EE"/>
          </w:tcPr>
          <w:p>
            <w:pPr>
              <w:spacing w:after="0" w:line="20" w:lineRule="exact"/>
              <w:rPr>
                <w:sz w:val="1"/>
                <w:szCs w:val="1"/>
                <w:color w:val="auto"/>
              </w:rPr>
            </w:pPr>
          </w:p>
        </w:tc>
        <w:tc>
          <w:tcPr>
            <w:tcW w:w="9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28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2420" w:type="dxa"/>
            <w:vAlign w:val="bottom"/>
            <w:gridSpan w:val="2"/>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9920" w:type="dxa"/>
            <w:vAlign w:val="bottom"/>
            <w:gridSpan w:val="19"/>
          </w:tcPr>
          <w:p>
            <w:pPr>
              <w:spacing w:after="0" w:line="196" w:lineRule="exact"/>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Comprehensive Income for the three and six months ended August 2, 2014 and August</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4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6"/>
              </w:rPr>
            </w:pPr>
            <w:hyperlink w:anchor="page5">
              <w:r>
                <w:rPr>
                  <w:rFonts w:ascii="Arial" w:cs="Arial" w:eastAsia="Arial" w:hAnsi="Arial"/>
                  <w:sz w:val="18"/>
                  <w:szCs w:val="18"/>
                  <w:color w:val="0000EE"/>
                  <w:w w:val="86"/>
                </w:rPr>
                <w:t>3, 2013</w:t>
              </w:r>
            </w:hyperlink>
          </w:p>
        </w:tc>
        <w:tc>
          <w:tcPr>
            <w:tcW w:w="60" w:type="dxa"/>
            <w:vAlign w:val="bottom"/>
            <w:tcBorders>
              <w:top w:val="single" w:sz="8" w:color="0000EE"/>
            </w:tcBorders>
          </w:tcPr>
          <w:p>
            <w:pPr>
              <w:spacing w:after="0"/>
              <w:rPr>
                <w:sz w:val="17"/>
                <w:szCs w:val="17"/>
                <w:color w:val="auto"/>
              </w:rPr>
            </w:pPr>
          </w:p>
        </w:tc>
        <w:tc>
          <w:tcPr>
            <w:tcW w:w="30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3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98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2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2020" w:type="dxa"/>
            <w:vAlign w:val="bottom"/>
            <w:tcBorders>
              <w:top w:val="single" w:sz="8" w:color="0000EE"/>
            </w:tcBorders>
          </w:tcPr>
          <w:p>
            <w:pPr>
              <w:spacing w:after="0"/>
              <w:rPr>
                <w:sz w:val="17"/>
                <w:szCs w:val="17"/>
                <w:color w:val="auto"/>
              </w:rPr>
            </w:pPr>
          </w:p>
        </w:tc>
        <w:tc>
          <w:tcPr>
            <w:tcW w:w="640" w:type="dxa"/>
            <w:vAlign w:val="bottom"/>
            <w:tcBorders>
              <w:top w:val="single" w:sz="8" w:color="0000EE"/>
            </w:tcBorders>
          </w:tcPr>
          <w:p>
            <w:pPr>
              <w:spacing w:after="0"/>
              <w:rPr>
                <w:sz w:val="17"/>
                <w:szCs w:val="17"/>
                <w:color w:val="auto"/>
              </w:rPr>
            </w:pPr>
          </w:p>
        </w:tc>
        <w:tc>
          <w:tcPr>
            <w:tcW w:w="340" w:type="dxa"/>
            <w:vAlign w:val="bottom"/>
            <w:tcBorders>
              <w:top w:val="single" w:sz="8" w:color="0000EE"/>
            </w:tcBorders>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9920" w:type="dxa"/>
            <w:vAlign w:val="bottom"/>
            <w:gridSpan w:val="19"/>
          </w:tcPr>
          <w:p>
            <w:pPr>
              <w:spacing w:after="0" w:line="196" w:lineRule="exact"/>
              <w:rPr>
                <w:rFonts w:ascii="Arial" w:cs="Arial" w:eastAsia="Arial" w:hAnsi="Arial"/>
                <w:sz w:val="18"/>
                <w:szCs w:val="18"/>
                <w:color w:val="0000EE"/>
                <w:w w:val="99"/>
              </w:rPr>
            </w:pPr>
            <w:hyperlink w:anchor="page6">
              <w:r>
                <w:rPr>
                  <w:rFonts w:ascii="Arial" w:cs="Arial" w:eastAsia="Arial" w:hAnsi="Arial"/>
                  <w:sz w:val="18"/>
                  <w:szCs w:val="18"/>
                  <w:color w:val="0000EE"/>
                  <w:w w:val="99"/>
                </w:rPr>
                <w:t>Unaudited Condensed Consolidated Statements of Cash Flows for the six months ended August 2, 2014 and August 3,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040" w:type="dxa"/>
            <w:vAlign w:val="bottom"/>
            <w:tcBorders>
              <w:top w:val="single" w:sz="8" w:color="0000EE"/>
            </w:tcBorders>
            <w:gridSpan w:val="5"/>
          </w:tcPr>
          <w:p>
            <w:pPr>
              <w:spacing w:after="0"/>
              <w:rPr>
                <w:sz w:val="17"/>
                <w:szCs w:val="17"/>
                <w:color w:val="auto"/>
              </w:rPr>
            </w:pPr>
          </w:p>
        </w:tc>
        <w:tc>
          <w:tcPr>
            <w:tcW w:w="120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2.</w:t>
            </w:r>
          </w:p>
        </w:tc>
        <w:tc>
          <w:tcPr>
            <w:tcW w:w="9920" w:type="dxa"/>
            <w:vAlign w:val="bottom"/>
            <w:gridSpan w:val="19"/>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89"/>
              </w:rPr>
            </w:pPr>
            <w:hyperlink w:anchor="page35">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62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4.</w:t>
            </w:r>
          </w:p>
        </w:tc>
        <w:tc>
          <w:tcPr>
            <w:tcW w:w="9920" w:type="dxa"/>
            <w:vAlign w:val="bottom"/>
            <w:gridSpan w:val="19"/>
          </w:tcPr>
          <w:p>
            <w:pPr>
              <w:spacing w:after="0" w:line="196" w:lineRule="exact"/>
              <w:rPr>
                <w:rFonts w:ascii="Arial" w:cs="Arial" w:eastAsia="Arial" w:hAnsi="Arial"/>
                <w:sz w:val="18"/>
                <w:szCs w:val="18"/>
                <w:color w:val="0000EE"/>
              </w:rPr>
            </w:pPr>
            <w:hyperlink w:anchor="page36">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4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30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38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37">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1.</w:t>
            </w:r>
          </w:p>
        </w:tc>
        <w:tc>
          <w:tcPr>
            <w:tcW w:w="3260" w:type="dxa"/>
            <w:vAlign w:val="bottom"/>
            <w:gridSpan w:val="8"/>
          </w:tcPr>
          <w:p>
            <w:pPr>
              <w:spacing w:after="0" w:line="196" w:lineRule="exact"/>
              <w:rPr>
                <w:rFonts w:ascii="Arial" w:cs="Arial" w:eastAsia="Arial" w:hAnsi="Arial"/>
                <w:sz w:val="18"/>
                <w:szCs w:val="18"/>
                <w:color w:val="0000EE"/>
              </w:rPr>
            </w:pPr>
            <w:hyperlink w:anchor="page37">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1A.</w:t>
            </w:r>
          </w:p>
        </w:tc>
        <w:tc>
          <w:tcPr>
            <w:tcW w:w="9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7"/>
              </w:rPr>
            </w:pPr>
            <w:hyperlink w:anchor="page37">
              <w:r>
                <w:rPr>
                  <w:rFonts w:ascii="Arial" w:cs="Arial" w:eastAsia="Arial" w:hAnsi="Arial"/>
                  <w:sz w:val="18"/>
                  <w:szCs w:val="18"/>
                  <w:color w:val="0000EE"/>
                  <w:w w:val="87"/>
                </w:rPr>
                <w:t>Risk Factors</w:t>
              </w:r>
            </w:hyperlink>
          </w:p>
        </w:tc>
        <w:tc>
          <w:tcPr>
            <w:tcW w:w="400" w:type="dxa"/>
            <w:vAlign w:val="bottom"/>
            <w:tcBorders>
              <w:top w:val="single" w:sz="8" w:color="0000EE"/>
            </w:tcBorders>
          </w:tcPr>
          <w:p>
            <w:pPr>
              <w:spacing w:after="0"/>
              <w:rPr>
                <w:sz w:val="17"/>
                <w:szCs w:val="17"/>
                <w:color w:val="auto"/>
              </w:rPr>
            </w:pPr>
          </w:p>
        </w:tc>
        <w:tc>
          <w:tcPr>
            <w:tcW w:w="862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2.</w:t>
            </w:r>
          </w:p>
        </w:tc>
        <w:tc>
          <w:tcPr>
            <w:tcW w:w="9920" w:type="dxa"/>
            <w:vAlign w:val="bottom"/>
            <w:gridSpan w:val="19"/>
          </w:tcPr>
          <w:p>
            <w:pPr>
              <w:spacing w:after="0" w:line="196" w:lineRule="exact"/>
              <w:rPr>
                <w:rFonts w:ascii="Arial" w:cs="Arial" w:eastAsia="Arial" w:hAnsi="Arial"/>
                <w:sz w:val="18"/>
                <w:szCs w:val="18"/>
                <w:color w:val="0000EE"/>
              </w:rPr>
            </w:pPr>
            <w:hyperlink w:anchor="page51">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w:anchor="page51">
              <w:r>
                <w:rPr>
                  <w:rFonts w:ascii="Arial" w:cs="Arial" w:eastAsia="Arial" w:hAnsi="Arial"/>
                  <w:sz w:val="18"/>
                  <w:szCs w:val="18"/>
                  <w:color w:val="0000EE"/>
                </w:rPr>
                <w:t>Exhibits</w:t>
              </w:r>
            </w:hyperlink>
          </w:p>
        </w:tc>
        <w:tc>
          <w:tcPr>
            <w:tcW w:w="568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196"/>
        </w:trPr>
        <w:tc>
          <w:tcPr>
            <w:tcW w:w="1000" w:type="dxa"/>
            <w:vAlign w:val="bottom"/>
            <w:gridSpan w:val="3"/>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Signatures</w:t>
              </w:r>
            </w:hyperlink>
          </w:p>
        </w:tc>
        <w:tc>
          <w:tcPr>
            <w:tcW w:w="54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3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00" w:type="dxa"/>
            <w:vAlign w:val="bottom"/>
            <w:gridSpan w:val="3"/>
          </w:tcPr>
          <w:p>
            <w:pPr>
              <w:spacing w:after="0" w:line="196" w:lineRule="exact"/>
              <w:rPr>
                <w:rFonts w:ascii="Arial" w:cs="Arial" w:eastAsia="Arial" w:hAnsi="Arial"/>
                <w:sz w:val="18"/>
                <w:szCs w:val="18"/>
                <w:color w:val="0000EE"/>
                <w:w w:val="95"/>
              </w:rPr>
            </w:pPr>
            <w:hyperlink w:anchor="page53">
              <w:r>
                <w:rPr>
                  <w:rFonts w:ascii="Arial" w:cs="Arial" w:eastAsia="Arial" w:hAnsi="Arial"/>
                  <w:sz w:val="18"/>
                  <w:szCs w:val="18"/>
                  <w:color w:val="0000EE"/>
                  <w:w w:val="95"/>
                </w:rPr>
                <w:t>Exhibit Index</w:t>
              </w:r>
            </w:hyperlink>
          </w:p>
        </w:tc>
        <w:tc>
          <w:tcPr>
            <w:tcW w:w="5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5960" w:type="dxa"/>
            <w:vAlign w:val="bottom"/>
            <w:gridSpan w:val="12"/>
          </w:tcPr>
          <w:p>
            <w:pPr>
              <w:ind w:left="468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34"/>
              <w:spacing w:after="0"/>
              <w:rPr>
                <w:sz w:val="20"/>
                <w:szCs w:val="20"/>
                <w:color w:val="auto"/>
              </w:rPr>
            </w:pPr>
            <w:r>
              <w:rPr>
                <w:rFonts w:ascii="Arial" w:cs="Arial" w:eastAsia="Arial" w:hAnsi="Arial"/>
                <w:sz w:val="14"/>
                <w:szCs w:val="14"/>
                <w:b w:val="1"/>
                <w:bCs w:val="1"/>
                <w:color w:val="auto"/>
                <w:w w:val="87"/>
              </w:rPr>
              <w:t>August 2,</w:t>
            </w:r>
          </w:p>
        </w:tc>
        <w:tc>
          <w:tcPr>
            <w:tcW w:w="300" w:type="dxa"/>
            <w:vAlign w:val="bottom"/>
          </w:tcPr>
          <w:p>
            <w:pPr>
              <w:spacing w:after="0"/>
              <w:rPr>
                <w:sz w:val="14"/>
                <w:szCs w:val="14"/>
                <w:color w:val="auto"/>
              </w:rPr>
            </w:pPr>
          </w:p>
        </w:tc>
        <w:tc>
          <w:tcPr>
            <w:tcW w:w="10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1,332,535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967,469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498,484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453,496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393,957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347,861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79,276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56,952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17,285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11,506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3,289,006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2,839,220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344,836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356,165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13,422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Goodwill</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38,072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49,035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150,413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160,366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5,865,694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880" w:type="dxa"/>
            <w:vAlign w:val="bottom"/>
            <w:vMerge w:val="continue"/>
          </w:tcPr>
          <w:p>
            <w:pPr>
              <w:spacing w:after="0"/>
              <w:rPr>
                <w:sz w:val="18"/>
                <w:szCs w:val="18"/>
                <w:color w:val="auto"/>
              </w:rPr>
            </w:pP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415,718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316,389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159,420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161,762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133,958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111,408</w:t>
            </w: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82,887</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61,747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791,983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651,306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72,019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81,325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40,158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42,469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904,160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775,100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3,049,864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2,941,650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597</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1,910,015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1,732,658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4,961,534</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4,675,910</w:t>
            </w: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5,865,694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5"/>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August 2,</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3,</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2,</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807,056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1,919,375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1,541,425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477,741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386,059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971,601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721,497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294,764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292,642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590,127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571,694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33,949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38,548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72,307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31,333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27,192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61,906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53,515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3,304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10,638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9,993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841,091</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755,079</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1,705,934</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1,446,567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120,454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51,977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213,441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94,858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12,263</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8,253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14,188</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11,413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132,717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60,230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227,629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106,271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Benefit for income taxes</w:t>
            </w:r>
          </w:p>
        </w:tc>
        <w:tc>
          <w:tcPr>
            <w:tcW w:w="100" w:type="dxa"/>
            <w:vAlign w:val="bottom"/>
          </w:tcPr>
          <w:p>
            <w:pPr>
              <w:spacing w:after="0"/>
              <w:rPr>
                <w:sz w:val="19"/>
                <w:szCs w:val="19"/>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(6,153)</w:t>
            </w:r>
          </w:p>
        </w:tc>
        <w:tc>
          <w:tcPr>
            <w:tcW w:w="100" w:type="dxa"/>
            <w:vAlign w:val="bottom"/>
          </w:tcPr>
          <w:p>
            <w:pPr>
              <w:spacing w:after="0"/>
              <w:rPr>
                <w:sz w:val="19"/>
                <w:szCs w:val="19"/>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(1,596)</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(10,720)</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(8,764)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138,870</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61,826</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238,349</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115,035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8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0.46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511,821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494,293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508,463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498,237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520,269</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500,625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520,510</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503,006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0.12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20" w:type="dxa"/>
            <w:vAlign w:val="bottom"/>
          </w:tcPr>
          <w:p>
            <w:pPr>
              <w:spacing w:after="0"/>
              <w:rPr>
                <w:sz w:val="14"/>
                <w:szCs w:val="14"/>
                <w:color w:val="auto"/>
              </w:rPr>
            </w:pPr>
          </w:p>
        </w:tc>
        <w:tc>
          <w:tcPr>
            <w:tcW w:w="192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76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72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August 2,</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August 3,</w:t>
            </w:r>
          </w:p>
        </w:tc>
        <w:tc>
          <w:tcPr>
            <w:tcW w:w="34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August 2,</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7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2013</w:t>
            </w:r>
          </w:p>
        </w:tc>
        <w:tc>
          <w:tcPr>
            <w:tcW w:w="3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2014</w:t>
            </w:r>
          </w:p>
        </w:tc>
        <w:tc>
          <w:tcPr>
            <w:tcW w:w="3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$138,870</w:t>
            </w:r>
          </w:p>
        </w:tc>
        <w:tc>
          <w:tcPr>
            <w:tcW w:w="3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$61,826</w:t>
            </w: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$238,349</w:t>
            </w: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$115,035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(221)</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(3,586)</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w:t>
            </w:r>
          </w:p>
        </w:tc>
        <w:tc>
          <w:tcPr>
            <w:tcW w:w="3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(34)</w:t>
            </w: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(251)</w:t>
            </w:r>
          </w:p>
        </w:tc>
        <w:tc>
          <w:tcPr>
            <w:tcW w:w="660" w:type="dxa"/>
            <w:vAlign w:val="bottom"/>
          </w:tcPr>
          <w:p>
            <w:pPr>
              <w:jc w:val="right"/>
              <w:spacing w:after="0"/>
              <w:rPr>
                <w:sz w:val="20"/>
                <w:szCs w:val="20"/>
                <w:color w:val="auto"/>
              </w:rPr>
            </w:pPr>
            <w:r>
              <w:rPr>
                <w:rFonts w:ascii="Arial" w:cs="Arial" w:eastAsia="Arial" w:hAnsi="Arial"/>
                <w:sz w:val="18"/>
                <w:szCs w:val="18"/>
                <w:color w:val="auto"/>
              </w:rPr>
              <w:t>143</w:t>
            </w:r>
          </w:p>
        </w:tc>
        <w:tc>
          <w:tcPr>
            <w:tcW w:w="34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(170)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473</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(270)</w:t>
            </w: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72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w:t>
            </w:r>
          </w:p>
        </w:tc>
        <w:tc>
          <w:tcPr>
            <w:tcW w:w="6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720" w:type="dxa"/>
            <w:vAlign w:val="bottom"/>
            <w:vMerge w:val="continue"/>
          </w:tcPr>
          <w:p>
            <w:pPr>
              <w:spacing w:after="0"/>
              <w:rPr>
                <w:sz w:val="19"/>
                <w:szCs w:val="19"/>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218</w:t>
            </w: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(3,748)</w:t>
            </w:r>
          </w:p>
        </w:tc>
        <w:tc>
          <w:tcPr>
            <w:tcW w:w="660" w:type="dxa"/>
            <w:vAlign w:val="bottom"/>
          </w:tcPr>
          <w:p>
            <w:pPr>
              <w:jc w:val="right"/>
              <w:spacing w:after="0"/>
              <w:rPr>
                <w:sz w:val="20"/>
                <w:szCs w:val="20"/>
                <w:color w:val="auto"/>
              </w:rPr>
            </w:pPr>
            <w:r>
              <w:rPr>
                <w:rFonts w:ascii="Arial" w:cs="Arial" w:eastAsia="Arial" w:hAnsi="Arial"/>
                <w:sz w:val="18"/>
                <w:szCs w:val="18"/>
                <w:color w:val="auto"/>
              </w:rPr>
              <w:t>30</w:t>
            </w:r>
          </w:p>
        </w:tc>
        <w:tc>
          <w:tcPr>
            <w:tcW w:w="340" w:type="dxa"/>
            <w:vAlign w:val="bottom"/>
          </w:tcPr>
          <w:p>
            <w:pPr>
              <w:spacing w:after="0"/>
              <w:rPr>
                <w:sz w:val="19"/>
                <w:szCs w:val="19"/>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(2,720)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7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139,088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58,078</w:t>
            </w:r>
          </w:p>
        </w:tc>
        <w:tc>
          <w:tcPr>
            <w:tcW w:w="3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238,379</w:t>
            </w:r>
          </w:p>
        </w:tc>
        <w:tc>
          <w:tcPr>
            <w:tcW w:w="3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112,315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7"/>
              </w:rPr>
              <w:t>August 2,</w:t>
            </w:r>
          </w:p>
        </w:tc>
        <w:tc>
          <w:tcPr>
            <w:tcW w:w="140" w:type="dxa"/>
            <w:vAlign w:val="bottom"/>
          </w:tcPr>
          <w:p>
            <w:pPr>
              <w:spacing w:after="0"/>
              <w:rPr>
                <w:sz w:val="14"/>
                <w:szCs w:val="14"/>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7"/>
              </w:rPr>
              <w:t>August 3,</w:t>
            </w:r>
          </w:p>
        </w:tc>
        <w:tc>
          <w:tcPr>
            <w:tcW w:w="0" w:type="dxa"/>
            <w:vAlign w:val="bottom"/>
          </w:tcPr>
          <w:p>
            <w:pPr>
              <w:spacing w:after="0"/>
              <w:rPr>
                <w:sz w:val="1"/>
                <w:szCs w:val="1"/>
                <w:color w:val="auto"/>
              </w:rPr>
            </w:pPr>
          </w:p>
        </w:tc>
      </w:tr>
      <w:tr>
        <w:trPr>
          <w:trHeight w:val="161"/>
        </w:trPr>
        <w:tc>
          <w:tcPr>
            <w:tcW w:w="9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180" w:type="dxa"/>
            <w:vAlign w:val="bottom"/>
          </w:tcPr>
          <w:p>
            <w:pPr>
              <w:spacing w:after="0"/>
              <w:rPr>
                <w:sz w:val="14"/>
                <w:szCs w:val="14"/>
                <w:color w:val="auto"/>
              </w:rPr>
            </w:pPr>
          </w:p>
        </w:tc>
        <w:tc>
          <w:tcPr>
            <w:tcW w:w="880" w:type="dxa"/>
            <w:vAlign w:val="bottom"/>
            <w:gridSpan w:val="2"/>
          </w:tcPr>
          <w:p>
            <w:pPr>
              <w:jc w:val="right"/>
              <w:ind w:right="15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238,349</w:t>
            </w:r>
          </w:p>
        </w:tc>
        <w:tc>
          <w:tcPr>
            <w:tcW w:w="18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$ 115,035</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53,269</w:t>
            </w:r>
          </w:p>
        </w:tc>
        <w:tc>
          <w:tcPr>
            <w:tcW w:w="18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50,663</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64,989</w:t>
            </w:r>
          </w:p>
        </w:tc>
        <w:tc>
          <w:tcPr>
            <w:tcW w:w="1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74,604</w:t>
            </w: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10,963</w:t>
            </w:r>
          </w:p>
        </w:tc>
        <w:tc>
          <w:tcPr>
            <w:tcW w:w="18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21,324</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(income), net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(6,126)</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4,339</w:t>
            </w: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(76)</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(30,159)</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(100,636)</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(46,299)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(84,293)</w:t>
            </w: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(27,157)</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19,305</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87,686</w:t>
            </w:r>
          </w:p>
        </w:tc>
        <w:tc>
          <w:tcPr>
            <w:tcW w:w="1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83,869</w:t>
            </w: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2,962</w:t>
            </w:r>
          </w:p>
        </w:tc>
        <w:tc>
          <w:tcPr>
            <w:tcW w:w="180" w:type="dxa"/>
            <w:vAlign w:val="bottom"/>
          </w:tcPr>
          <w:p>
            <w:pPr>
              <w:spacing w:after="0"/>
              <w:rPr>
                <w:sz w:val="18"/>
                <w:szCs w:val="18"/>
                <w:color w:val="auto"/>
              </w:rPr>
            </w:pP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(33,094)</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22,550</w:t>
            </w:r>
          </w:p>
        </w:tc>
        <w:tc>
          <w:tcPr>
            <w:tcW w:w="1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3,952</w:t>
            </w:r>
          </w:p>
        </w:tc>
        <w:tc>
          <w:tcPr>
            <w:tcW w:w="0" w:type="dxa"/>
            <w:vAlign w:val="bottom"/>
          </w:tcPr>
          <w:p>
            <w:pPr>
              <w:spacing w:after="0"/>
              <w:rPr>
                <w:sz w:val="1"/>
                <w:szCs w:val="1"/>
                <w:color w:val="auto"/>
              </w:rPr>
            </w:pPr>
          </w:p>
        </w:tc>
      </w:tr>
      <w:tr>
        <w:trPr>
          <w:trHeight w:val="223"/>
        </w:trPr>
        <w:tc>
          <w:tcPr>
            <w:tcW w:w="946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21,140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392,091</w:t>
            </w:r>
          </w:p>
        </w:tc>
        <w:tc>
          <w:tcPr>
            <w:tcW w:w="1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170,351</w:t>
            </w: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(335,770)</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(471,469)</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372,410</w:t>
            </w:r>
          </w:p>
        </w:tc>
        <w:tc>
          <w:tcPr>
            <w:tcW w:w="18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498,680</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(441)</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(750)</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(2,551)</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(9,409)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(7,610)</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(31,954)</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(39,061)</w:t>
            </w:r>
          </w:p>
        </w:tc>
        <w:tc>
          <w:tcPr>
            <w:tcW w:w="0" w:type="dxa"/>
            <w:vAlign w:val="bottom"/>
          </w:tcPr>
          <w:p>
            <w:pPr>
              <w:spacing w:after="0"/>
              <w:rPr>
                <w:sz w:val="1"/>
                <w:szCs w:val="1"/>
                <w:color w:val="auto"/>
              </w:rPr>
            </w:pPr>
          </w:p>
        </w:tc>
      </w:tr>
      <w:tr>
        <w:trPr>
          <w:trHeight w:val="27"/>
        </w:trPr>
        <w:tc>
          <w:tcPr>
            <w:tcW w:w="9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investing activities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(5,164)</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(22,761)</w:t>
            </w: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(304,808)</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68,374</w:t>
            </w:r>
          </w:p>
        </w:tc>
        <w:tc>
          <w:tcPr>
            <w:tcW w:w="18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73,121</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(24,923)</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(9,888)</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(60,992)</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(60,044)</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(2,677)</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(6,301)</w:t>
            </w:r>
          </w:p>
        </w:tc>
        <w:tc>
          <w:tcPr>
            <w:tcW w:w="0" w:type="dxa"/>
            <w:vAlign w:val="bottom"/>
          </w:tcPr>
          <w:p>
            <w:pPr>
              <w:spacing w:after="0"/>
              <w:rPr>
                <w:sz w:val="1"/>
                <w:szCs w:val="1"/>
                <w:color w:val="auto"/>
              </w:rPr>
            </w:pPr>
          </w:p>
        </w:tc>
      </w:tr>
      <w:tr>
        <w:trPr>
          <w:trHeight w:val="223"/>
        </w:trPr>
        <w:tc>
          <w:tcPr>
            <w:tcW w:w="946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(20,142)</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(307,888)</w:t>
            </w:r>
          </w:p>
        </w:tc>
        <w:tc>
          <w:tcPr>
            <w:tcW w:w="0" w:type="dxa"/>
            <w:vAlign w:val="bottom"/>
          </w:tcPr>
          <w:p>
            <w:pPr>
              <w:spacing w:after="0"/>
              <w:rPr>
                <w:sz w:val="1"/>
                <w:szCs w:val="1"/>
                <w:color w:val="auto"/>
              </w:rPr>
            </w:pPr>
          </w:p>
        </w:tc>
      </w:tr>
      <w:tr>
        <w:trPr>
          <w:trHeight w:val="20"/>
        </w:trPr>
        <w:tc>
          <w:tcPr>
            <w:tcW w:w="946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4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366,785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(160,298)</w:t>
            </w:r>
          </w:p>
        </w:tc>
        <w:tc>
          <w:tcPr>
            <w:tcW w:w="0" w:type="dxa"/>
            <w:vAlign w:val="bottom"/>
          </w:tcPr>
          <w:p>
            <w:pPr>
              <w:spacing w:after="0"/>
              <w:rPr>
                <w:sz w:val="1"/>
                <w:szCs w:val="1"/>
                <w:color w:val="auto"/>
              </w:rPr>
            </w:pPr>
          </w:p>
        </w:tc>
      </w:tr>
      <w:tr>
        <w:trPr>
          <w:trHeight w:val="218"/>
        </w:trPr>
        <w:tc>
          <w:tcPr>
            <w:tcW w:w="9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1,332,535</w:t>
            </w:r>
          </w:p>
        </w:tc>
        <w:tc>
          <w:tcPr>
            <w:tcW w:w="180" w:type="dxa"/>
            <w:vAlign w:val="bottom"/>
          </w:tcPr>
          <w:p>
            <w:pPr>
              <w:spacing w:after="0"/>
              <w:rPr>
                <w:sz w:val="19"/>
                <w:szCs w:val="19"/>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$ 591,655</w:t>
            </w:r>
          </w:p>
        </w:tc>
        <w:tc>
          <w:tcPr>
            <w:tcW w:w="0" w:type="dxa"/>
            <w:vAlign w:val="bottom"/>
          </w:tcPr>
          <w:p>
            <w:pPr>
              <w:spacing w:after="0"/>
              <w:rPr>
                <w:sz w:val="1"/>
                <w:szCs w:val="1"/>
                <w:color w:val="auto"/>
              </w:rPr>
            </w:pPr>
          </w:p>
        </w:tc>
      </w:tr>
      <w:tr>
        <w:trPr>
          <w:trHeight w:val="20"/>
        </w:trPr>
        <w:tc>
          <w:tcPr>
            <w:tcW w:w="9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2015 and 2014 each have a 52-week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August 2, 2014, the results of its operations for the three and six months ended August 2, 2014 and August 3, 2013, its comprehensive income for the three and six months ended August 2, 2014 and August 3, 2013, and its cash flows for the six months ended August 2, 2014 and August 3, 2013. The February 1, 2014 condensed consolidated balance sheet data was derived from the audited consolidated financial statements included in the Company’s Annual Report on Form 10-K for the fiscal year ended February 1, 2014, but does not include all disclosures required for annual periods.</w:t>
      </w:r>
    </w:p>
    <w:p>
      <w:pPr>
        <w:spacing w:after="0" w:line="118"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1, 2014 as filed on March 27, 2014 with the Securities and Exchange Commission. The results of operations for the three and six months ended August 2, 2014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Black-Scholes valuation model to calculate the fair value of share-based awards that are granted. Actual results could differ from these estimates, and such differences could affect the results of operations reported in future periods.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Under this amended guidance, a discontinued operation is defined as a disposal of a component or group of components that is disposed of or is classified as held for sale and represents a strategic shift that has (or will have) a major effect on an entity’s operations and financial results. In addition, this amendment requires an entity to present, for each comparative period, the assets and liabilities of a disposal group that includes a discontinued operation separately in the asset and liability sections, respectively, of the statement of financial position and additional disclosures about discontinued operations. This amended guidance is effective for annual and interim reporting periods beginning after December 15, 2014. The Company expects this guidance to have an impact on its financial statements only in the event of a future disposition which meets the criteria.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will supersede nearly all existing revenue recognition guidance under GAAP. The core principal of the standard is that an entity should recognize revenue when a customer has control of promised goods or services in an amount that reflects the consideration to which the entity expects to be entitled in exchange for those goods or services. It also requires additional disclosure about the nature, amount, timing and uncertainty of revenue and cash flows arising from customer contracts, and assets recognized from costs incurred to obtain or fulfill a contract, including significant judgments and changes in judgments. This standard is effective for annual and interim reporting periods beginning after December 15, 2016 and will be effective for the Company’s first quarter of fiscal 2018. Early adoption is not permitted. The standard allows for either full retrospective or modified retrospective adoption. We are evaluating the transition method that will be elected and the potential effects of its adoption on our financial statements.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jc w:val="right"/>
              <w:ind w:right="940"/>
              <w:spacing w:after="0"/>
              <w:rPr>
                <w:sz w:val="20"/>
                <w:szCs w:val="20"/>
                <w:color w:val="auto"/>
              </w:rPr>
            </w:pPr>
            <w:r>
              <w:rPr>
                <w:rFonts w:ascii="Arial" w:cs="Arial" w:eastAsia="Arial" w:hAnsi="Arial"/>
                <w:sz w:val="14"/>
                <w:szCs w:val="14"/>
                <w:b w:val="1"/>
                <w:bCs w:val="1"/>
                <w:color w:val="auto"/>
              </w:rPr>
              <w:t>August 2, 2014</w:t>
            </w:r>
          </w:p>
        </w:tc>
        <w:tc>
          <w:tcPr>
            <w:tcW w:w="6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9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ind w:left="40"/>
              <w:spacing w:after="0"/>
              <w:rPr>
                <w:sz w:val="20"/>
                <w:szCs w:val="20"/>
                <w:color w:val="auto"/>
              </w:rPr>
            </w:pPr>
            <w:r>
              <w:rPr>
                <w:rFonts w:ascii="Arial" w:cs="Arial" w:eastAsia="Arial" w:hAnsi="Arial"/>
                <w:sz w:val="14"/>
                <w:szCs w:val="14"/>
                <w:b w:val="1"/>
                <w:bCs w:val="1"/>
                <w:color w:val="auto"/>
              </w:rPr>
              <w:t>Gains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78"/>
              </w:rPr>
              <w:t>Losses</w:t>
            </w:r>
          </w:p>
        </w:tc>
        <w:tc>
          <w:tcPr>
            <w:tcW w:w="76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2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$600,495</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2,754</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(187)</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$603,062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250,395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103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(37)</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250,461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73,401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(48)</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25,427</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(22)</w:t>
            </w:r>
          </w:p>
        </w:tc>
        <w:tc>
          <w:tcPr>
            <w:tcW w:w="660" w:type="dxa"/>
            <w:vAlign w:val="bottom"/>
          </w:tcPr>
          <w:p>
            <w:pPr>
              <w:jc w:val="right"/>
              <w:spacing w:after="0"/>
              <w:rPr>
                <w:sz w:val="20"/>
                <w:szCs w:val="20"/>
                <w:color w:val="auto"/>
              </w:rPr>
            </w:pPr>
            <w:r>
              <w:rPr>
                <w:rFonts w:ascii="Arial" w:cs="Arial" w:eastAsia="Arial" w:hAnsi="Arial"/>
                <w:sz w:val="18"/>
                <w:szCs w:val="18"/>
                <w:color w:val="auto"/>
              </w:rPr>
              <w:t>25,430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15,060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964,778</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2,986</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(295)</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967,469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16,150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(2,728)</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16,150</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(2,728)</w:t>
            </w:r>
          </w:p>
        </w:tc>
        <w:tc>
          <w:tcPr>
            <w:tcW w:w="660" w:type="dxa"/>
            <w:vAlign w:val="bottom"/>
          </w:tcPr>
          <w:p>
            <w:pPr>
              <w:jc w:val="right"/>
              <w:spacing w:after="0"/>
              <w:rPr>
                <w:sz w:val="20"/>
                <w:szCs w:val="20"/>
                <w:color w:val="auto"/>
              </w:rPr>
            </w:pPr>
            <w:r>
              <w:rPr>
                <w:rFonts w:ascii="Arial" w:cs="Arial" w:eastAsia="Arial" w:hAnsi="Arial"/>
                <w:sz w:val="18"/>
                <w:szCs w:val="18"/>
                <w:color w:val="auto"/>
              </w:rPr>
              <w:t>13,422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22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980,928</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2,986</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(3,023)</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980,891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2220" w:type="dxa"/>
            <w:vAlign w:val="bottom"/>
            <w:vMerge w:val="restart"/>
          </w:tcPr>
          <w:p>
            <w:pPr>
              <w:jc w:val="right"/>
              <w:ind w:right="972"/>
              <w:spacing w:after="0"/>
              <w:rPr>
                <w:sz w:val="20"/>
                <w:szCs w:val="20"/>
                <w:color w:val="auto"/>
              </w:rPr>
            </w:pPr>
            <w:r>
              <w:rPr>
                <w:rFonts w:ascii="Arial" w:cs="Arial" w:eastAsia="Arial" w:hAnsi="Arial"/>
                <w:sz w:val="18"/>
                <w:szCs w:val="18"/>
                <w:color w:val="auto"/>
              </w:rPr>
              <w:t>7</w:t>
            </w:r>
          </w:p>
        </w:tc>
        <w:tc>
          <w:tcPr>
            <w:tcW w:w="6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2220" w:type="dxa"/>
            <w:vAlign w:val="bottom"/>
            <w:vMerge w:val="continue"/>
          </w:tcPr>
          <w:p>
            <w:pPr>
              <w:spacing w:after="0"/>
              <w:rPr>
                <w:sz w:val="24"/>
                <w:szCs w:val="24"/>
                <w:color w:val="auto"/>
              </w:rPr>
            </w:pPr>
          </w:p>
        </w:tc>
        <w:tc>
          <w:tcPr>
            <w:tcW w:w="6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February 1, 2014</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587,095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(370)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301,423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20,324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1,001,121</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3,062</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(528)</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(2,871)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(2,871)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1,020,271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(3,399)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August 2, 2014, the Company’s investment portfolio included auction rate securities with an aggregate par value of $16.2 million. Although these securities have continued to pay interest,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August 2, 2014 was $2.7 million less than the par value and was recorded in long-term investments. Based on the Company’s balance of approximately $2.3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tables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5"/>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2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00" w:type="dxa"/>
            <w:vAlign w:val="bottom"/>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1"/>
              </w:rPr>
              <w:t>August 2,</w:t>
            </w:r>
          </w:p>
        </w:tc>
        <w:tc>
          <w:tcPr>
            <w:tcW w:w="6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1"/>
              </w:rPr>
              <w:t>August 3,</w:t>
            </w:r>
          </w:p>
        </w:tc>
        <w:tc>
          <w:tcPr>
            <w:tcW w:w="3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2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2014</w:t>
            </w:r>
          </w:p>
        </w:tc>
        <w:tc>
          <w:tcPr>
            <w:tcW w:w="6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w w:val="89"/>
              </w:rPr>
              <w:t>2013</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89"/>
              </w:rPr>
              <w:t>2014</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w w:val="89"/>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480</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952</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Arial" w:cs="Arial" w:eastAsia="Arial" w:hAnsi="Arial"/>
                <w:sz w:val="18"/>
                <w:szCs w:val="18"/>
                <w:color w:val="auto"/>
              </w:rPr>
              <w:t>Gross realized losses</w:t>
            </w:r>
          </w:p>
        </w:tc>
        <w:tc>
          <w:tcPr>
            <w:tcW w:w="100" w:type="dxa"/>
            <w:vAlign w:val="bottom"/>
          </w:tcPr>
          <w:p>
            <w:pPr>
              <w:spacing w:after="0"/>
              <w:rPr>
                <w:sz w:val="18"/>
                <w:szCs w:val="18"/>
                <w:color w:val="auto"/>
              </w:rPr>
            </w:pPr>
          </w:p>
        </w:tc>
        <w:tc>
          <w:tcPr>
            <w:tcW w:w="440" w:type="dxa"/>
            <w:vAlign w:val="bottom"/>
          </w:tcPr>
          <w:p>
            <w:pPr>
              <w:ind w:left="18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(14)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(25)</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480</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w:t>
            </w:r>
          </w:p>
        </w:tc>
        <w:tc>
          <w:tcPr>
            <w:tcW w:w="34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2140" w:type="dxa"/>
            <w:vAlign w:val="bottom"/>
            <w:gridSpan w:val="4"/>
          </w:tcPr>
          <w:p>
            <w:pPr>
              <w:jc w:val="right"/>
              <w:ind w:right="840"/>
              <w:spacing w:after="0"/>
              <w:rPr>
                <w:sz w:val="20"/>
                <w:szCs w:val="20"/>
                <w:color w:val="auto"/>
              </w:rPr>
            </w:pPr>
            <w:r>
              <w:rPr>
                <w:rFonts w:ascii="Arial" w:cs="Arial" w:eastAsia="Arial" w:hAnsi="Arial"/>
                <w:sz w:val="14"/>
                <w:szCs w:val="14"/>
                <w:b w:val="1"/>
                <w:bCs w:val="1"/>
                <w:color w:val="auto"/>
              </w:rPr>
              <w:t>August 2, 2014</w:t>
            </w:r>
          </w:p>
        </w:tc>
        <w:tc>
          <w:tcPr>
            <w:tcW w:w="100" w:type="dxa"/>
            <w:vAlign w:val="bottom"/>
          </w:tcPr>
          <w:p>
            <w:pPr>
              <w:spacing w:after="0"/>
              <w:rPr>
                <w:sz w:val="14"/>
                <w:szCs w:val="14"/>
                <w:color w:val="auto"/>
              </w:rPr>
            </w:pPr>
          </w:p>
        </w:tc>
        <w:tc>
          <w:tcPr>
            <w:tcW w:w="1980" w:type="dxa"/>
            <w:vAlign w:val="bottom"/>
            <w:gridSpan w:val="6"/>
          </w:tcPr>
          <w:p>
            <w:pPr>
              <w:ind w:left="400"/>
              <w:spacing w:after="0"/>
              <w:rPr>
                <w:sz w:val="20"/>
                <w:szCs w:val="20"/>
                <w:color w:val="auto"/>
              </w:rPr>
            </w:pPr>
            <w:r>
              <w:rPr>
                <w:rFonts w:ascii="Arial" w:cs="Arial" w:eastAsia="Arial" w:hAnsi="Arial"/>
                <w:sz w:val="14"/>
                <w:szCs w:val="14"/>
                <w:b w:val="1"/>
                <w:bCs w:val="1"/>
                <w:color w:val="auto"/>
              </w:rPr>
              <w:t>February 1, 2014</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4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6"/>
              <w:spacing w:after="0" w:line="129" w:lineRule="exact"/>
              <w:rPr>
                <w:sz w:val="20"/>
                <w:szCs w:val="20"/>
                <w:color w:val="auto"/>
              </w:rPr>
            </w:pPr>
            <w:r>
              <w:rPr>
                <w:rFonts w:ascii="Arial" w:cs="Arial" w:eastAsia="Arial" w:hAnsi="Arial"/>
                <w:sz w:val="14"/>
                <w:szCs w:val="14"/>
                <w:b w:val="1"/>
                <w:bCs w:val="1"/>
                <w:color w:val="auto"/>
                <w:w w:val="86"/>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2"/>
              </w:rPr>
              <w:t>Fair Value</w:t>
            </w:r>
          </w:p>
        </w:tc>
        <w:tc>
          <w:tcPr>
            <w:tcW w:w="10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4"/>
                <w:szCs w:val="14"/>
                <w:color w:val="auto"/>
              </w:rPr>
            </w:pPr>
          </w:p>
        </w:tc>
        <w:tc>
          <w:tcPr>
            <w:tcW w:w="900" w:type="dxa"/>
            <w:vAlign w:val="bottom"/>
            <w:gridSpan w:val="3"/>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5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$285,659</w:t>
            </w:r>
          </w:p>
        </w:tc>
        <w:tc>
          <w:tcPr>
            <w:tcW w:w="4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7"/>
              </w:rPr>
              <w:t>$286,045</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309,543</w:t>
            </w: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309,861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3220" w:type="dxa"/>
            <w:vAlign w:val="bottom"/>
            <w:gridSpan w:val="2"/>
          </w:tcPr>
          <w:p>
            <w:pPr>
              <w:jc w:val="right"/>
              <w:spacing w:after="0"/>
              <w:rPr>
                <w:sz w:val="20"/>
                <w:szCs w:val="20"/>
                <w:color w:val="auto"/>
              </w:rPr>
            </w:pPr>
            <w:r>
              <w:rPr>
                <w:rFonts w:ascii="Arial" w:cs="Arial" w:eastAsia="Arial" w:hAnsi="Arial"/>
                <w:sz w:val="18"/>
                <w:szCs w:val="18"/>
                <w:color w:val="auto"/>
              </w:rPr>
              <w:t>674,803</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color w:val="auto"/>
              </w:rPr>
              <w:t>677,119</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686,062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688,280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5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20,466</w:t>
            </w:r>
          </w:p>
        </w:tc>
        <w:tc>
          <w:tcPr>
            <w:tcW w:w="4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17,727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24,666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980,928</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980,891</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1,020,271</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540" w:type="dxa"/>
            <w:vAlign w:val="bottom"/>
            <w:vMerge w:val="restart"/>
          </w:tcPr>
          <w:p>
            <w:pPr>
              <w:jc w:val="right"/>
              <w:ind w:right="892"/>
              <w:spacing w:after="0"/>
              <w:rPr>
                <w:sz w:val="20"/>
                <w:szCs w:val="20"/>
                <w:color w:val="auto"/>
              </w:rPr>
            </w:pPr>
            <w:r>
              <w:rPr>
                <w:rFonts w:ascii="Arial" w:cs="Arial" w:eastAsia="Arial" w:hAnsi="Arial"/>
                <w:sz w:val="18"/>
                <w:szCs w:val="18"/>
                <w:color w:val="auto"/>
              </w:rPr>
              <w:t>8</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54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ind w:left="260"/>
              <w:spacing w:after="0"/>
              <w:rPr>
                <w:sz w:val="20"/>
                <w:szCs w:val="20"/>
                <w:color w:val="auto"/>
              </w:rPr>
            </w:pPr>
            <w:r>
              <w:rPr>
                <w:rFonts w:ascii="Arial" w:cs="Arial" w:eastAsia="Arial" w:hAnsi="Arial"/>
                <w:sz w:val="14"/>
                <w:szCs w:val="14"/>
                <w:b w:val="1"/>
                <w:bCs w:val="1"/>
                <w:color w:val="auto"/>
              </w:rPr>
              <w:t>August 2, 2014</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ind w:left="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82,399</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7,807</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$ 90,206</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74,931</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(37)</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74,931</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19,927</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19,927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19,420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19,420</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702</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702</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13,422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(2,728)</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13,422</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(2,728)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197,379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(250)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21,229</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(2,773)</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218,608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590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90"/>
              </w:rPr>
              <w:t>February 1, 2014</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Value</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110,903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$ 113,008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(72)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18,865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1,912</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20,777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16,279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(2,871)</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16,279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(2,871)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237,908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20,296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(2,894)</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258,204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w w:val="87"/>
              </w:rPr>
              <w:t>August 2,</w:t>
            </w:r>
          </w:p>
        </w:tc>
        <w:tc>
          <w:tcPr>
            <w:tcW w:w="460" w:type="dxa"/>
            <w:vAlign w:val="bottom"/>
          </w:tcPr>
          <w:p>
            <w:pPr>
              <w:spacing w:after="0"/>
              <w:rPr>
                <w:sz w:val="14"/>
                <w:szCs w:val="14"/>
                <w:color w:val="auto"/>
              </w:rPr>
            </w:pPr>
          </w:p>
        </w:tc>
        <w:tc>
          <w:tcPr>
            <w:tcW w:w="84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tcPr>
          <w:p>
            <w:pPr>
              <w:jc w:val="right"/>
              <w:spacing w:after="0"/>
              <w:rPr>
                <w:sz w:val="20"/>
                <w:szCs w:val="20"/>
                <w:color w:val="auto"/>
              </w:rPr>
            </w:pPr>
            <w:r>
              <w:rPr>
                <w:rFonts w:ascii="Arial" w:cs="Arial" w:eastAsia="Arial" w:hAnsi="Arial"/>
                <w:sz w:val="14"/>
                <w:szCs w:val="14"/>
                <w:b w:val="1"/>
                <w:bCs w:val="1"/>
                <w:color w:val="auto"/>
              </w:rPr>
              <w:t>2014</w:t>
            </w:r>
          </w:p>
        </w:tc>
        <w:tc>
          <w:tcPr>
            <w:tcW w:w="140" w:type="dxa"/>
            <w:vAlign w:val="bottom"/>
          </w:tcPr>
          <w:p>
            <w:pPr>
              <w:spacing w:after="0"/>
              <w:rPr>
                <w:sz w:val="14"/>
                <w:szCs w:val="14"/>
                <w:color w:val="auto"/>
              </w:rPr>
            </w:pPr>
          </w:p>
        </w:tc>
        <w:tc>
          <w:tcPr>
            <w:tcW w:w="1180" w:type="dxa"/>
            <w:vAlign w:val="bottom"/>
            <w:gridSpan w:val="3"/>
          </w:tcPr>
          <w:p>
            <w:pPr>
              <w:jc w:val="right"/>
              <w:ind w:right="112"/>
              <w:spacing w:after="0"/>
              <w:rPr>
                <w:sz w:val="20"/>
                <w:szCs w:val="20"/>
                <w:color w:val="auto"/>
              </w:rPr>
            </w:pPr>
            <w:r>
              <w:rPr>
                <w:rFonts w:ascii="Arial" w:cs="Arial" w:eastAsia="Arial" w:hAnsi="Arial"/>
                <w:sz w:val="14"/>
                <w:szCs w:val="14"/>
                <w:b w:val="1"/>
                <w:bCs w:val="1"/>
                <w:color w:val="auto"/>
              </w:rPr>
              <w:t>2014</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4"/>
          </w:tcPr>
          <w:p>
            <w:pPr>
              <w:jc w:val="right"/>
              <w:spacing w:after="0"/>
              <w:rPr>
                <w:sz w:val="20"/>
                <w:szCs w:val="20"/>
                <w:color w:val="auto"/>
              </w:rPr>
            </w:pPr>
            <w:r>
              <w:rPr>
                <w:rFonts w:ascii="Arial" w:cs="Arial" w:eastAsia="Arial" w:hAnsi="Arial"/>
                <w:sz w:val="18"/>
                <w:szCs w:val="18"/>
                <w:color w:val="auto"/>
              </w:rPr>
              <w:t>$250,615</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$ 195,495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8"/>
              </w:rPr>
              <w:t>143,342</w:t>
            </w:r>
          </w:p>
        </w:tc>
        <w:tc>
          <w:tcPr>
            <w:tcW w:w="52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152,366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Total inventories</w:t>
            </w: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393,957</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$ 347,861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gridSpan w:val="4"/>
          </w:tcPr>
          <w:p>
            <w:pPr>
              <w:jc w:val="right"/>
              <w:ind w:right="260"/>
              <w:spacing w:after="0"/>
              <w:rPr>
                <w:sz w:val="20"/>
                <w:szCs w:val="20"/>
                <w:color w:val="auto"/>
              </w:rPr>
            </w:pPr>
            <w:r>
              <w:rPr>
                <w:rFonts w:ascii="Arial" w:cs="Arial" w:eastAsia="Arial" w:hAnsi="Arial"/>
                <w:sz w:val="14"/>
                <w:szCs w:val="14"/>
                <w:b w:val="1"/>
                <w:bCs w:val="1"/>
                <w:color w:val="auto"/>
                <w:w w:val="87"/>
              </w:rPr>
              <w:t>August 2,</w:t>
            </w:r>
          </w:p>
        </w:tc>
        <w:tc>
          <w:tcPr>
            <w:tcW w:w="460" w:type="dxa"/>
            <w:vAlign w:val="bottom"/>
          </w:tcPr>
          <w:p>
            <w:pPr>
              <w:spacing w:after="0"/>
              <w:rPr>
                <w:sz w:val="24"/>
                <w:szCs w:val="24"/>
                <w:color w:val="auto"/>
              </w:rPr>
            </w:pPr>
          </w:p>
        </w:tc>
        <w:tc>
          <w:tcPr>
            <w:tcW w:w="84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90"/>
              </w:rPr>
              <w:t>February 1,</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gridSpan w:val="3"/>
          </w:tcPr>
          <w:p>
            <w:pPr>
              <w:jc w:val="right"/>
              <w:ind w:right="182"/>
              <w:spacing w:after="0"/>
              <w:rPr>
                <w:sz w:val="20"/>
                <w:szCs w:val="20"/>
                <w:color w:val="auto"/>
              </w:rPr>
            </w:pPr>
            <w:r>
              <w:rPr>
                <w:rFonts w:ascii="Arial" w:cs="Arial" w:eastAsia="Arial" w:hAnsi="Arial"/>
                <w:sz w:val="14"/>
                <w:szCs w:val="14"/>
                <w:b w:val="1"/>
                <w:bCs w:val="1"/>
                <w:color w:val="auto"/>
              </w:rPr>
              <w:t>2014</w:t>
            </w:r>
          </w:p>
        </w:tc>
        <w:tc>
          <w:tcPr>
            <w:tcW w:w="140" w:type="dxa"/>
            <w:vAlign w:val="bottom"/>
          </w:tcPr>
          <w:p>
            <w:pPr>
              <w:spacing w:after="0"/>
              <w:rPr>
                <w:sz w:val="14"/>
                <w:szCs w:val="14"/>
                <w:color w:val="auto"/>
              </w:rPr>
            </w:pPr>
          </w:p>
        </w:tc>
        <w:tc>
          <w:tcPr>
            <w:tcW w:w="118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2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584,492</w:t>
            </w:r>
          </w:p>
        </w:tc>
        <w:tc>
          <w:tcPr>
            <w:tcW w:w="14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$ 562,038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4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96,619</w:t>
            </w:r>
          </w:p>
        </w:tc>
        <w:tc>
          <w:tcPr>
            <w:tcW w:w="14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96,096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4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49,687</w:t>
            </w:r>
          </w:p>
        </w:tc>
        <w:tc>
          <w:tcPr>
            <w:tcW w:w="14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49,645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49,830</w:t>
            </w:r>
          </w:p>
        </w:tc>
        <w:tc>
          <w:tcPr>
            <w:tcW w:w="14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49,060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27,577</w:t>
            </w:r>
          </w:p>
        </w:tc>
        <w:tc>
          <w:tcPr>
            <w:tcW w:w="14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27,621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1,046</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2,911</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w w:val="84"/>
              </w:rPr>
              <w:t>1,006,944</w:t>
            </w:r>
          </w:p>
        </w:tc>
        <w:tc>
          <w:tcPr>
            <w:tcW w:w="14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985,064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w w:val="95"/>
              </w:rPr>
              <w:t>(662,108)</w:t>
            </w:r>
          </w:p>
        </w:tc>
        <w:tc>
          <w:tcPr>
            <w:tcW w:w="13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(628,899)</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900" w:type="dxa"/>
            <w:vAlign w:val="bottom"/>
            <w:vMerge w:val="continue"/>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344,836</w:t>
            </w:r>
          </w:p>
        </w:tc>
        <w:tc>
          <w:tcPr>
            <w:tcW w:w="14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$ 356,165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540" w:type="dxa"/>
            <w:vAlign w:val="bottom"/>
            <w:vMerge w:val="restart"/>
          </w:tcPr>
          <w:p>
            <w:pPr>
              <w:jc w:val="right"/>
              <w:ind w:right="197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4"/>
              </w:rPr>
              <w:t>August 2,</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18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center"/>
              <w:ind w:right="2"/>
              <w:spacing w:after="0"/>
              <w:rPr>
                <w:sz w:val="20"/>
                <w:szCs w:val="20"/>
                <w:color w:val="auto"/>
              </w:rPr>
            </w:pPr>
            <w:r>
              <w:rPr>
                <w:rFonts w:ascii="Arial" w:cs="Arial" w:eastAsia="Arial" w:hAnsi="Arial"/>
                <w:sz w:val="14"/>
                <w:szCs w:val="14"/>
                <w:b w:val="1"/>
                <w:bCs w:val="1"/>
                <w:color w:val="auto"/>
                <w:w w:val="89"/>
              </w:rPr>
              <w:t>2014</w:t>
            </w: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8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70,841</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83,521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23,442</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19,282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9,006</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14,565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13,588</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13,744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Deposits</w:t>
            </w:r>
          </w:p>
        </w:tc>
        <w:tc>
          <w:tcPr>
            <w:tcW w:w="1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12,119</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12,433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8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21,417</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16,821</w:t>
            </w:r>
          </w:p>
        </w:tc>
        <w:tc>
          <w:tcPr>
            <w:tcW w:w="100" w:type="dxa"/>
            <w:vAlign w:val="bottom"/>
            <w:shd w:val="clear" w:color="auto" w:fill="CCEEFF"/>
          </w:tcPr>
          <w:p>
            <w:pPr>
              <w:spacing w:after="0"/>
              <w:rPr>
                <w:sz w:val="18"/>
                <w:szCs w:val="18"/>
                <w:color w:val="auto"/>
              </w:rPr>
            </w:pPr>
          </w:p>
        </w:tc>
      </w:tr>
      <w:tr>
        <w:trPr>
          <w:trHeight w:val="222"/>
        </w:trPr>
        <w:tc>
          <w:tcPr>
            <w:tcW w:w="4900" w:type="dxa"/>
            <w:vAlign w:val="bottom"/>
            <w:gridSpan w:val="2"/>
          </w:tcPr>
          <w:p>
            <w:pPr>
              <w:spacing w:after="0"/>
              <w:rPr>
                <w:sz w:val="20"/>
                <w:szCs w:val="20"/>
                <w:color w:val="auto"/>
              </w:rPr>
            </w:pPr>
            <w:r>
              <w:rPr>
                <w:rFonts w:ascii="Arial" w:cs="Arial" w:eastAsia="Arial" w:hAnsi="Arial"/>
                <w:sz w:val="18"/>
                <w:szCs w:val="18"/>
                <w:color w:val="auto"/>
              </w:rPr>
              <w:t>Total other non-current assets</w:t>
            </w:r>
          </w:p>
        </w:tc>
        <w:tc>
          <w:tcPr>
            <w:tcW w:w="248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150,413</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$ 160,366</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gridSpan w:val="2"/>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4"/>
              </w:rPr>
              <w:t>August 2,</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880" w:type="dxa"/>
            <w:vAlign w:val="bottom"/>
            <w:tcBorders>
              <w:bottom w:val="single" w:sz="8" w:color="CCEEFF"/>
            </w:tcBorders>
          </w:tcPr>
          <w:p>
            <w:pPr>
              <w:spacing w:after="0"/>
              <w:rPr>
                <w:sz w:val="14"/>
                <w:szCs w:val="14"/>
                <w:color w:val="auto"/>
              </w:rPr>
            </w:pPr>
          </w:p>
        </w:tc>
        <w:tc>
          <w:tcPr>
            <w:tcW w:w="18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center"/>
              <w:ind w:right="2"/>
              <w:spacing w:after="0"/>
              <w:rPr>
                <w:sz w:val="20"/>
                <w:szCs w:val="20"/>
                <w:color w:val="auto"/>
              </w:rPr>
            </w:pPr>
            <w:r>
              <w:rPr>
                <w:rFonts w:ascii="Arial" w:cs="Arial" w:eastAsia="Arial" w:hAnsi="Arial"/>
                <w:sz w:val="14"/>
                <w:szCs w:val="14"/>
                <w:b w:val="1"/>
                <w:bCs w:val="1"/>
                <w:color w:val="auto"/>
                <w:w w:val="89"/>
              </w:rPr>
              <w:t>2014</w:t>
            </w: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8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Accrued rebates</w:t>
            </w: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69,199</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61,616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26,459</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36,568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14,452</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18,482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17,522</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14,589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Other</w:t>
            </w:r>
          </w:p>
        </w:tc>
        <w:tc>
          <w:tcPr>
            <w:tcW w:w="18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31,788</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30,507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Total accrued liabilities</w:t>
            </w:r>
          </w:p>
        </w:tc>
        <w:tc>
          <w:tcPr>
            <w:tcW w:w="248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159,420</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$ 161,762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4"/>
              </w:rPr>
              <w:t>August 2,</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8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$21,654</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28,959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4,664</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Other</w:t>
            </w:r>
          </w:p>
        </w:tc>
        <w:tc>
          <w:tcPr>
            <w:tcW w:w="18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13,840</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40,158</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42,469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by component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900" w:right="8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20" w:type="dxa"/>
            <w:vAlign w:val="bottom"/>
            <w:gridSpan w:val="3"/>
          </w:tcPr>
          <w:p>
            <w:pPr>
              <w:jc w:val="center"/>
              <w:ind w:right="660"/>
              <w:spacing w:after="0"/>
              <w:rPr>
                <w:sz w:val="20"/>
                <w:szCs w:val="20"/>
                <w:color w:val="auto"/>
              </w:rPr>
            </w:pPr>
            <w:r>
              <w:rPr>
                <w:rFonts w:ascii="Arial" w:cs="Arial" w:eastAsia="Arial" w:hAnsi="Arial"/>
                <w:sz w:val="14"/>
                <w:szCs w:val="14"/>
                <w:b w:val="1"/>
                <w:bCs w:val="1"/>
                <w:color w:val="auto"/>
                <w:w w:val="90"/>
              </w:rPr>
              <w:t>Unrealized Gain</w:t>
            </w:r>
          </w:p>
        </w:tc>
        <w:tc>
          <w:tcPr>
            <w:tcW w:w="1620" w:type="dxa"/>
            <w:vAlign w:val="bottom"/>
            <w:gridSpan w:val="3"/>
          </w:tcPr>
          <w:p>
            <w:pPr>
              <w:jc w:val="center"/>
              <w:ind w:right="66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50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3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50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(Loss) on Cash</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50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5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2,534</w:t>
            </w:r>
          </w:p>
        </w:tc>
        <w:tc>
          <w:tcPr>
            <w:tcW w:w="66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(2,871)</w:t>
            </w:r>
          </w:p>
        </w:tc>
        <w:tc>
          <w:tcPr>
            <w:tcW w:w="66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934</w:t>
            </w:r>
          </w:p>
        </w:tc>
        <w:tc>
          <w:tcPr>
            <w:tcW w:w="3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1,012</w:t>
            </w: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143</w:t>
            </w: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734</w:t>
            </w:r>
          </w:p>
        </w:tc>
        <w:tc>
          <w:tcPr>
            <w:tcW w:w="360" w:type="dxa"/>
            <w:vAlign w:val="bottom"/>
          </w:tcPr>
          <w:p>
            <w:pPr>
              <w:spacing w:after="0"/>
              <w:rPr>
                <w:sz w:val="19"/>
                <w:szCs w:val="19"/>
                <w:color w:val="auto"/>
              </w:rPr>
            </w:pP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1,889</w:t>
            </w:r>
          </w:p>
        </w:tc>
      </w:tr>
      <w:tr>
        <w:trPr>
          <w:trHeight w:val="432"/>
        </w:trPr>
        <w:tc>
          <w:tcPr>
            <w:tcW w:w="120" w:type="dxa"/>
            <w:vAlign w:val="bottom"/>
          </w:tcPr>
          <w:p>
            <w:pPr>
              <w:spacing w:after="0"/>
              <w:rPr>
                <w:sz w:val="24"/>
                <w:szCs w:val="24"/>
                <w:color w:val="auto"/>
              </w:rPr>
            </w:pPr>
          </w:p>
        </w:tc>
        <w:tc>
          <w:tcPr>
            <w:tcW w:w="1500" w:type="dxa"/>
            <w:vAlign w:val="bottom"/>
            <w:gridSpan w:val="2"/>
          </w:tcPr>
          <w:p>
            <w:pPr>
              <w:jc w:val="right"/>
              <w:ind w:right="600"/>
              <w:spacing w:after="0"/>
              <w:rPr>
                <w:sz w:val="20"/>
                <w:szCs w:val="20"/>
                <w:color w:val="auto"/>
              </w:rPr>
            </w:pPr>
            <w:r>
              <w:rPr>
                <w:rFonts w:ascii="Arial" w:cs="Arial" w:eastAsia="Arial" w:hAnsi="Arial"/>
                <w:sz w:val="18"/>
                <w:szCs w:val="18"/>
                <w:color w:val="auto"/>
              </w:rPr>
              <w:t>(855)</w:t>
            </w:r>
          </w:p>
        </w:tc>
        <w:tc>
          <w:tcPr>
            <w:tcW w:w="100" w:type="dxa"/>
            <w:vAlign w:val="bottom"/>
          </w:tcPr>
          <w:p>
            <w:pPr>
              <w:spacing w:after="0"/>
              <w:rPr>
                <w:sz w:val="24"/>
                <w:szCs w:val="24"/>
                <w:color w:val="auto"/>
              </w:rPr>
            </w:pPr>
          </w:p>
        </w:tc>
        <w:tc>
          <w:tcPr>
            <w:tcW w:w="15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(1,004)</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(1,859)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-3157220</wp:posOffset>
            </wp:positionH>
            <wp:positionV relativeFrom="paragraph">
              <wp:posOffset>-555625</wp:posOffset>
            </wp:positionV>
            <wp:extent cx="6663690"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-3157220</wp:posOffset>
            </wp:positionH>
            <wp:positionV relativeFrom="paragraph">
              <wp:posOffset>-272415</wp:posOffset>
            </wp:positionV>
            <wp:extent cx="6663690" cy="2743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720" w:space="720"/>
            <w:col w:w="552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9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96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140" w:type="dxa"/>
            <w:vAlign w:val="bottom"/>
          </w:tcPr>
          <w:p>
            <w:pPr>
              <w:spacing w:after="0"/>
              <w:rPr>
                <w:sz w:val="17"/>
                <w:szCs w:val="17"/>
                <w:color w:val="auto"/>
              </w:rPr>
            </w:pPr>
          </w:p>
        </w:tc>
        <w:tc>
          <w:tcPr>
            <w:tcW w:w="820" w:type="dxa"/>
            <w:vAlign w:val="bottom"/>
          </w:tcPr>
          <w:p>
            <w:pPr>
              <w:jc w:val="right"/>
              <w:spacing w:after="0" w:line="204" w:lineRule="exact"/>
              <w:rPr>
                <w:sz w:val="20"/>
                <w:szCs w:val="20"/>
                <w:color w:val="auto"/>
              </w:rPr>
            </w:pPr>
            <w:r>
              <w:rPr>
                <w:rFonts w:ascii="Arial" w:cs="Arial" w:eastAsia="Arial" w:hAnsi="Arial"/>
                <w:sz w:val="18"/>
                <w:szCs w:val="18"/>
                <w:color w:val="auto"/>
              </w:rPr>
              <w:t>157</w:t>
            </w:r>
          </w:p>
        </w:tc>
        <w:tc>
          <w:tcPr>
            <w:tcW w:w="6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143</w:t>
            </w: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60" w:type="dxa"/>
            <w:vAlign w:val="bottom"/>
            <w:gridSpan w:val="2"/>
          </w:tcPr>
          <w:p>
            <w:pPr>
              <w:jc w:val="right"/>
              <w:ind w:right="300"/>
              <w:spacing w:after="0" w:line="204" w:lineRule="exact"/>
              <w:rPr>
                <w:sz w:val="20"/>
                <w:szCs w:val="20"/>
                <w:color w:val="auto"/>
              </w:rPr>
            </w:pPr>
            <w:r>
              <w:rPr>
                <w:rFonts w:ascii="Arial" w:cs="Arial" w:eastAsia="Arial" w:hAnsi="Arial"/>
                <w:sz w:val="18"/>
                <w:szCs w:val="18"/>
                <w:color w:val="auto"/>
              </w:rPr>
              <w:t>(270)</w:t>
            </w:r>
          </w:p>
        </w:tc>
        <w:tc>
          <w:tcPr>
            <w:tcW w:w="960" w:type="dxa"/>
            <w:vAlign w:val="bottom"/>
            <w:gridSpan w:val="3"/>
          </w:tcPr>
          <w:p>
            <w:pPr>
              <w:jc w:val="right"/>
              <w:ind w:right="100"/>
              <w:spacing w:after="0" w:line="204"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2, 2014</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2,691</w:t>
            </w: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(2,728)</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664</w:t>
            </w:r>
          </w:p>
        </w:tc>
        <w:tc>
          <w:tcPr>
            <w:tcW w:w="36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627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9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20" w:type="dxa"/>
            <w:vAlign w:val="bottom"/>
          </w:tcPr>
          <w:p>
            <w:pPr>
              <w:jc w:val="right"/>
              <w:ind w:right="512"/>
              <w:spacing w:after="0"/>
              <w:rPr>
                <w:sz w:val="20"/>
                <w:szCs w:val="20"/>
                <w:color w:val="auto"/>
              </w:rPr>
            </w:pPr>
            <w:r>
              <w:rPr>
                <w:rFonts w:ascii="Arial" w:cs="Arial" w:eastAsia="Arial" w:hAnsi="Arial"/>
                <w:sz w:val="18"/>
                <w:szCs w:val="18"/>
                <w:color w:val="auto"/>
                <w:w w:val="99"/>
              </w:rPr>
              <w:t>10</w:t>
            </w: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ectPr>
          <w:pgSz w:w="11900" w:h="16838" w:orient="portrait"/>
          <w:cols w:equalWidth="0" w:num="1">
            <w:col w:w="11220"/>
          </w:cols>
          <w:pgMar w:left="24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2, 2013</w:t>
      </w:r>
    </w:p>
    <w:p>
      <w:pPr>
        <w:spacing w:after="0" w:line="23" w:lineRule="exact"/>
        <w:rPr>
          <w:sz w:val="20"/>
          <w:szCs w:val="20"/>
          <w:color w:val="auto"/>
        </w:rPr>
      </w:pPr>
    </w:p>
    <w:p>
      <w:pPr>
        <w:ind w:left="900" w:right="18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3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80" w:type="dxa"/>
            <w:vAlign w:val="bottom"/>
            <w:gridSpan w:val="3"/>
          </w:tcPr>
          <w:p>
            <w:pPr>
              <w:jc w:val="center"/>
              <w:ind w:right="600"/>
              <w:spacing w:after="0"/>
              <w:rPr>
                <w:sz w:val="20"/>
                <w:szCs w:val="20"/>
                <w:color w:val="auto"/>
              </w:rPr>
            </w:pPr>
            <w:r>
              <w:rPr>
                <w:rFonts w:ascii="Arial" w:cs="Arial" w:eastAsia="Arial" w:hAnsi="Arial"/>
                <w:sz w:val="14"/>
                <w:szCs w:val="14"/>
                <w:b w:val="1"/>
                <w:bCs w:val="1"/>
                <w:color w:val="auto"/>
                <w:w w:val="88"/>
              </w:rPr>
              <w:t>Unrealized Gain</w:t>
            </w:r>
          </w:p>
        </w:tc>
        <w:tc>
          <w:tcPr>
            <w:tcW w:w="1580" w:type="dxa"/>
            <w:vAlign w:val="bottom"/>
            <w:gridSpan w:val="3"/>
          </w:tcPr>
          <w:p>
            <w:pPr>
              <w:jc w:val="center"/>
              <w:ind w:right="60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2"/>
              </w:rPr>
              <w:t>(Loss) on</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4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8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5"/>
              </w:rPr>
              <w:t>Flow Hedges</w:t>
            </w:r>
          </w:p>
        </w:tc>
        <w:tc>
          <w:tcPr>
            <w:tcW w:w="2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2,742</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(2,681)</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1,087</w:t>
            </w: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9"/>
              </w:rPr>
              <w:t>$ 1,148</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1460" w:type="dxa"/>
            <w:vAlign w:val="bottom"/>
            <w:gridSpan w:val="2"/>
          </w:tcPr>
          <w:p>
            <w:pPr>
              <w:jc w:val="right"/>
              <w:ind w:right="560"/>
              <w:spacing w:after="0"/>
              <w:rPr>
                <w:sz w:val="20"/>
                <w:szCs w:val="20"/>
                <w:color w:val="auto"/>
              </w:rPr>
            </w:pPr>
            <w:r>
              <w:rPr>
                <w:rFonts w:ascii="Arial" w:cs="Arial" w:eastAsia="Arial" w:hAnsi="Arial"/>
                <w:sz w:val="18"/>
                <w:szCs w:val="18"/>
                <w:color w:val="auto"/>
              </w:rPr>
              <w:t>(1,991)</w:t>
            </w:r>
          </w:p>
        </w:tc>
        <w:tc>
          <w:tcPr>
            <w:tcW w:w="100" w:type="dxa"/>
            <w:vAlign w:val="bottom"/>
          </w:tcPr>
          <w:p>
            <w:pPr>
              <w:spacing w:after="0"/>
              <w:rPr>
                <w:sz w:val="19"/>
                <w:szCs w:val="19"/>
                <w:color w:val="auto"/>
              </w:rPr>
            </w:pPr>
          </w:p>
        </w:tc>
        <w:tc>
          <w:tcPr>
            <w:tcW w:w="1480" w:type="dxa"/>
            <w:vAlign w:val="bottom"/>
            <w:gridSpan w:val="2"/>
          </w:tcPr>
          <w:p>
            <w:pPr>
              <w:jc w:val="right"/>
              <w:ind w:right="560"/>
              <w:spacing w:after="0"/>
              <w:rPr>
                <w:sz w:val="20"/>
                <w:szCs w:val="20"/>
                <w:color w:val="auto"/>
              </w:rPr>
            </w:pPr>
            <w:r>
              <w:rPr>
                <w:rFonts w:ascii="Arial" w:cs="Arial" w:eastAsia="Arial" w:hAnsi="Arial"/>
                <w:sz w:val="18"/>
                <w:szCs w:val="18"/>
                <w:color w:val="auto"/>
              </w:rPr>
              <w:t>(170)</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1,921</w:t>
            </w:r>
          </w:p>
        </w:tc>
        <w:tc>
          <w:tcPr>
            <w:tcW w:w="36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(240)</w:t>
            </w:r>
          </w:p>
        </w:tc>
      </w:tr>
      <w:tr>
        <w:trPr>
          <w:trHeight w:val="432"/>
        </w:trPr>
        <w:tc>
          <w:tcPr>
            <w:tcW w:w="120" w:type="dxa"/>
            <w:vAlign w:val="bottom"/>
          </w:tcPr>
          <w:p>
            <w:pPr>
              <w:spacing w:after="0"/>
              <w:rPr>
                <w:sz w:val="24"/>
                <w:szCs w:val="24"/>
                <w:color w:val="auto"/>
              </w:rPr>
            </w:pPr>
          </w:p>
        </w:tc>
        <w:tc>
          <w:tcPr>
            <w:tcW w:w="1460" w:type="dxa"/>
            <w:vAlign w:val="bottom"/>
            <w:gridSpan w:val="2"/>
          </w:tcPr>
          <w:p>
            <w:pPr>
              <w:jc w:val="right"/>
              <w:ind w:right="560"/>
              <w:spacing w:after="0"/>
              <w:rPr>
                <w:sz w:val="20"/>
                <w:szCs w:val="20"/>
                <w:color w:val="auto"/>
              </w:rPr>
            </w:pPr>
            <w:r>
              <w:rPr>
                <w:rFonts w:ascii="Arial" w:cs="Arial" w:eastAsia="Arial" w:hAnsi="Arial"/>
                <w:sz w:val="18"/>
                <w:szCs w:val="18"/>
                <w:color w:val="auto"/>
              </w:rPr>
              <w:t>(543)</w:t>
            </w:r>
          </w:p>
        </w:tc>
        <w:tc>
          <w:tcPr>
            <w:tcW w:w="100" w:type="dxa"/>
            <w:vAlign w:val="bottom"/>
          </w:tcPr>
          <w:p>
            <w:pPr>
              <w:spacing w:after="0"/>
              <w:rPr>
                <w:sz w:val="24"/>
                <w:szCs w:val="24"/>
                <w:color w:val="auto"/>
              </w:rPr>
            </w:pPr>
          </w:p>
        </w:tc>
        <w:tc>
          <w:tcPr>
            <w:tcW w:w="148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(1,937)</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(2,480)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-3220720</wp:posOffset>
            </wp:positionH>
            <wp:positionV relativeFrom="paragraph">
              <wp:posOffset>-555625</wp:posOffset>
            </wp:positionV>
            <wp:extent cx="6663690" cy="1460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-3220720</wp:posOffset>
            </wp:positionH>
            <wp:positionV relativeFrom="paragraph">
              <wp:posOffset>-272415</wp:posOffset>
            </wp:positionV>
            <wp:extent cx="6663690" cy="2743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820" w:space="720"/>
            <w:col w:w="5680"/>
          </w:cols>
          <w:pgMar w:left="240" w:top="459" w:right="43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06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300" w:type="dxa"/>
            <w:vAlign w:val="bottom"/>
          </w:tcPr>
          <w:p>
            <w:pPr>
              <w:spacing w:after="0"/>
              <w:rPr>
                <w:sz w:val="17"/>
                <w:szCs w:val="17"/>
                <w:color w:val="auto"/>
              </w:rPr>
            </w:pPr>
          </w:p>
        </w:tc>
        <w:tc>
          <w:tcPr>
            <w:tcW w:w="1000" w:type="dxa"/>
            <w:vAlign w:val="bottom"/>
            <w:gridSpan w:val="2"/>
          </w:tcPr>
          <w:p>
            <w:pPr>
              <w:jc w:val="right"/>
              <w:ind w:right="280"/>
              <w:spacing w:after="0" w:line="204" w:lineRule="exact"/>
              <w:rPr>
                <w:sz w:val="20"/>
                <w:szCs w:val="20"/>
                <w:color w:val="auto"/>
              </w:rPr>
            </w:pPr>
            <w:r>
              <w:rPr>
                <w:rFonts w:ascii="Arial" w:cs="Arial" w:eastAsia="Arial" w:hAnsi="Arial"/>
                <w:sz w:val="18"/>
                <w:szCs w:val="18"/>
                <w:color w:val="auto"/>
              </w:rPr>
              <w:t>(2,534)</w:t>
            </w:r>
          </w:p>
        </w:tc>
        <w:tc>
          <w:tcPr>
            <w:tcW w:w="2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0" w:type="dxa"/>
            <w:vAlign w:val="bottom"/>
            <w:gridSpan w:val="2"/>
          </w:tcPr>
          <w:p>
            <w:pPr>
              <w:jc w:val="right"/>
              <w:ind w:right="280"/>
              <w:spacing w:after="0" w:line="204" w:lineRule="exact"/>
              <w:rPr>
                <w:sz w:val="20"/>
                <w:szCs w:val="20"/>
                <w:color w:val="auto"/>
              </w:rPr>
            </w:pPr>
            <w:r>
              <w:rPr>
                <w:rFonts w:ascii="Arial" w:cs="Arial" w:eastAsia="Arial" w:hAnsi="Arial"/>
                <w:sz w:val="18"/>
                <w:szCs w:val="18"/>
                <w:color w:val="auto"/>
              </w:rPr>
              <w:t>(170)</w:t>
            </w: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980" w:type="dxa"/>
            <w:vAlign w:val="bottom"/>
            <w:gridSpan w:val="2"/>
          </w:tcPr>
          <w:p>
            <w:pPr>
              <w:jc w:val="right"/>
              <w:ind w:right="300"/>
              <w:spacing w:after="0" w:line="204" w:lineRule="exact"/>
              <w:rPr>
                <w:sz w:val="20"/>
                <w:szCs w:val="20"/>
                <w:color w:val="auto"/>
              </w:rPr>
            </w:pPr>
            <w:r>
              <w:rPr>
                <w:rFonts w:ascii="Arial" w:cs="Arial" w:eastAsia="Arial" w:hAnsi="Arial"/>
                <w:sz w:val="18"/>
                <w:szCs w:val="18"/>
                <w:color w:val="auto"/>
              </w:rPr>
              <w:t>(16)</w:t>
            </w:r>
          </w:p>
        </w:tc>
        <w:tc>
          <w:tcPr>
            <w:tcW w:w="94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(2,720)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3, 2013</w:t>
            </w: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(2,851)</w:t>
            </w:r>
          </w:p>
        </w:tc>
        <w:tc>
          <w:tcPr>
            <w:tcW w:w="6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1,071</w:t>
            </w:r>
          </w:p>
        </w:tc>
        <w:tc>
          <w:tcPr>
            <w:tcW w:w="36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(1,572)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7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100" w:type="dxa"/>
            <w:vAlign w:val="bottom"/>
          </w:tcPr>
          <w:p>
            <w:pPr>
              <w:spacing w:after="0"/>
              <w:rPr>
                <w:sz w:val="14"/>
                <w:szCs w:val="14"/>
                <w:color w:val="auto"/>
              </w:rPr>
            </w:pPr>
          </w:p>
        </w:tc>
        <w:tc>
          <w:tcPr>
            <w:tcW w:w="1480" w:type="dxa"/>
            <w:vAlign w:val="bottom"/>
            <w:gridSpan w:val="4"/>
          </w:tcPr>
          <w:p>
            <w:pPr>
              <w:jc w:val="right"/>
              <w:ind w:right="95"/>
              <w:spacing w:after="0"/>
              <w:rPr>
                <w:sz w:val="20"/>
                <w:szCs w:val="20"/>
                <w:color w:val="auto"/>
              </w:rPr>
            </w:pPr>
            <w:r>
              <w:rPr>
                <w:rFonts w:ascii="Arial" w:cs="Arial" w:eastAsia="Arial" w:hAnsi="Arial"/>
                <w:sz w:val="14"/>
                <w:szCs w:val="14"/>
                <w:b w:val="1"/>
                <w:bCs w:val="1"/>
                <w:color w:val="auto"/>
                <w:w w:val="92"/>
              </w:rPr>
              <w:t>Three Months Ended</w:t>
            </w: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60" w:type="dxa"/>
            <w:vAlign w:val="bottom"/>
            <w:gridSpan w:val="5"/>
          </w:tcPr>
          <w:p>
            <w:pPr>
              <w:ind w:left="1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6"/>
        </w:trPr>
        <w:tc>
          <w:tcPr>
            <w:tcW w:w="6780" w:type="dxa"/>
            <w:vAlign w:val="bottom"/>
            <w:gridSpan w:val="2"/>
            <w:vMerge w:val="continue"/>
          </w:tcPr>
          <w:p>
            <w:pPr>
              <w:spacing w:after="0"/>
              <w:rPr>
                <w:sz w:val="10"/>
                <w:szCs w:val="10"/>
                <w:color w:val="auto"/>
              </w:rPr>
            </w:pPr>
          </w:p>
        </w:tc>
        <w:tc>
          <w:tcPr>
            <w:tcW w:w="5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5"/>
              </w:rPr>
              <w:t>August 2,</w:t>
            </w:r>
          </w:p>
        </w:tc>
        <w:tc>
          <w:tcPr>
            <w:tcW w:w="480" w:type="dxa"/>
            <w:vAlign w:val="bottom"/>
            <w:tcBorders>
              <w:top w:val="single" w:sz="8" w:color="auto"/>
            </w:tcBorders>
          </w:tcPr>
          <w:p>
            <w:pPr>
              <w:spacing w:after="0"/>
              <w:rPr>
                <w:sz w:val="10"/>
                <w:szCs w:val="10"/>
                <w:color w:val="auto"/>
              </w:rPr>
            </w:pPr>
          </w:p>
        </w:tc>
        <w:tc>
          <w:tcPr>
            <w:tcW w:w="56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8"/>
              </w:rPr>
              <w:t>August 3,</w:t>
            </w:r>
          </w:p>
        </w:tc>
        <w:tc>
          <w:tcPr>
            <w:tcW w:w="460" w:type="dxa"/>
            <w:vAlign w:val="bottom"/>
          </w:tcPr>
          <w:p>
            <w:pPr>
              <w:spacing w:after="0"/>
              <w:rPr>
                <w:sz w:val="10"/>
                <w:szCs w:val="10"/>
                <w:color w:val="auto"/>
              </w:rPr>
            </w:pPr>
          </w:p>
        </w:tc>
        <w:tc>
          <w:tcPr>
            <w:tcW w:w="56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8"/>
              </w:rPr>
              <w:t>August 2,</w:t>
            </w:r>
          </w:p>
        </w:tc>
        <w:tc>
          <w:tcPr>
            <w:tcW w:w="480" w:type="dxa"/>
            <w:vAlign w:val="bottom"/>
            <w:tcBorders>
              <w:top w:val="single" w:sz="8" w:color="auto"/>
            </w:tcBorders>
          </w:tcPr>
          <w:p>
            <w:pPr>
              <w:spacing w:after="0"/>
              <w:rPr>
                <w:sz w:val="10"/>
                <w:szCs w:val="10"/>
                <w:color w:val="auto"/>
              </w:rPr>
            </w:pPr>
          </w:p>
        </w:tc>
        <w:tc>
          <w:tcPr>
            <w:tcW w:w="54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5"/>
              </w:rPr>
              <w:t>August 3,</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5"/>
              </w:rPr>
              <w:t>Statement of Operations</w:t>
            </w:r>
          </w:p>
        </w:tc>
        <w:tc>
          <w:tcPr>
            <w:tcW w:w="5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0" w:type="dxa"/>
            <w:vAlign w:val="bottom"/>
          </w:tcPr>
          <w:p>
            <w:pPr>
              <w:jc w:val="right"/>
              <w:ind w:right="57"/>
              <w:spacing w:after="0"/>
              <w:rPr>
                <w:sz w:val="20"/>
                <w:szCs w:val="20"/>
                <w:color w:val="auto"/>
              </w:rPr>
            </w:pPr>
            <w:r>
              <w:rPr>
                <w:rFonts w:ascii="Arial" w:cs="Arial" w:eastAsia="Arial" w:hAnsi="Arial"/>
                <w:sz w:val="14"/>
                <w:szCs w:val="14"/>
                <w:b w:val="1"/>
                <w:bCs w:val="1"/>
                <w:color w:val="auto"/>
                <w:w w:val="89"/>
              </w:rPr>
              <w:t>2014</w:t>
            </w: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40" w:type="dxa"/>
            <w:vAlign w:val="bottom"/>
          </w:tcPr>
          <w:p>
            <w:pPr>
              <w:jc w:val="right"/>
              <w:ind w:right="55"/>
              <w:spacing w:after="0"/>
              <w:rPr>
                <w:sz w:val="20"/>
                <w:szCs w:val="20"/>
                <w:color w:val="auto"/>
              </w:rPr>
            </w:pPr>
            <w:r>
              <w:rPr>
                <w:rFonts w:ascii="Arial" w:cs="Arial" w:eastAsia="Arial" w:hAnsi="Arial"/>
                <w:sz w:val="14"/>
                <w:szCs w:val="14"/>
                <w:b w:val="1"/>
                <w:bCs w:val="1"/>
                <w:color w:val="auto"/>
                <w:w w:val="89"/>
              </w:rPr>
              <w:t>2013</w:t>
            </w:r>
          </w:p>
        </w:tc>
        <w:tc>
          <w:tcPr>
            <w:tcW w:w="4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40" w:type="dxa"/>
            <w:vAlign w:val="bottom"/>
          </w:tcPr>
          <w:p>
            <w:pPr>
              <w:jc w:val="right"/>
              <w:ind w:right="57"/>
              <w:spacing w:after="0"/>
              <w:rPr>
                <w:sz w:val="20"/>
                <w:szCs w:val="20"/>
                <w:color w:val="auto"/>
              </w:rPr>
            </w:pPr>
            <w:r>
              <w:rPr>
                <w:rFonts w:ascii="Arial" w:cs="Arial" w:eastAsia="Arial" w:hAnsi="Arial"/>
                <w:sz w:val="14"/>
                <w:szCs w:val="14"/>
                <w:b w:val="1"/>
                <w:bCs w:val="1"/>
                <w:color w:val="auto"/>
                <w:w w:val="89"/>
              </w:rPr>
              <w:t>2014</w:t>
            </w: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40" w:type="dxa"/>
            <w:vAlign w:val="bottom"/>
          </w:tcPr>
          <w:p>
            <w:pPr>
              <w:jc w:val="right"/>
              <w:ind w:right="55"/>
              <w:spacing w:after="0"/>
              <w:rPr>
                <w:sz w:val="20"/>
                <w:szCs w:val="20"/>
                <w:color w:val="auto"/>
              </w:rPr>
            </w:pPr>
            <w:r>
              <w:rPr>
                <w:rFonts w:ascii="Arial" w:cs="Arial" w:eastAsia="Arial" w:hAnsi="Arial"/>
                <w:sz w:val="14"/>
                <w:szCs w:val="14"/>
                <w:b w:val="1"/>
                <w:bCs w:val="1"/>
                <w:color w:val="auto"/>
                <w:w w:val="89"/>
              </w:rPr>
              <w:t>2013</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678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Available-for-sale securities:</w:t>
            </w:r>
          </w:p>
        </w:tc>
        <w:tc>
          <w:tcPr>
            <w:tcW w:w="100" w:type="dxa"/>
            <w:vAlign w:val="bottom"/>
            <w:tcBorders>
              <w:top w:val="single" w:sz="8" w:color="auto"/>
            </w:tcBorders>
            <w:shd w:val="clear" w:color="auto" w:fill="CCEEFF"/>
          </w:tcPr>
          <w:p>
            <w:pPr>
              <w:spacing w:after="0"/>
              <w:rPr>
                <w:sz w:val="16"/>
                <w:szCs w:val="16"/>
                <w:color w:val="auto"/>
              </w:rPr>
            </w:pPr>
          </w:p>
        </w:tc>
        <w:tc>
          <w:tcPr>
            <w:tcW w:w="44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440" w:type="dxa"/>
            <w:vAlign w:val="bottom"/>
            <w:tcBorders>
              <w:top w:val="single" w:sz="8" w:color="auto"/>
            </w:tcBorders>
            <w:shd w:val="clear" w:color="auto" w:fill="CCEEFF"/>
          </w:tcPr>
          <w:p>
            <w:pPr>
              <w:spacing w:after="0"/>
              <w:rPr>
                <w:sz w:val="16"/>
                <w:szCs w:val="16"/>
                <w:color w:val="auto"/>
              </w:rPr>
            </w:pPr>
          </w:p>
        </w:tc>
        <w:tc>
          <w:tcPr>
            <w:tcW w:w="46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44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44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780" w:type="dxa"/>
            <w:vAlign w:val="bottom"/>
            <w:gridSpan w:val="2"/>
          </w:tcPr>
          <w:p>
            <w:pPr>
              <w:ind w:left="440"/>
              <w:spacing w:after="0"/>
              <w:rPr>
                <w:sz w:val="20"/>
                <w:szCs w:val="20"/>
                <w:color w:val="auto"/>
              </w:rPr>
            </w:pPr>
            <w:r>
              <w:rPr>
                <w:rFonts w:ascii="Arial" w:cs="Arial" w:eastAsia="Arial" w:hAnsi="Arial"/>
                <w:sz w:val="18"/>
                <w:szCs w:val="18"/>
                <w:color w:val="auto"/>
              </w:rPr>
              <w:t>Interest and other income, net</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435</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167</w:t>
            </w:r>
          </w:p>
        </w:tc>
        <w:tc>
          <w:tcPr>
            <w:tcW w:w="580" w:type="dxa"/>
            <w:vAlign w:val="bottom"/>
            <w:gridSpan w:val="2"/>
          </w:tcPr>
          <w:p>
            <w:pPr>
              <w:ind w:left="46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855</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543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gridSpan w:val="2"/>
          </w:tcPr>
          <w:p>
            <w:pPr>
              <w:ind w:left="440"/>
              <w:spacing w:after="0"/>
              <w:rPr>
                <w:sz w:val="20"/>
                <w:szCs w:val="20"/>
                <w:color w:val="auto"/>
              </w:rPr>
            </w:pPr>
            <w:r>
              <w:rPr>
                <w:rFonts w:ascii="Arial" w:cs="Arial" w:eastAsia="Arial" w:hAnsi="Arial"/>
                <w:sz w:val="18"/>
                <w:szCs w:val="18"/>
                <w:color w:val="auto"/>
              </w:rPr>
              <w:t>Cost of goods sold</w:t>
            </w: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17</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47</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726</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1,671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19</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63</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81</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4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80" w:type="dxa"/>
            <w:vAlign w:val="bottom"/>
            <w:gridSpan w:val="2"/>
          </w:tcPr>
          <w:p>
            <w:pPr>
              <w:spacing w:after="0"/>
              <w:rPr>
                <w:sz w:val="20"/>
                <w:szCs w:val="20"/>
                <w:color w:val="auto"/>
              </w:rPr>
            </w:pPr>
            <w:r>
              <w:rPr>
                <w:rFonts w:ascii="Arial" w:cs="Arial" w:eastAsia="Arial" w:hAnsi="Arial"/>
                <w:sz w:val="18"/>
                <w:szCs w:val="18"/>
                <w:color w:val="auto"/>
              </w:rPr>
              <w:t>Total</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654</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1,008</w:t>
            </w:r>
          </w:p>
        </w:tc>
        <w:tc>
          <w:tcPr>
            <w:tcW w:w="580" w:type="dxa"/>
            <w:vAlign w:val="bottom"/>
            <w:gridSpan w:val="2"/>
          </w:tcPr>
          <w:p>
            <w:pPr>
              <w:ind w:left="46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1,859</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2,480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06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4"/>
          </w:tcPr>
          <w:p>
            <w:pPr>
              <w:jc w:val="right"/>
              <w:ind w:right="175"/>
              <w:spacing w:after="0"/>
              <w:rPr>
                <w:sz w:val="20"/>
                <w:szCs w:val="20"/>
                <w:color w:val="auto"/>
              </w:rPr>
            </w:pPr>
            <w:r>
              <w:rPr>
                <w:rFonts w:ascii="Arial" w:cs="Arial" w:eastAsia="Arial" w:hAnsi="Arial"/>
                <w:sz w:val="14"/>
                <w:szCs w:val="14"/>
                <w:b w:val="1"/>
                <w:bCs w:val="1"/>
                <w:color w:val="auto"/>
                <w:w w:val="99"/>
              </w:rPr>
              <w:t>Three Months Ended</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5"/>
          </w:tcPr>
          <w:p>
            <w:pPr>
              <w:ind w:left="2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406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060" w:type="dxa"/>
            <w:vAlign w:val="bottom"/>
            <w:tcBorders>
              <w:top w:val="single" w:sz="8" w:color="auto"/>
            </w:tcBorders>
            <w:gridSpan w:val="3"/>
          </w:tcPr>
          <w:p>
            <w:pPr>
              <w:jc w:val="center"/>
              <w:ind w:right="400"/>
              <w:spacing w:after="0" w:line="129" w:lineRule="exact"/>
              <w:rPr>
                <w:sz w:val="20"/>
                <w:szCs w:val="20"/>
                <w:color w:val="auto"/>
              </w:rPr>
            </w:pPr>
            <w:r>
              <w:rPr>
                <w:rFonts w:ascii="Arial" w:cs="Arial" w:eastAsia="Arial" w:hAnsi="Arial"/>
                <w:sz w:val="14"/>
                <w:szCs w:val="14"/>
                <w:b w:val="1"/>
                <w:bCs w:val="1"/>
                <w:color w:val="auto"/>
                <w:w w:val="84"/>
              </w:rPr>
              <w:t>August 2,</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3,</w:t>
            </w:r>
          </w:p>
        </w:tc>
        <w:tc>
          <w:tcPr>
            <w:tcW w:w="380" w:type="dxa"/>
            <w:vAlign w:val="bottom"/>
          </w:tcPr>
          <w:p>
            <w:pPr>
              <w:spacing w:after="0"/>
              <w:rPr>
                <w:sz w:val="11"/>
                <w:szCs w:val="11"/>
                <w:color w:val="auto"/>
              </w:rPr>
            </w:pPr>
          </w:p>
        </w:tc>
        <w:tc>
          <w:tcPr>
            <w:tcW w:w="108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August 2,</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60" w:type="dxa"/>
            <w:vAlign w:val="bottom"/>
            <w:tcBorders>
              <w:bottom w:val="single" w:sz="8" w:color="CCEEFF"/>
            </w:tcBorders>
          </w:tcPr>
          <w:p>
            <w:pPr>
              <w:spacing w:after="0"/>
              <w:rPr>
                <w:sz w:val="14"/>
                <w:szCs w:val="14"/>
                <w:color w:val="auto"/>
              </w:rPr>
            </w:pPr>
          </w:p>
        </w:tc>
        <w:tc>
          <w:tcPr>
            <w:tcW w:w="2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60" w:type="dxa"/>
            <w:vAlign w:val="bottom"/>
          </w:tcPr>
          <w:p>
            <w:pPr>
              <w:ind w:left="880"/>
              <w:spacing w:after="0"/>
              <w:rPr>
                <w:sz w:val="20"/>
                <w:szCs w:val="20"/>
                <w:color w:val="auto"/>
              </w:rPr>
            </w:pPr>
            <w:r>
              <w:rPr>
                <w:rFonts w:ascii="Arial" w:cs="Arial" w:eastAsia="Arial" w:hAnsi="Arial"/>
                <w:sz w:val="18"/>
                <w:szCs w:val="18"/>
                <w:color w:val="auto"/>
              </w:rPr>
              <w:t>Net income</w:t>
            </w:r>
          </w:p>
        </w:tc>
        <w:tc>
          <w:tcPr>
            <w:tcW w:w="25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138,870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61,826</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238,349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115,035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60" w:type="dxa"/>
            <w:vAlign w:val="bottom"/>
          </w:tcPr>
          <w:p>
            <w:pPr>
              <w:spacing w:after="0" w:line="20" w:lineRule="exact"/>
              <w:rPr>
                <w:sz w:val="1"/>
                <w:szCs w:val="1"/>
                <w:color w:val="auto"/>
              </w:rPr>
            </w:pPr>
          </w:p>
        </w:tc>
        <w:tc>
          <w:tcPr>
            <w:tcW w:w="2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2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511,821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494,293</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508,463</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498,237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6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2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8,448</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6,332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12,047</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4,769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060" w:type="dxa"/>
            <w:vAlign w:val="bottom"/>
          </w:tcPr>
          <w:p>
            <w:pPr>
              <w:spacing w:after="0"/>
              <w:rPr>
                <w:sz w:val="2"/>
                <w:szCs w:val="2"/>
                <w:color w:val="auto"/>
              </w:rPr>
            </w:pPr>
          </w:p>
        </w:tc>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520,269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500,625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520,510</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503,006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2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060" w:type="dxa"/>
            <w:vAlign w:val="bottom"/>
            <w:vMerge w:val="continue"/>
          </w:tcPr>
          <w:p>
            <w:pPr>
              <w:spacing w:after="0"/>
              <w:rPr>
                <w:sz w:val="18"/>
                <w:szCs w:val="18"/>
                <w:color w:val="auto"/>
              </w:rPr>
            </w:pPr>
          </w:p>
        </w:tc>
        <w:tc>
          <w:tcPr>
            <w:tcW w:w="2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0.27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0.47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060" w:type="dxa"/>
            <w:vAlign w:val="bottom"/>
          </w:tcPr>
          <w:p>
            <w:pPr>
              <w:ind w:left="880"/>
              <w:spacing w:after="0"/>
              <w:rPr>
                <w:sz w:val="20"/>
                <w:szCs w:val="20"/>
                <w:color w:val="auto"/>
              </w:rPr>
            </w:pPr>
            <w:r>
              <w:rPr>
                <w:rFonts w:ascii="Arial" w:cs="Arial" w:eastAsia="Arial" w:hAnsi="Arial"/>
                <w:sz w:val="18"/>
                <w:szCs w:val="18"/>
                <w:color w:val="auto"/>
              </w:rPr>
              <w:t>Diluted</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0.27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0.46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060" w:type="dxa"/>
            <w:vAlign w:val="bottom"/>
          </w:tcPr>
          <w:p>
            <w:pPr>
              <w:spacing w:after="0"/>
              <w:rPr>
                <w:sz w:val="24"/>
                <w:szCs w:val="24"/>
                <w:color w:val="auto"/>
              </w:rPr>
            </w:pPr>
          </w:p>
        </w:tc>
        <w:tc>
          <w:tcPr>
            <w:tcW w:w="2480" w:type="dxa"/>
            <w:vAlign w:val="bottom"/>
          </w:tcPr>
          <w:p>
            <w:pPr>
              <w:jc w:val="right"/>
              <w:ind w:right="1112"/>
              <w:spacing w:after="0"/>
              <w:rPr>
                <w:sz w:val="20"/>
                <w:szCs w:val="20"/>
                <w:color w:val="auto"/>
              </w:rPr>
            </w:pPr>
            <w:r>
              <w:rPr>
                <w:rFonts w:ascii="Arial" w:cs="Arial" w:eastAsia="Arial" w:hAnsi="Arial"/>
                <w:sz w:val="18"/>
                <w:szCs w:val="18"/>
                <w:color w:val="auto"/>
              </w:rPr>
              <w:t>11</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5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40" w:type="dxa"/>
            <w:vAlign w:val="bottom"/>
            <w:gridSpan w:val="4"/>
          </w:tcPr>
          <w:p>
            <w:pPr>
              <w:jc w:val="right"/>
              <w:ind w:right="115"/>
              <w:spacing w:after="0"/>
              <w:rPr>
                <w:sz w:val="20"/>
                <w:szCs w:val="20"/>
                <w:color w:val="auto"/>
              </w:rPr>
            </w:pPr>
            <w:r>
              <w:rPr>
                <w:rFonts w:ascii="Arial" w:cs="Arial" w:eastAsia="Arial" w:hAnsi="Arial"/>
                <w:sz w:val="14"/>
                <w:szCs w:val="14"/>
                <w:b w:val="1"/>
                <w:bCs w:val="1"/>
                <w:color w:val="auto"/>
                <w:w w:val="95"/>
              </w:rPr>
              <w:t>Three Months Ended</w:t>
            </w:r>
          </w:p>
        </w:tc>
        <w:tc>
          <w:tcPr>
            <w:tcW w:w="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40" w:type="dxa"/>
            <w:vAlign w:val="bottom"/>
            <w:gridSpan w:val="5"/>
          </w:tcPr>
          <w:p>
            <w:pPr>
              <w:ind w:left="2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55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2,</w:t>
            </w:r>
          </w:p>
        </w:tc>
        <w:tc>
          <w:tcPr>
            <w:tcW w:w="4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48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2,</w:t>
            </w:r>
          </w:p>
        </w:tc>
        <w:tc>
          <w:tcPr>
            <w:tcW w:w="46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60" w:type="dxa"/>
            <w:vAlign w:val="bottom"/>
            <w:tcBorders>
              <w:bottom w:val="single" w:sz="8" w:color="CCEEFF"/>
            </w:tcBorders>
          </w:tcPr>
          <w:p>
            <w:pPr>
              <w:spacing w:after="0"/>
              <w:rPr>
                <w:sz w:val="14"/>
                <w:szCs w:val="14"/>
                <w:color w:val="auto"/>
              </w:rPr>
            </w:pPr>
          </w:p>
        </w:tc>
        <w:tc>
          <w:tcPr>
            <w:tcW w:w="1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2014</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5"/>
              <w:spacing w:after="0"/>
              <w:rPr>
                <w:sz w:val="20"/>
                <w:szCs w:val="20"/>
                <w:color w:val="auto"/>
              </w:rPr>
            </w:pPr>
            <w:r>
              <w:rPr>
                <w:rFonts w:ascii="Arial" w:cs="Arial" w:eastAsia="Arial" w:hAnsi="Arial"/>
                <w:sz w:val="14"/>
                <w:szCs w:val="14"/>
                <w:b w:val="1"/>
                <w:bCs w:val="1"/>
                <w:color w:val="auto"/>
                <w:w w:val="96"/>
              </w:rPr>
              <w:t>2013</w:t>
            </w:r>
          </w:p>
        </w:tc>
        <w:tc>
          <w:tcPr>
            <w:tcW w:w="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2014</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shares:</w:t>
            </w:r>
          </w:p>
        </w:tc>
        <w:tc>
          <w:tcPr>
            <w:tcW w:w="1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6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Time-based options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23,203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41,923</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21,285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30,660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560" w:type="dxa"/>
            <w:vAlign w:val="bottom"/>
          </w:tcPr>
          <w:p>
            <w:pPr>
              <w:ind w:left="880"/>
              <w:spacing w:after="0"/>
              <w:rPr>
                <w:sz w:val="20"/>
                <w:szCs w:val="20"/>
                <w:color w:val="auto"/>
              </w:rPr>
            </w:pPr>
            <w:r>
              <w:rPr>
                <w:rFonts w:ascii="Arial" w:cs="Arial" w:eastAsia="Arial" w:hAnsi="Arial"/>
                <w:sz w:val="18"/>
                <w:szCs w:val="18"/>
                <w:color w:val="auto"/>
              </w:rPr>
              <w:t>Market-based options</w:t>
            </w:r>
          </w:p>
        </w:tc>
        <w:tc>
          <w:tcPr>
            <w:tcW w:w="1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2,289</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2,738</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2,336</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5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25,492</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44,661</w:t>
            </w:r>
          </w:p>
        </w:tc>
        <w:tc>
          <w:tcPr>
            <w:tcW w:w="4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23,621</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33,413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ind w:left="440"/>
              <w:spacing w:after="0"/>
              <w:rPr>
                <w:sz w:val="20"/>
                <w:szCs w:val="20"/>
                <w:color w:val="auto"/>
              </w:rPr>
            </w:pPr>
            <w:r>
              <w:rPr>
                <w:rFonts w:ascii="Arial" w:cs="Arial" w:eastAsia="Arial" w:hAnsi="Arial"/>
                <w:sz w:val="18"/>
                <w:szCs w:val="18"/>
                <w:color w:val="auto"/>
              </w:rPr>
              <w:t>Weighted average exercise price:</w:t>
            </w:r>
          </w:p>
        </w:tc>
        <w:tc>
          <w:tcPr>
            <w:tcW w:w="1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560" w:type="dxa"/>
            <w:vAlign w:val="bottom"/>
            <w:vMerge w:val="continue"/>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5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Time-based options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17.55</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14.66</w:t>
            </w:r>
          </w:p>
        </w:tc>
        <w:tc>
          <w:tcPr>
            <w:tcW w:w="560" w:type="dxa"/>
            <w:vAlign w:val="bottom"/>
            <w:gridSpan w:val="2"/>
            <w:shd w:val="clear" w:color="auto" w:fill="CCEEFF"/>
          </w:tcPr>
          <w:p>
            <w:pPr>
              <w:ind w:left="48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17.81</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ind w:left="880"/>
              <w:spacing w:after="0"/>
              <w:rPr>
                <w:sz w:val="20"/>
                <w:szCs w:val="20"/>
                <w:color w:val="auto"/>
              </w:rPr>
            </w:pPr>
            <w:r>
              <w:rPr>
                <w:rFonts w:ascii="Arial" w:cs="Arial" w:eastAsia="Arial" w:hAnsi="Arial"/>
                <w:sz w:val="18"/>
                <w:szCs w:val="18"/>
                <w:color w:val="auto"/>
              </w:rPr>
              <w:t>Market-based options</w:t>
            </w:r>
          </w:p>
        </w:tc>
        <w:tc>
          <w:tcPr>
            <w:tcW w:w="1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560" w:type="dxa"/>
            <w:vAlign w:val="bottom"/>
            <w:vMerge w:val="continue"/>
          </w:tcPr>
          <w:p>
            <w:pPr>
              <w:spacing w:after="0"/>
              <w:rPr>
                <w:sz w:val="18"/>
                <w:szCs w:val="18"/>
                <w:color w:val="auto"/>
              </w:rPr>
            </w:pPr>
          </w:p>
        </w:tc>
        <w:tc>
          <w:tcPr>
            <w:tcW w:w="1200" w:type="dxa"/>
            <w:vAlign w:val="bottom"/>
            <w:gridSpan w:val="2"/>
          </w:tcPr>
          <w:p>
            <w:pPr>
              <w:ind w:left="110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15.43</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15.43</w:t>
            </w:r>
          </w:p>
        </w:tc>
        <w:tc>
          <w:tcPr>
            <w:tcW w:w="560" w:type="dxa"/>
            <w:vAlign w:val="bottom"/>
            <w:gridSpan w:val="2"/>
          </w:tcPr>
          <w:p>
            <w:pPr>
              <w:ind w:left="480"/>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15.43</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5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w:t>
            </w:r>
          </w:p>
        </w:tc>
        <w:tc>
          <w:tcPr>
            <w:tcW w:w="1200" w:type="dxa"/>
            <w:vAlign w:val="bottom"/>
            <w:gridSpan w:val="2"/>
            <w:shd w:val="clear" w:color="auto" w:fill="CCEEFF"/>
          </w:tcPr>
          <w:p>
            <w:pPr>
              <w:ind w:left="110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17.36</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14.71</w:t>
            </w:r>
          </w:p>
        </w:tc>
        <w:tc>
          <w:tcPr>
            <w:tcW w:w="560" w:type="dxa"/>
            <w:vAlign w:val="bottom"/>
            <w:gridSpan w:val="2"/>
            <w:shd w:val="clear" w:color="auto" w:fill="CCEEFF"/>
          </w:tcPr>
          <w:p>
            <w:pPr>
              <w:ind w:left="48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Beginning in fiscal 2015, the Company entered into contracts to hedge the Chinese yuan in addition to the Israeli shekel as operating expenses in China continue to grow.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1880" w:type="dxa"/>
            <w:vAlign w:val="bottom"/>
            <w:gridSpan w:val="5"/>
          </w:tcPr>
          <w:p>
            <w:pPr>
              <w:ind w:left="46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920" w:type="dxa"/>
            <w:vAlign w:val="bottom"/>
          </w:tcPr>
          <w:p>
            <w:pPr>
              <w:spacing w:after="0"/>
              <w:rPr>
                <w:sz w:val="11"/>
                <w:szCs w:val="11"/>
                <w:color w:val="auto"/>
              </w:rPr>
            </w:pPr>
          </w:p>
        </w:tc>
        <w:tc>
          <w:tcPr>
            <w:tcW w:w="288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120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r>
      <w:tr>
        <w:trPr>
          <w:trHeight w:val="161"/>
        </w:trPr>
        <w:tc>
          <w:tcPr>
            <w:tcW w:w="3920" w:type="dxa"/>
            <w:vAlign w:val="bottom"/>
          </w:tcPr>
          <w:p>
            <w:pPr>
              <w:spacing w:after="0"/>
              <w:rPr>
                <w:sz w:val="14"/>
                <w:szCs w:val="14"/>
                <w:color w:val="auto"/>
              </w:rPr>
            </w:pPr>
          </w:p>
        </w:tc>
        <w:tc>
          <w:tcPr>
            <w:tcW w:w="346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4"/>
                <w:szCs w:val="14"/>
                <w:color w:val="auto"/>
              </w:rPr>
            </w:pPr>
          </w:p>
        </w:tc>
      </w:tr>
      <w:tr>
        <w:trPr>
          <w:trHeight w:val="210"/>
        </w:trPr>
        <w:tc>
          <w:tcPr>
            <w:tcW w:w="3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8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$39,372</w:t>
            </w:r>
          </w:p>
        </w:tc>
        <w:tc>
          <w:tcPr>
            <w:tcW w:w="5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39,670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3920" w:type="dxa"/>
            <w:vAlign w:val="bottom"/>
          </w:tcPr>
          <w:p>
            <w:pPr>
              <w:spacing w:after="0"/>
              <w:rPr>
                <w:sz w:val="20"/>
                <w:szCs w:val="20"/>
                <w:color w:val="auto"/>
              </w:rPr>
            </w:pPr>
            <w:r>
              <w:rPr>
                <w:rFonts w:ascii="Arial" w:cs="Arial" w:eastAsia="Arial" w:hAnsi="Arial"/>
                <w:sz w:val="18"/>
                <w:szCs w:val="18"/>
                <w:color w:val="auto"/>
              </w:rPr>
              <w:t>Chinese yuan</w:t>
            </w:r>
          </w:p>
        </w:tc>
        <w:tc>
          <w:tcPr>
            <w:tcW w:w="3460" w:type="dxa"/>
            <w:vAlign w:val="bottom"/>
            <w:gridSpan w:val="2"/>
          </w:tcPr>
          <w:p>
            <w:pPr>
              <w:jc w:val="right"/>
              <w:spacing w:after="0"/>
              <w:rPr>
                <w:sz w:val="20"/>
                <w:szCs w:val="20"/>
                <w:color w:val="auto"/>
              </w:rPr>
            </w:pPr>
            <w:r>
              <w:rPr>
                <w:rFonts w:ascii="Arial" w:cs="Arial" w:eastAsia="Arial" w:hAnsi="Arial"/>
                <w:sz w:val="18"/>
                <w:szCs w:val="18"/>
                <w:color w:val="auto"/>
              </w:rPr>
              <w:t>34,319</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ind w:left="280"/>
              <w:spacing w:after="0"/>
              <w:rPr>
                <w:sz w:val="20"/>
                <w:szCs w:val="20"/>
                <w:color w:val="auto"/>
              </w:rPr>
            </w:pPr>
            <w:r>
              <w:rPr>
                <w:rFonts w:ascii="Arial" w:cs="Arial" w:eastAsia="Arial" w:hAnsi="Arial"/>
                <w:sz w:val="18"/>
                <w:szCs w:val="18"/>
                <w:color w:val="auto"/>
              </w:rPr>
              <w:t>—</w:t>
            </w:r>
          </w:p>
        </w:tc>
      </w:tr>
      <w:tr>
        <w:trPr>
          <w:trHeight w:val="216"/>
        </w:trPr>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Euro</w:t>
            </w: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5,821</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5,718</w:t>
            </w:r>
          </w:p>
        </w:tc>
        <w:tc>
          <w:tcPr>
            <w:tcW w:w="100" w:type="dxa"/>
            <w:vAlign w:val="bottom"/>
            <w:shd w:val="clear" w:color="auto" w:fill="CCEEFF"/>
          </w:tcPr>
          <w:p>
            <w:pPr>
              <w:spacing w:after="0"/>
              <w:rPr>
                <w:sz w:val="18"/>
                <w:szCs w:val="18"/>
                <w:color w:val="auto"/>
              </w:rPr>
            </w:pPr>
          </w:p>
        </w:tc>
      </w:tr>
      <w:tr>
        <w:trPr>
          <w:trHeight w:val="223"/>
        </w:trPr>
        <w:tc>
          <w:tcPr>
            <w:tcW w:w="3920" w:type="dxa"/>
            <w:vAlign w:val="bottom"/>
          </w:tcPr>
          <w:p>
            <w:pPr>
              <w:spacing w:after="0"/>
              <w:rPr>
                <w:sz w:val="20"/>
                <w:szCs w:val="20"/>
                <w:color w:val="auto"/>
              </w:rPr>
            </w:pPr>
            <w:r>
              <w:rPr>
                <w:rFonts w:ascii="Arial" w:cs="Arial" w:eastAsia="Arial" w:hAnsi="Arial"/>
                <w:sz w:val="18"/>
                <w:szCs w:val="18"/>
                <w:color w:val="auto"/>
              </w:rPr>
              <w:t>Swedish krona</w:t>
            </w:r>
          </w:p>
        </w:tc>
        <w:tc>
          <w:tcPr>
            <w:tcW w:w="2880" w:type="dxa"/>
            <w:vAlign w:val="bottom"/>
          </w:tcPr>
          <w:p>
            <w:pPr>
              <w:spacing w:after="0"/>
              <w:rPr>
                <w:sz w:val="19"/>
                <w:szCs w:val="19"/>
                <w:color w:val="auto"/>
              </w:rPr>
            </w:pPr>
          </w:p>
        </w:tc>
        <w:tc>
          <w:tcPr>
            <w:tcW w:w="580" w:type="dxa"/>
            <w:vAlign w:val="bottom"/>
            <w:tcBorders>
              <w:bottom w:val="single" w:sz="8" w:color="auto"/>
            </w:tcBorders>
          </w:tcPr>
          <w:p>
            <w:pPr>
              <w:jc w:val="right"/>
              <w:ind w:right="22"/>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3,709</w:t>
            </w:r>
          </w:p>
        </w:tc>
        <w:tc>
          <w:tcPr>
            <w:tcW w:w="100" w:type="dxa"/>
            <w:vAlign w:val="bottom"/>
          </w:tcPr>
          <w:p>
            <w:pPr>
              <w:spacing w:after="0"/>
              <w:rPr>
                <w:sz w:val="19"/>
                <w:szCs w:val="19"/>
                <w:color w:val="auto"/>
              </w:rPr>
            </w:pPr>
          </w:p>
        </w:tc>
      </w:tr>
      <w:tr>
        <w:trPr>
          <w:trHeight w:val="216"/>
        </w:trPr>
        <w:tc>
          <w:tcPr>
            <w:tcW w:w="3920" w:type="dxa"/>
            <w:vAlign w:val="bottom"/>
            <w:shd w:val="clear" w:color="auto" w:fill="CCEEFF"/>
          </w:tcPr>
          <w:p>
            <w:pPr>
              <w:spacing w:after="0"/>
              <w:rPr>
                <w:sz w:val="18"/>
                <w:szCs w:val="18"/>
                <w:color w:val="auto"/>
              </w:rPr>
            </w:pP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79,512</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49,097</w:t>
            </w:r>
          </w:p>
        </w:tc>
        <w:tc>
          <w:tcPr>
            <w:tcW w:w="100" w:type="dxa"/>
            <w:vAlign w:val="bottom"/>
            <w:shd w:val="clear" w:color="auto" w:fill="CCEEFF"/>
          </w:tcPr>
          <w:p>
            <w:pPr>
              <w:spacing w:after="0"/>
              <w:rPr>
                <w:sz w:val="18"/>
                <w:szCs w:val="18"/>
                <w:color w:val="auto"/>
              </w:rPr>
            </w:pPr>
          </w:p>
        </w:tc>
      </w:tr>
      <w:tr>
        <w:trPr>
          <w:trHeight w:val="20"/>
        </w:trPr>
        <w:tc>
          <w:tcPr>
            <w:tcW w:w="392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298" w:lineRule="auto"/>
        <w:rPr>
          <w:sz w:val="20"/>
          <w:szCs w:val="20"/>
          <w:color w:val="auto"/>
        </w:rPr>
      </w:pPr>
      <w:r>
        <w:rPr>
          <w:rFonts w:ascii="Arial" w:cs="Arial" w:eastAsia="Arial" w:hAnsi="Arial"/>
          <w:sz w:val="16"/>
          <w:szCs w:val="16"/>
          <w:i w:val="1"/>
          <w:iCs w:val="1"/>
          <w:color w:val="auto"/>
        </w:rPr>
        <w:t xml:space="preserve">Cash Flow Hedges. </w:t>
      </w:r>
      <w:r>
        <w:rPr>
          <w:rFonts w:ascii="Arial" w:cs="Arial" w:eastAsia="Arial" w:hAnsi="Arial"/>
          <w:sz w:val="16"/>
          <w:szCs w:val="16"/>
          <w:color w:val="auto"/>
        </w:rPr>
        <w:t>The Company designates and documents its foreign currency forward exchange contracts as cash flow hedges for certain operating</w:t>
      </w:r>
      <w:r>
        <w:rPr>
          <w:rFonts w:ascii="Arial" w:cs="Arial" w:eastAsia="Arial" w:hAnsi="Arial"/>
          <w:sz w:val="16"/>
          <w:szCs w:val="16"/>
          <w:i w:val="1"/>
          <w:iCs w:val="1"/>
          <w:color w:val="auto"/>
        </w:rPr>
        <w:t xml:space="preserve"> </w:t>
      </w:r>
      <w:r>
        <w:rPr>
          <w:rFonts w:ascii="Arial" w:cs="Arial" w:eastAsia="Arial" w:hAnsi="Arial"/>
          <w:sz w:val="16"/>
          <w:szCs w:val="16"/>
          <w:color w:val="auto"/>
        </w:rPr>
        <w:t>expenses denominated in Israeli shekels, Chinese yuan and Swedish krona.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1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0.2% of total assets as of August 2, 2014.</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assets that were accounted for at fair value as of August 2, 2014 and February 1, 2014. The tables do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2"/>
              </w:rPr>
              <w:t>Level 1</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2</w:t>
            </w:r>
          </w:p>
        </w:tc>
        <w:tc>
          <w:tcPr>
            <w:tcW w:w="42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24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6"/>
              </w:rPr>
              <w:t>at August 2, 2014</w:t>
            </w: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43,846</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43,846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19,981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181,163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181,163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1,450</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1,450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250,461</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250,461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603,062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603,062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Asset backed securities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73,413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73,413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government and agency debt</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25,430</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15,103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15,103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13,422</w:t>
            </w: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13,422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08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10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1,976</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314,288</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904,570</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13,422</w:t>
            </w:r>
          </w:p>
        </w:tc>
        <w:tc>
          <w:tcPr>
            <w:tcW w:w="6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1,232,280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vMerge w:val="restart"/>
          </w:tcPr>
          <w:p>
            <w:pPr>
              <w:spacing w:after="0"/>
              <w:rPr>
                <w:sz w:val="20"/>
                <w:szCs w:val="20"/>
                <w:color w:val="auto"/>
              </w:rPr>
            </w:pPr>
            <w:r>
              <w:rPr>
                <w:rFonts w:ascii="Arial" w:cs="Arial" w:eastAsia="Arial" w:hAnsi="Arial"/>
                <w:sz w:val="18"/>
                <w:szCs w:val="18"/>
                <w:color w:val="auto"/>
              </w:rPr>
              <w:t>Liabilities</w:t>
            </w:r>
          </w:p>
        </w:tc>
        <w:tc>
          <w:tcPr>
            <w:tcW w:w="10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080" w:type="dxa"/>
            <w:vAlign w:val="bottom"/>
            <w:vMerge w:val="continue"/>
          </w:tcPr>
          <w:p>
            <w:pPr>
              <w:spacing w:after="0"/>
              <w:rPr>
                <w:sz w:val="18"/>
                <w:szCs w:val="18"/>
                <w:color w:val="auto"/>
              </w:rPr>
            </w:pPr>
          </w:p>
        </w:tc>
        <w:tc>
          <w:tcPr>
            <w:tcW w:w="1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194</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1080" w:type="dxa"/>
            <w:vAlign w:val="bottom"/>
            <w:vMerge w:val="restart"/>
          </w:tcPr>
          <w:p>
            <w:pPr>
              <w:jc w:val="right"/>
              <w:ind w:right="192"/>
              <w:spacing w:after="0"/>
              <w:rPr>
                <w:sz w:val="20"/>
                <w:szCs w:val="20"/>
                <w:color w:val="auto"/>
              </w:rPr>
            </w:pPr>
            <w:r>
              <w:rPr>
                <w:rFonts w:ascii="Arial" w:cs="Arial" w:eastAsia="Arial" w:hAnsi="Arial"/>
                <w:sz w:val="18"/>
                <w:szCs w:val="18"/>
                <w:color w:val="auto"/>
              </w:rPr>
              <w:t>14</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080" w:type="dxa"/>
            <w:vAlign w:val="bottom"/>
          </w:tcPr>
          <w:p>
            <w:pPr>
              <w:spacing w:after="0"/>
              <w:rPr>
                <w:sz w:val="24"/>
                <w:szCs w:val="24"/>
                <w:color w:val="auto"/>
              </w:rPr>
            </w:pPr>
          </w:p>
        </w:tc>
        <w:tc>
          <w:tcPr>
            <w:tcW w:w="10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0" w:type="dxa"/>
            <w:vAlign w:val="bottom"/>
            <w:gridSpan w:val="5"/>
          </w:tcPr>
          <w:p>
            <w:pPr>
              <w:ind w:left="36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4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40" w:type="dxa"/>
            <w:vAlign w:val="bottom"/>
            <w:gridSpan w:val="4"/>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4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w w:val="88"/>
              </w:rPr>
              <w:t>Level 2</w:t>
            </w: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gridSpan w:val="3"/>
          </w:tcPr>
          <w:p>
            <w:pPr>
              <w:jc w:val="right"/>
              <w:spacing w:after="0"/>
              <w:rPr>
                <w:sz w:val="20"/>
                <w:szCs w:val="20"/>
                <w:color w:val="auto"/>
              </w:rPr>
            </w:pPr>
            <w:r>
              <w:rPr>
                <w:rFonts w:ascii="Arial" w:cs="Arial" w:eastAsia="Arial" w:hAnsi="Arial"/>
                <w:sz w:val="14"/>
                <w:szCs w:val="14"/>
                <w:b w:val="1"/>
                <w:bCs w:val="1"/>
                <w:color w:val="auto"/>
              </w:rPr>
              <w:t>Level 3</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40" w:type="dxa"/>
            <w:vAlign w:val="bottom"/>
            <w:gridSpan w:val="4"/>
          </w:tcPr>
          <w:p>
            <w:pPr>
              <w:spacing w:after="0"/>
              <w:rPr>
                <w:sz w:val="20"/>
                <w:szCs w:val="20"/>
                <w:color w:val="auto"/>
              </w:rPr>
            </w:pPr>
            <w:r>
              <w:rPr>
                <w:rFonts w:ascii="Arial" w:cs="Arial" w:eastAsia="Arial" w:hAnsi="Arial"/>
                <w:sz w:val="14"/>
                <w:szCs w:val="14"/>
                <w:b w:val="1"/>
                <w:bCs w:val="1"/>
                <w:color w:val="auto"/>
                <w:w w:val="96"/>
              </w:rPr>
              <w:t>at February 1, 2014</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5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spacing w:after="0"/>
              <w:rPr>
                <w:sz w:val="20"/>
                <w:szCs w:val="20"/>
                <w:color w:val="auto"/>
              </w:rPr>
            </w:pPr>
            <w:r>
              <w:rPr>
                <w:rFonts w:ascii="Arial" w:cs="Arial" w:eastAsia="Arial" w:hAnsi="Arial"/>
                <w:sz w:val="18"/>
                <w:szCs w:val="18"/>
                <w:color w:val="auto"/>
              </w:rPr>
              <w:t>Assets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16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11,999</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66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247,958</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3,400</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301,479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589,514</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Asset backed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76,271</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16,099</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1,012</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16,279</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1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68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316,282</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961,539</w:t>
            </w:r>
          </w:p>
        </w:tc>
        <w:tc>
          <w:tcPr>
            <w:tcW w:w="1040" w:type="dxa"/>
            <w:vAlign w:val="bottom"/>
            <w:gridSpan w:val="5"/>
            <w:shd w:val="clear" w:color="auto" w:fill="CCEEFF"/>
          </w:tcPr>
          <w:p>
            <w:pPr>
              <w:ind w:left="4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16,279</w:t>
            </w:r>
          </w:p>
        </w:tc>
        <w:tc>
          <w:tcPr>
            <w:tcW w:w="700" w:type="dxa"/>
            <w:vAlign w:val="bottom"/>
            <w:gridSpan w:val="3"/>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1,294,100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1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20" w:type="dxa"/>
            <w:vAlign w:val="bottom"/>
            <w:gridSpan w:val="3"/>
            <w:vMerge w:val="continue"/>
          </w:tcPr>
          <w:p>
            <w:pPr>
              <w:spacing w:after="0"/>
              <w:rPr>
                <w:sz w:val="18"/>
                <w:szCs w:val="18"/>
                <w:color w:val="auto"/>
              </w:rPr>
            </w:pP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580" w:type="dxa"/>
            <w:vAlign w:val="bottom"/>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w:t>
            </w:r>
          </w:p>
        </w:tc>
        <w:tc>
          <w:tcPr>
            <w:tcW w:w="66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4980" w:type="dxa"/>
            <w:vAlign w:val="bottom"/>
            <w:gridSpan w:val="2"/>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80" w:type="dxa"/>
            <w:vAlign w:val="bottom"/>
            <w:gridSpan w:val="7"/>
          </w:tcPr>
          <w:p>
            <w:pPr>
              <w:spacing w:after="0"/>
              <w:rPr>
                <w:sz w:val="20"/>
                <w:szCs w:val="20"/>
                <w:color w:val="auto"/>
              </w:rPr>
            </w:pPr>
            <w:r>
              <w:rPr>
                <w:rFonts w:ascii="Arial" w:cs="Arial" w:eastAsia="Arial" w:hAnsi="Arial"/>
                <w:sz w:val="18"/>
                <w:szCs w:val="18"/>
                <w:color w:val="auto"/>
                <w:w w:val="91"/>
              </w:rPr>
              <w:t>The following table summarizes the change in fair value for Level 3 assets (in thousands):</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780" w:type="dxa"/>
            <w:vAlign w:val="bottom"/>
            <w:gridSpan w:val="8"/>
          </w:tcPr>
          <w:p>
            <w:pPr>
              <w:jc w:val="right"/>
              <w:ind w:right="352"/>
              <w:spacing w:after="0"/>
              <w:rPr>
                <w:sz w:val="20"/>
                <w:szCs w:val="20"/>
                <w:color w:val="auto"/>
              </w:rPr>
            </w:pPr>
            <w:r>
              <w:rPr>
                <w:rFonts w:ascii="Arial" w:cs="Arial" w:eastAsia="Arial" w:hAnsi="Arial"/>
                <w:sz w:val="14"/>
                <w:szCs w:val="14"/>
                <w:b w:val="1"/>
                <w:bCs w:val="1"/>
                <w:color w:val="auto"/>
              </w:rPr>
              <w:t>Six Months Ended</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340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Borders>
              <w:top w:val="single" w:sz="8" w:color="auto"/>
            </w:tcBorders>
            <w:gridSpan w:val="3"/>
          </w:tcPr>
          <w:p>
            <w:pPr>
              <w:jc w:val="right"/>
              <w:ind w:right="100"/>
              <w:spacing w:after="0" w:line="129" w:lineRule="exact"/>
              <w:rPr>
                <w:sz w:val="20"/>
                <w:szCs w:val="20"/>
                <w:color w:val="auto"/>
              </w:rPr>
            </w:pPr>
            <w:r>
              <w:rPr>
                <w:rFonts w:ascii="Arial" w:cs="Arial" w:eastAsia="Arial" w:hAnsi="Arial"/>
                <w:sz w:val="14"/>
                <w:szCs w:val="14"/>
                <w:b w:val="1"/>
                <w:bCs w:val="1"/>
                <w:color w:val="auto"/>
                <w:w w:val="84"/>
              </w:rPr>
              <w:t>August 2,</w:t>
            </w:r>
          </w:p>
        </w:tc>
        <w:tc>
          <w:tcPr>
            <w:tcW w:w="3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4"/>
              </w:rPr>
              <w:t>August 3,</w:t>
            </w:r>
          </w:p>
        </w:tc>
        <w:tc>
          <w:tcPr>
            <w:tcW w:w="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60" w:type="dxa"/>
            <w:vAlign w:val="bottom"/>
            <w:gridSpan w:val="3"/>
          </w:tcPr>
          <w:p>
            <w:pPr>
              <w:jc w:val="right"/>
              <w:ind w:right="92"/>
              <w:spacing w:after="0"/>
              <w:rPr>
                <w:sz w:val="20"/>
                <w:szCs w:val="20"/>
                <w:color w:val="auto"/>
              </w:rPr>
            </w:pPr>
            <w:r>
              <w:rPr>
                <w:rFonts w:ascii="Arial" w:cs="Arial" w:eastAsia="Arial" w:hAnsi="Arial"/>
                <w:sz w:val="14"/>
                <w:szCs w:val="14"/>
                <w:b w:val="1"/>
                <w:bCs w:val="1"/>
                <w:color w:val="auto"/>
              </w:rPr>
              <w:t>2014</w:t>
            </w: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gridSpan w:val="3"/>
          </w:tcPr>
          <w:p>
            <w:pPr>
              <w:jc w:val="right"/>
              <w:ind w:right="92"/>
              <w:spacing w:after="0"/>
              <w:rPr>
                <w:sz w:val="20"/>
                <w:szCs w:val="20"/>
                <w:color w:val="auto"/>
              </w:rPr>
            </w:pPr>
            <w:r>
              <w:rPr>
                <w:rFonts w:ascii="Arial" w:cs="Arial" w:eastAsia="Arial" w:hAnsi="Arial"/>
                <w:sz w:val="14"/>
                <w:szCs w:val="14"/>
                <w:b w:val="1"/>
                <w:bCs w:val="1"/>
                <w:color w:val="auto"/>
              </w:rPr>
              <w:t>2013</w:t>
            </w:r>
          </w:p>
        </w:tc>
        <w:tc>
          <w:tcPr>
            <w:tcW w:w="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15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$16,279</w:t>
            </w:r>
          </w:p>
        </w:tc>
        <w:tc>
          <w:tcPr>
            <w:tcW w:w="8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$16,769</w:t>
            </w:r>
          </w:p>
        </w:tc>
        <w:tc>
          <w:tcPr>
            <w:tcW w:w="120" w:type="dxa"/>
            <w:vAlign w:val="bottom"/>
            <w:tcBorders>
              <w:top w:val="single" w:sz="8" w:color="CCEEFF"/>
            </w:tcBorders>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Arial" w:cs="Arial" w:eastAsia="Arial" w:hAnsi="Arial"/>
                <w:sz w:val="18"/>
                <w:szCs w:val="18"/>
                <w:color w:val="auto"/>
              </w:rPr>
              <w:t>Sales and redemptions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gridSpan w:val="4"/>
          </w:tcPr>
          <w:p>
            <w:pPr>
              <w:jc w:val="right"/>
              <w:ind w:right="40"/>
              <w:spacing w:after="0"/>
              <w:rPr>
                <w:sz w:val="20"/>
                <w:szCs w:val="20"/>
                <w:color w:val="auto"/>
              </w:rPr>
            </w:pPr>
            <w:r>
              <w:rPr>
                <w:rFonts w:ascii="Arial" w:cs="Arial" w:eastAsia="Arial" w:hAnsi="Arial"/>
                <w:sz w:val="18"/>
                <w:szCs w:val="18"/>
                <w:color w:val="auto"/>
              </w:rPr>
              <w:t>(3,000)</w:t>
            </w:r>
          </w:p>
        </w:tc>
        <w:tc>
          <w:tcPr>
            <w:tcW w:w="300" w:type="dxa"/>
            <w:vAlign w:val="bottom"/>
          </w:tcPr>
          <w:p>
            <w:pPr>
              <w:spacing w:after="0"/>
              <w:rPr>
                <w:sz w:val="18"/>
                <w:szCs w:val="18"/>
                <w:color w:val="auto"/>
              </w:rPr>
            </w:pPr>
          </w:p>
        </w:tc>
        <w:tc>
          <w:tcPr>
            <w:tcW w:w="820" w:type="dxa"/>
            <w:vAlign w:val="bottom"/>
            <w:gridSpan w:val="4"/>
          </w:tcPr>
          <w:p>
            <w:pPr>
              <w:jc w:val="right"/>
              <w:spacing w:after="0"/>
              <w:rPr>
                <w:sz w:val="20"/>
                <w:szCs w:val="20"/>
                <w:color w:val="auto"/>
              </w:rPr>
            </w:pPr>
            <w:r>
              <w:rPr>
                <w:rFonts w:ascii="Arial" w:cs="Arial" w:eastAsia="Arial" w:hAnsi="Arial"/>
                <w:sz w:val="18"/>
                <w:szCs w:val="18"/>
                <w:color w:val="auto"/>
              </w:rPr>
              <w:t>(300)</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80" w:type="dxa"/>
            <w:vAlign w:val="bottom"/>
            <w:gridSpan w:val="4"/>
            <w:shd w:val="clear" w:color="auto" w:fill="CCEEFF"/>
          </w:tcPr>
          <w:p>
            <w:pPr>
              <w:spacing w:after="0"/>
              <w:rPr>
                <w:sz w:val="20"/>
                <w:szCs w:val="20"/>
                <w:color w:val="auto"/>
              </w:rPr>
            </w:pPr>
            <w:r>
              <w:rPr>
                <w:rFonts w:ascii="Arial" w:cs="Arial" w:eastAsia="Arial" w:hAnsi="Arial"/>
                <w:sz w:val="18"/>
                <w:szCs w:val="18"/>
                <w:color w:val="auto"/>
                <w:w w:val="87"/>
              </w:rPr>
              <w:t>Unrealized losses included in accumulated other comprehensive income</w:t>
            </w: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143</w:t>
            </w: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(170)</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gridSpan w:val="2"/>
            <w:vMerge w:val="restart"/>
          </w:tcPr>
          <w:p>
            <w:pPr>
              <w:ind w:left="900"/>
              <w:spacing w:after="0"/>
              <w:rPr>
                <w:sz w:val="20"/>
                <w:szCs w:val="20"/>
                <w:color w:val="auto"/>
              </w:rPr>
            </w:pPr>
            <w:r>
              <w:rPr>
                <w:rFonts w:ascii="Arial" w:cs="Arial" w:eastAsia="Arial" w:hAnsi="Arial"/>
                <w:sz w:val="18"/>
                <w:szCs w:val="18"/>
                <w:color w:val="auto"/>
              </w:rPr>
              <w:t>Ending balance</w:t>
            </w:r>
          </w:p>
        </w:tc>
        <w:tc>
          <w:tcPr>
            <w:tcW w:w="1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4300" w:type="dxa"/>
            <w:vAlign w:val="bottom"/>
            <w:gridSpan w:val="2"/>
            <w:vMerge w:val="continue"/>
          </w:tcPr>
          <w:p>
            <w:pPr>
              <w:spacing w:after="0"/>
              <w:rPr>
                <w:sz w:val="19"/>
                <w:szCs w:val="19"/>
                <w:color w:val="auto"/>
              </w:rPr>
            </w:pPr>
          </w:p>
        </w:tc>
        <w:tc>
          <w:tcPr>
            <w:tcW w:w="1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13,422</w:t>
            </w: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16,299</w:t>
            </w: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400" w:type="dxa"/>
            <w:vAlign w:val="bottom"/>
          </w:tcPr>
          <w:p>
            <w:pPr>
              <w:spacing w:after="0" w:line="20" w:lineRule="exact"/>
              <w:rPr>
                <w:sz w:val="1"/>
                <w:szCs w:val="1"/>
                <w:color w:val="auto"/>
              </w:rPr>
            </w:pPr>
          </w:p>
        </w:tc>
        <w:tc>
          <w:tcPr>
            <w:tcW w:w="1580" w:type="dxa"/>
            <w:vAlign w:val="bottom"/>
            <w:vMerge w:val="restart"/>
          </w:tcPr>
          <w:p>
            <w:pPr>
              <w:jc w:val="right"/>
              <w:ind w:right="472"/>
              <w:spacing w:after="0"/>
              <w:rPr>
                <w:sz w:val="20"/>
                <w:szCs w:val="20"/>
                <w:color w:val="auto"/>
              </w:rPr>
            </w:pPr>
            <w:r>
              <w:rPr>
                <w:rFonts w:ascii="Arial" w:cs="Arial" w:eastAsia="Arial" w:hAnsi="Arial"/>
                <w:sz w:val="18"/>
                <w:szCs w:val="18"/>
                <w:color w:val="auto"/>
              </w:rPr>
              <w:t>15</w:t>
            </w: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58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4"/>
              </w:rPr>
              <w:t>August 2, 2014</w:t>
            </w: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8"/>
              </w:rPr>
              <w:t>February 1, 2014</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80" w:type="dxa"/>
            <w:vAlign w:val="bottom"/>
            <w:gridSpan w:val="3"/>
          </w:tcPr>
          <w:p>
            <w:pPr>
              <w:jc w:val="center"/>
              <w:ind w:right="2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tcPr>
          <w:p>
            <w:pPr>
              <w:jc w:val="right"/>
              <w:ind w:right="59"/>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08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Net</w:t>
            </w:r>
          </w:p>
        </w:tc>
        <w:tc>
          <w:tcPr>
            <w:tcW w:w="14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9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9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0"/>
              </w:rPr>
              <w:t>and</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14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9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108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9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10"/>
        </w:trPr>
        <w:tc>
          <w:tcPr>
            <w:tcW w:w="5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4 - 6 years</w:t>
            </w:r>
          </w:p>
        </w:tc>
        <w:tc>
          <w:tcPr>
            <w:tcW w:w="2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$49,240</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(25,124)</w:t>
            </w:r>
          </w:p>
        </w:tc>
        <w:tc>
          <w:tcPr>
            <w:tcW w:w="2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$24,116</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$49,240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(20,634)</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$28,606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5 - 8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2,350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(1,761)</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589</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2,350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(1,583)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767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Trade names</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5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(698)</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602</w:t>
            </w:r>
          </w:p>
        </w:tc>
        <w:tc>
          <w:tcPr>
            <w:tcW w:w="8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Customer intangibles</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5 - 6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(15,835)</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12,765</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28,600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(13,056)</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15,544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IPR&amp;D</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3,386</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0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0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81,490</w:t>
            </w:r>
          </w:p>
        </w:tc>
        <w:tc>
          <w:tcPr>
            <w:tcW w:w="280" w:type="dxa"/>
            <w:vAlign w:val="bottom"/>
          </w:tcPr>
          <w:p>
            <w:pPr>
              <w:spacing w:after="0"/>
              <w:rPr>
                <w:sz w:val="19"/>
                <w:szCs w:val="19"/>
                <w:color w:val="auto"/>
              </w:rPr>
            </w:pPr>
          </w:p>
        </w:tc>
        <w:tc>
          <w:tcPr>
            <w:tcW w:w="180" w:type="dxa"/>
            <w:vAlign w:val="bottom"/>
          </w:tcPr>
          <w:p>
            <w:pPr>
              <w:jc w:val="right"/>
              <w:ind w:right="4"/>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(43,418)</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38,072</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84,876</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(35,841)</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49,035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120" w:firstLine="456"/>
        <w:spacing w:after="0" w:line="268" w:lineRule="auto"/>
        <w:rPr>
          <w:sz w:val="20"/>
          <w:szCs w:val="20"/>
          <w:color w:val="auto"/>
        </w:rPr>
      </w:pPr>
      <w:r>
        <w:rPr>
          <w:rFonts w:ascii="Arial" w:cs="Arial" w:eastAsia="Arial" w:hAnsi="Arial"/>
          <w:sz w:val="18"/>
          <w:szCs w:val="18"/>
          <w:color w:val="auto"/>
        </w:rPr>
        <w:t>The Company recorded a charge to write-off $3.4 million of IPR&amp;D in the six months ended August 2, 2014, upon the Company’s decision to discontinue the related project.</w:t>
      </w:r>
    </w:p>
    <w:p>
      <w:pPr>
        <w:spacing w:after="0" w:line="132" w:lineRule="exact"/>
        <w:rPr>
          <w:sz w:val="20"/>
          <w:szCs w:val="20"/>
          <w:color w:val="auto"/>
        </w:rPr>
      </w:pPr>
    </w:p>
    <w:p>
      <w:pPr>
        <w:ind w:right="700" w:firstLine="456"/>
        <w:spacing w:after="0" w:line="268" w:lineRule="auto"/>
        <w:rPr>
          <w:sz w:val="20"/>
          <w:szCs w:val="20"/>
          <w:color w:val="auto"/>
        </w:rPr>
      </w:pPr>
      <w:r>
        <w:rPr>
          <w:rFonts w:ascii="Arial" w:cs="Arial" w:eastAsia="Arial" w:hAnsi="Arial"/>
          <w:sz w:val="18"/>
          <w:szCs w:val="18"/>
          <w:color w:val="auto"/>
        </w:rPr>
        <w:t>Based on the identified intangible assets recorded at August 2, 2014, the future amortization expense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2015</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2016</w:t>
            </w: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12,212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11,027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2018</w:t>
            </w: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5,599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38,072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jc w:val="both"/>
        <w:ind w:right="520" w:firstLine="456"/>
        <w:spacing w:after="0" w:line="306" w:lineRule="auto"/>
        <w:rPr>
          <w:sz w:val="20"/>
          <w:szCs w:val="20"/>
          <w:color w:val="auto"/>
        </w:rPr>
      </w:pPr>
      <w:r>
        <w:rPr>
          <w:rFonts w:ascii="Arial" w:cs="Arial" w:eastAsia="Arial" w:hAnsi="Arial"/>
          <w:sz w:val="16"/>
          <w:szCs w:val="16"/>
          <w:color w:val="auto"/>
        </w:rPr>
        <w:t>In connection with ongoing evaluations of its business, the Company decided to streamline its operations, primarily in Israel to align with its overall strategic plan and to discontinue the development of a product it originally acquired from a business that it previously purchased. As a result, the Company recorded the following restructuring charges in the three and six months ended August 2, 2014 (in thousands):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2"/>
          </w:tcPr>
          <w:p>
            <w:pPr>
              <w:ind w:left="540"/>
              <w:spacing w:after="0"/>
              <w:rPr>
                <w:sz w:val="20"/>
                <w:szCs w:val="20"/>
                <w:color w:val="auto"/>
              </w:rPr>
            </w:pPr>
            <w:r>
              <w:rPr>
                <w:rFonts w:ascii="Arial" w:cs="Arial" w:eastAsia="Arial" w:hAnsi="Arial"/>
                <w:sz w:val="14"/>
                <w:szCs w:val="14"/>
                <w:b w:val="1"/>
                <w:bCs w:val="1"/>
                <w:color w:val="auto"/>
                <w:w w:val="86"/>
              </w:rPr>
              <w:t>August 2, 2014</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63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5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Three Months</w:t>
            </w:r>
          </w:p>
        </w:tc>
        <w:tc>
          <w:tcPr>
            <w:tcW w:w="680" w:type="dxa"/>
            <w:vAlign w:val="bottom"/>
            <w:gridSpan w:val="3"/>
          </w:tcPr>
          <w:p>
            <w:pPr>
              <w:jc w:val="center"/>
              <w:spacing w:after="0" w:line="129" w:lineRule="exact"/>
              <w:rPr>
                <w:sz w:val="20"/>
                <w:szCs w:val="20"/>
                <w:color w:val="auto"/>
              </w:rPr>
            </w:pPr>
            <w:r>
              <w:rPr>
                <w:rFonts w:ascii="Arial" w:cs="Arial" w:eastAsia="Arial" w:hAnsi="Arial"/>
                <w:sz w:val="14"/>
                <w:szCs w:val="14"/>
                <w:b w:val="1"/>
                <w:bCs w:val="1"/>
                <w:color w:val="auto"/>
                <w:w w:val="88"/>
              </w:rPr>
              <w:t>Six Months</w:t>
            </w:r>
          </w:p>
        </w:tc>
        <w:tc>
          <w:tcPr>
            <w:tcW w:w="100" w:type="dxa"/>
            <w:vAlign w:val="bottom"/>
          </w:tcPr>
          <w:p>
            <w:pPr>
              <w:spacing w:after="0"/>
              <w:rPr>
                <w:sz w:val="11"/>
                <w:szCs w:val="11"/>
                <w:color w:val="auto"/>
              </w:rPr>
            </w:pPr>
          </w:p>
        </w:tc>
      </w:tr>
      <w:tr>
        <w:trPr>
          <w:trHeight w:val="161"/>
        </w:trPr>
        <w:tc>
          <w:tcPr>
            <w:tcW w:w="6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20" w:type="dxa"/>
            <w:vAlign w:val="bottom"/>
            <w:gridSpan w:val="2"/>
          </w:tcPr>
          <w:p>
            <w:pPr>
              <w:ind w:left="60"/>
              <w:spacing w:after="0"/>
              <w:rPr>
                <w:sz w:val="20"/>
                <w:szCs w:val="20"/>
                <w:color w:val="auto"/>
              </w:rPr>
            </w:pPr>
            <w:r>
              <w:rPr>
                <w:rFonts w:ascii="Arial" w:cs="Arial" w:eastAsia="Arial" w:hAnsi="Arial"/>
                <w:sz w:val="14"/>
                <w:szCs w:val="14"/>
                <w:b w:val="1"/>
                <w:bCs w:val="1"/>
                <w:color w:val="auto"/>
              </w:rPr>
              <w:t>Ended</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Ended</w:t>
            </w:r>
          </w:p>
        </w:tc>
      </w:tr>
      <w:tr>
        <w:trPr>
          <w:trHeight w:val="210"/>
        </w:trPr>
        <w:tc>
          <w:tcPr>
            <w:tcW w:w="63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ind w:left="400"/>
              <w:spacing w:after="0"/>
              <w:rPr>
                <w:sz w:val="20"/>
                <w:szCs w:val="20"/>
                <w:color w:val="auto"/>
              </w:rPr>
            </w:pPr>
            <w:r>
              <w:rPr>
                <w:rFonts w:ascii="Arial" w:cs="Arial" w:eastAsia="Arial" w:hAnsi="Arial"/>
                <w:sz w:val="18"/>
                <w:szCs w:val="18"/>
                <w:color w:val="auto"/>
                <w:w w:val="79"/>
              </w:rPr>
              <w:t>418</w:t>
            </w:r>
          </w:p>
        </w:tc>
        <w:tc>
          <w:tcPr>
            <w:tcW w:w="7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5,035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32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ind w:left="400"/>
              <w:spacing w:after="0"/>
              <w:rPr>
                <w:sz w:val="20"/>
                <w:szCs w:val="20"/>
                <w:color w:val="auto"/>
              </w:rPr>
            </w:pPr>
            <w:r>
              <w:rPr>
                <w:rFonts w:ascii="Arial" w:cs="Arial" w:eastAsia="Arial" w:hAnsi="Arial"/>
                <w:sz w:val="18"/>
                <w:szCs w:val="18"/>
                <w:color w:val="auto"/>
                <w:w w:val="79"/>
              </w:rPr>
              <w:t>254</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698</w:t>
            </w:r>
          </w:p>
        </w:tc>
        <w:tc>
          <w:tcPr>
            <w:tcW w:w="100" w:type="dxa"/>
            <w:vAlign w:val="bottom"/>
          </w:tcPr>
          <w:p>
            <w:pPr>
              <w:spacing w:after="0"/>
              <w:rPr>
                <w:sz w:val="18"/>
                <w:szCs w:val="18"/>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79"/>
              </w:rPr>
              <w:t>63</w:t>
            </w: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100" w:type="dxa"/>
            <w:vAlign w:val="bottom"/>
            <w:shd w:val="clear" w:color="auto" w:fill="CCEEFF"/>
          </w:tcPr>
          <w:p>
            <w:pPr>
              <w:spacing w:after="0"/>
              <w:rPr>
                <w:sz w:val="18"/>
                <w:szCs w:val="18"/>
                <w:color w:val="auto"/>
              </w:rPr>
            </w:pPr>
          </w:p>
        </w:tc>
      </w:tr>
      <w:tr>
        <w:trPr>
          <w:trHeight w:val="221"/>
        </w:trPr>
        <w:tc>
          <w:tcPr>
            <w:tcW w:w="63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ind w:left="400"/>
              <w:spacing w:after="0"/>
              <w:rPr>
                <w:sz w:val="20"/>
                <w:szCs w:val="20"/>
                <w:color w:val="auto"/>
              </w:rPr>
            </w:pPr>
            <w:r>
              <w:rPr>
                <w:rFonts w:ascii="Arial" w:cs="Arial" w:eastAsia="Arial" w:hAnsi="Arial"/>
                <w:sz w:val="18"/>
                <w:szCs w:val="18"/>
                <w:color w:val="auto"/>
                <w:w w:val="79"/>
              </w:rPr>
              <w:t>735</w:t>
            </w: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5,806</w:t>
            </w:r>
          </w:p>
        </w:tc>
        <w:tc>
          <w:tcPr>
            <w:tcW w:w="100" w:type="dxa"/>
            <w:vAlign w:val="bottom"/>
          </w:tcPr>
          <w:p>
            <w:pPr>
              <w:spacing w:after="0"/>
              <w:rPr>
                <w:sz w:val="19"/>
                <w:szCs w:val="19"/>
                <w:color w:val="auto"/>
              </w:rPr>
            </w:pPr>
          </w:p>
        </w:tc>
      </w:tr>
      <w:tr>
        <w:trPr>
          <w:trHeight w:val="218"/>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Write-off of assets: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320" w:type="dxa"/>
            <w:vAlign w:val="bottom"/>
          </w:tcPr>
          <w:p>
            <w:pPr>
              <w:ind w:left="440"/>
              <w:spacing w:after="0"/>
              <w:rPr>
                <w:sz w:val="20"/>
                <w:szCs w:val="20"/>
                <w:color w:val="auto"/>
              </w:rPr>
            </w:pPr>
            <w:r>
              <w:rPr>
                <w:rFonts w:ascii="Arial" w:cs="Arial" w:eastAsia="Arial" w:hAnsi="Arial"/>
                <w:sz w:val="18"/>
                <w:szCs w:val="18"/>
                <w:color w:val="auto"/>
              </w:rPr>
              <w:t>Equipment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8"/>
                <w:szCs w:val="18"/>
                <w:color w:val="auto"/>
              </w:rPr>
            </w:pPr>
          </w:p>
        </w:tc>
      </w:tr>
      <w:tr>
        <w:trPr>
          <w:trHeight w:val="216"/>
        </w:trPr>
        <w:tc>
          <w:tcPr>
            <w:tcW w:w="6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r>
      <w:tr>
        <w:trPr>
          <w:trHeight w:val="222"/>
        </w:trPr>
        <w:tc>
          <w:tcPr>
            <w:tcW w:w="6320" w:type="dxa"/>
            <w:vAlign w:val="bottom"/>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60" w:type="dxa"/>
            <w:vAlign w:val="bottom"/>
          </w:tcPr>
          <w:p>
            <w:pPr>
              <w:ind w:left="400"/>
              <w:spacing w:after="0"/>
              <w:rPr>
                <w:sz w:val="20"/>
                <w:szCs w:val="20"/>
                <w:color w:val="auto"/>
              </w:rPr>
            </w:pPr>
            <w:r>
              <w:rPr>
                <w:rFonts w:ascii="Arial" w:cs="Arial" w:eastAsia="Arial" w:hAnsi="Arial"/>
                <w:sz w:val="18"/>
                <w:szCs w:val="18"/>
                <w:color w:val="auto"/>
                <w:w w:val="79"/>
              </w:rPr>
              <w:t>735</w:t>
            </w:r>
          </w:p>
        </w:tc>
        <w:tc>
          <w:tcPr>
            <w:tcW w:w="760" w:type="dxa"/>
            <w:vAlign w:val="bottom"/>
          </w:tcPr>
          <w:p>
            <w:pPr>
              <w:spacing w:after="0"/>
              <w:rPr>
                <w:sz w:val="19"/>
                <w:szCs w:val="19"/>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9,209</w:t>
            </w:r>
          </w:p>
        </w:tc>
        <w:tc>
          <w:tcPr>
            <w:tcW w:w="100" w:type="dxa"/>
            <w:vAlign w:val="bottom"/>
          </w:tcPr>
          <w:p>
            <w:pPr>
              <w:spacing w:after="0"/>
              <w:rPr>
                <w:sz w:val="19"/>
                <w:szCs w:val="19"/>
                <w:color w:val="auto"/>
              </w:rPr>
            </w:pPr>
          </w:p>
        </w:tc>
      </w:tr>
      <w:tr>
        <w:trPr>
          <w:trHeight w:val="20"/>
        </w:trPr>
        <w:tc>
          <w:tcPr>
            <w:tcW w:w="63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write-off of an acquired intangible asset in the six months ended August 2, 2014 was due to the Company’s decision to discontinue the related project.</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Other exit-related costs are primarily associated with ongoing operating expenses related to vacated facilities under restructure actions in previous fiscal years.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740" w:type="dxa"/>
            <w:vAlign w:val="bottom"/>
            <w:gridSpan w:val="5"/>
          </w:tcPr>
          <w:p>
            <w:pPr>
              <w:ind w:left="28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2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3,</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1"/>
              </w:rPr>
              <w:t>August 3,</w:t>
            </w:r>
          </w:p>
        </w:tc>
        <w:tc>
          <w:tcPr>
            <w:tcW w:w="100" w:type="dxa"/>
            <w:vAlign w:val="bottom"/>
          </w:tcPr>
          <w:p>
            <w:pPr>
              <w:spacing w:after="0"/>
              <w:rPr>
                <w:sz w:val="11"/>
                <w:szCs w:val="11"/>
                <w:color w:val="auto"/>
              </w:rPr>
            </w:pPr>
          </w:p>
        </w:tc>
      </w:tr>
      <w:tr>
        <w:trPr>
          <w:trHeight w:val="161"/>
        </w:trPr>
        <w:tc>
          <w:tcPr>
            <w:tcW w:w="46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40" w:type="dxa"/>
            <w:vAlign w:val="bottom"/>
          </w:tcPr>
          <w:p>
            <w:pPr>
              <w:jc w:val="right"/>
              <w:ind w:right="78"/>
              <w:spacing w:after="0"/>
              <w:rPr>
                <w:sz w:val="20"/>
                <w:szCs w:val="20"/>
                <w:color w:val="auto"/>
              </w:rPr>
            </w:pPr>
            <w:r>
              <w:rPr>
                <w:rFonts w:ascii="Arial" w:cs="Arial" w:eastAsia="Arial" w:hAnsi="Arial"/>
                <w:sz w:val="14"/>
                <w:szCs w:val="14"/>
                <w:b w:val="1"/>
                <w:bCs w:val="1"/>
                <w:color w:val="auto"/>
                <w:w w:val="83"/>
              </w:rPr>
              <w:t>2014</w:t>
            </w: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40" w:type="dxa"/>
            <w:vAlign w:val="bottom"/>
          </w:tcPr>
          <w:p>
            <w:pPr>
              <w:ind w:left="20"/>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rPr>
              <w:t>2014</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ind w:left="40"/>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210"/>
        </w:trPr>
        <w:tc>
          <w:tcPr>
            <w:tcW w:w="46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19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412</w:t>
            </w:r>
          </w:p>
        </w:tc>
        <w:tc>
          <w:tcPr>
            <w:tcW w:w="3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$ 5,094</w:t>
            </w:r>
          </w:p>
        </w:tc>
        <w:tc>
          <w:tcPr>
            <w:tcW w:w="5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Selling and marketing</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(48)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10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40" w:type="dxa"/>
            <w:vAlign w:val="bottom"/>
            <w:gridSpan w:val="2"/>
          </w:tcPr>
          <w:p>
            <w:pPr>
              <w:ind w:left="180"/>
              <w:spacing w:after="0"/>
              <w:rPr>
                <w:sz w:val="20"/>
                <w:szCs w:val="20"/>
                <w:color w:val="auto"/>
              </w:rPr>
            </w:pPr>
            <w:r>
              <w:rPr>
                <w:rFonts w:ascii="Arial" w:cs="Arial" w:eastAsia="Arial" w:hAnsi="Arial"/>
                <w:sz w:val="18"/>
                <w:szCs w:val="18"/>
                <w:color w:val="auto"/>
              </w:rPr>
              <w:t>—</w:t>
            </w:r>
          </w:p>
        </w:tc>
      </w:t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178</w:t>
            </w: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729</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406</w:t>
            </w:r>
          </w:p>
        </w:tc>
        <w:tc>
          <w:tcPr>
            <w:tcW w:w="100" w:type="dxa"/>
            <w:vAlign w:val="bottom"/>
            <w:shd w:val="clear" w:color="auto" w:fill="CCEEFF"/>
          </w:tcPr>
          <w:p>
            <w:pPr>
              <w:spacing w:after="0"/>
              <w:rPr>
                <w:sz w:val="18"/>
                <w:szCs w:val="18"/>
                <w:color w:val="auto"/>
              </w:rPr>
            </w:pPr>
          </w:p>
        </w:tc>
      </w:tr>
      <w:tr>
        <w:trPr>
          <w:trHeight w:val="223"/>
        </w:trPr>
        <w:tc>
          <w:tcPr>
            <w:tcW w:w="462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9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ind w:right="18"/>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4620" w:type="dxa"/>
            <w:vAlign w:val="bottom"/>
            <w:shd w:val="clear" w:color="auto" w:fill="CCEEFF"/>
          </w:tcPr>
          <w:p>
            <w:pPr>
              <w:spacing w:after="0"/>
              <w:rPr>
                <w:sz w:val="18"/>
                <w:szCs w:val="18"/>
                <w:color w:val="auto"/>
              </w:rPr>
            </w:pPr>
          </w:p>
        </w:tc>
        <w:tc>
          <w:tcPr>
            <w:tcW w:w="2060" w:type="dxa"/>
            <w:vAlign w:val="bottom"/>
            <w:gridSpan w:val="2"/>
            <w:shd w:val="clear" w:color="auto" w:fill="CCEEFF"/>
          </w:tcPr>
          <w:p>
            <w:pPr>
              <w:ind w:left="194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735</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178</w:t>
            </w: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$ 9,209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406</w:t>
            </w:r>
          </w:p>
        </w:tc>
        <w:tc>
          <w:tcPr>
            <w:tcW w:w="100" w:type="dxa"/>
            <w:vAlign w:val="bottom"/>
            <w:shd w:val="clear" w:color="auto" w:fill="CCEEFF"/>
          </w:tcPr>
          <w:p>
            <w:pPr>
              <w:spacing w:after="0"/>
              <w:rPr>
                <w:sz w:val="18"/>
                <w:szCs w:val="18"/>
                <w:color w:val="auto"/>
              </w:rPr>
            </w:pPr>
          </w:p>
        </w:tc>
      </w:tr>
      <w:tr>
        <w:trPr>
          <w:trHeight w:val="20"/>
        </w:trPr>
        <w:tc>
          <w:tcPr>
            <w:tcW w:w="46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60" w:type="dxa"/>
            <w:vAlign w:val="bottom"/>
            <w:gridSpan w:val="3"/>
          </w:tcPr>
          <w:p>
            <w:pPr>
              <w:jc w:val="right"/>
              <w:ind w:right="740"/>
              <w:spacing w:after="0"/>
              <w:rPr>
                <w:sz w:val="20"/>
                <w:szCs w:val="20"/>
                <w:color w:val="auto"/>
              </w:rPr>
            </w:pPr>
            <w:r>
              <w:rPr>
                <w:rFonts w:ascii="Arial" w:cs="Arial" w:eastAsia="Arial" w:hAnsi="Arial"/>
                <w:sz w:val="14"/>
                <w:szCs w:val="14"/>
                <w:b w:val="1"/>
                <w:bCs w:val="1"/>
                <w:color w:val="auto"/>
                <w:w w:val="85"/>
              </w:rPr>
              <w:t>Severance</w:t>
            </w:r>
          </w:p>
        </w:tc>
        <w:tc>
          <w:tcPr>
            <w:tcW w:w="80" w:type="dxa"/>
            <w:vAlign w:val="bottom"/>
          </w:tcPr>
          <w:p>
            <w:pPr>
              <w:spacing w:after="0"/>
              <w:rPr>
                <w:sz w:val="14"/>
                <w:szCs w:val="14"/>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3"/>
              </w:rPr>
              <w:t>Facilities</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Other</w:t>
            </w: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32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w w:val="87"/>
              </w:rPr>
              <w:t>Costs</w:t>
            </w:r>
          </w:p>
        </w:tc>
        <w:tc>
          <w:tcPr>
            <w:tcW w:w="80" w:type="dxa"/>
            <w:vAlign w:val="bottom"/>
          </w:tcPr>
          <w:p>
            <w:pPr>
              <w:spacing w:after="0"/>
              <w:rPr>
                <w:sz w:val="14"/>
                <w:szCs w:val="14"/>
                <w:color w:val="auto"/>
              </w:rPr>
            </w:pPr>
          </w:p>
        </w:tc>
        <w:tc>
          <w:tcPr>
            <w:tcW w:w="9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Costs</w:t>
            </w: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w w:val="92"/>
              </w:rPr>
              <w:t>Costs</w:t>
            </w:r>
          </w:p>
        </w:tc>
        <w:tc>
          <w:tcPr>
            <w:tcW w:w="30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5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6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2,383</w:t>
            </w:r>
          </w:p>
        </w:tc>
        <w:tc>
          <w:tcPr>
            <w:tcW w:w="3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38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$ 2,453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68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5,035</w:t>
            </w: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698</w:t>
            </w: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73</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5,806</w:t>
            </w:r>
          </w:p>
        </w:tc>
        <w:tc>
          <w:tcPr>
            <w:tcW w:w="0" w:type="dxa"/>
            <w:vAlign w:val="bottom"/>
          </w:tcPr>
          <w:p>
            <w:pPr>
              <w:spacing w:after="0"/>
              <w:rPr>
                <w:sz w:val="1"/>
                <w:szCs w:val="1"/>
                <w:color w:val="auto"/>
              </w:rPr>
            </w:pPr>
          </w:p>
        </w:tc>
      </w:tr>
      <w:tr>
        <w:trPr>
          <w:trHeight w:val="216"/>
        </w:trPr>
        <w:tc>
          <w:tcPr>
            <w:tcW w:w="5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(4,237)</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(958)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(92)</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(5,287)</w:t>
            </w:r>
          </w:p>
        </w:tc>
        <w:tc>
          <w:tcPr>
            <w:tcW w:w="0" w:type="dxa"/>
            <w:vAlign w:val="bottom"/>
          </w:tcPr>
          <w:p>
            <w:pPr>
              <w:spacing w:after="0"/>
              <w:rPr>
                <w:sz w:val="1"/>
                <w:szCs w:val="1"/>
                <w:color w:val="auto"/>
              </w:rPr>
            </w:pPr>
          </w:p>
        </w:tc>
      </w:tr>
      <w:tr>
        <w:trPr>
          <w:trHeight w:val="20"/>
        </w:trPr>
        <w:tc>
          <w:tcPr>
            <w:tcW w:w="5680" w:type="dxa"/>
            <w:vAlign w:val="bottom"/>
            <w:vMerge w:val="restart"/>
          </w:tcPr>
          <w:p>
            <w:pPr>
              <w:spacing w:after="0"/>
              <w:rPr>
                <w:sz w:val="20"/>
                <w:szCs w:val="20"/>
                <w:color w:val="auto"/>
              </w:rPr>
            </w:pPr>
            <w:r>
              <w:rPr>
                <w:rFonts w:ascii="Arial" w:cs="Arial" w:eastAsia="Arial" w:hAnsi="Arial"/>
                <w:sz w:val="18"/>
                <w:szCs w:val="18"/>
                <w:color w:val="auto"/>
              </w:rPr>
              <w:t>Balance at August 2, 2014</w:t>
            </w: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680" w:type="dxa"/>
            <w:vAlign w:val="bottom"/>
            <w:vMerge w:val="continue"/>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849</w:t>
            </w:r>
          </w:p>
        </w:tc>
        <w:tc>
          <w:tcPr>
            <w:tcW w:w="68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2,123</w:t>
            </w:r>
          </w:p>
        </w:tc>
        <w:tc>
          <w:tcPr>
            <w:tcW w:w="360" w:type="dxa"/>
            <w:vAlign w:val="bottom"/>
          </w:tcPr>
          <w:p>
            <w:pPr>
              <w:spacing w:after="0"/>
              <w:rPr>
                <w:sz w:val="19"/>
                <w:szCs w:val="19"/>
                <w:color w:val="auto"/>
              </w:rPr>
            </w:pPr>
          </w:p>
        </w:tc>
        <w:tc>
          <w:tcPr>
            <w:tcW w:w="4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$ 2,972</w:t>
            </w:r>
          </w:p>
        </w:tc>
        <w:tc>
          <w:tcPr>
            <w:tcW w:w="0" w:type="dxa"/>
            <w:vAlign w:val="bottom"/>
          </w:tcPr>
          <w:p>
            <w:pPr>
              <w:spacing w:after="0"/>
              <w:rPr>
                <w:sz w:val="1"/>
                <w:szCs w:val="1"/>
                <w:color w:val="auto"/>
              </w:rPr>
            </w:pPr>
          </w:p>
        </w:tc>
      </w:tr>
      <w:tr>
        <w:trPr>
          <w:trHeight w:val="20"/>
        </w:trPr>
        <w:tc>
          <w:tcPr>
            <w:tcW w:w="5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severance costs included in the table above are expected to be paid by the end of the calendar year. The facility and related costs primarily represent an adjustment to the estimated sublease rentals related to the lease obligation of a vacated facility. The balance at August 2, 2014 for facility and related costs includes remaining payments under lease obligations related to vacated facilities under previous restructure actions which are expected to be paid through fiscal 2018.</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The income tax benefit for the three months ended August 2, 2014 included the current income tax liability of $4.9 million, which was more than offset by tax benefits of $7.3 million from a net reduction in unrecognized tax benefits and $3.7 million from an increase in the net deferred tax assets because of a tax rate change in Singapore. The Company finalized its agreement with the Singapore Economic Development Board for the remaining portion of pre-tax income subject to the Development and Expansion Incentive, which was extended through June 2019. The net reduction in unrecognized tax benefits primarily arose from the release of the expiration of statutes of limitation in non-U.S. jurisdictions. The income tax benefit for the six months ended August 2, 2014 included the current income tax liability of $10.6 million which was offset by a net reduction in unrecognized tax benefits of $9.8 million and $11.5 million from an increase in the net deferred tax assets because of the tax rate change in Singapore. The net reduction in unrecognized tax benefits arose from the release of $13.2 million due to the expiration of statutes of limitation, which was reduced by a $3.4 million increase in current unrecognized tax benefit estimates in various non-U.S. jurisdictions.</w:t>
      </w:r>
    </w:p>
    <w:p>
      <w:pPr>
        <w:spacing w:after="0" w:line="10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income tax benefit for the three months ended August 3, 2013 included the current income tax liability of $5.2 million, which was offset by a net reduction in unrecognized tax benefits of $6.8 million. The net reduction in unrecognized tax benefits primarily arose from the expiration of statutes of limitation. The income tax benefit for the six months ended August 3, 2013 included the current income tax liability of $7.0 million plus $0.7 million in settlements of audits in non-U.S. jurisdictions, which were offset by a net reduction in unrecognized tax benefits of $16.5 million. The net reduction in unrecognized tax benefits primarily arose from the expiration of statutes of limitation in non-U.S. jurisdictions and from the settlement of two audits in non-U.S. jurisdictions (one for $3.5 million and the other for $4.1 million), less an increase in current unrecognized tax estimates.</w:t>
      </w:r>
    </w:p>
    <w:p>
      <w:pPr>
        <w:spacing w:after="0" w:line="12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$17 million from the lapse of statutes of limitation in various jurisdictions during the next 12 months. Government tax authorities from several non-U.S. jurisdictions are also examining returns. The Company believes that it has adequately provided for any reasonably foreseeable outcomes related to its tax audits and that any settlement will not have a material effect on its results at this time.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$7.1 million and $10.4 million for the three and six months ended August 2, 2014, respectively, and $7.1 million and $9.2 million for the three and six months ended August 3, 2013, respectively. The benefit of the tax incentives on net income per share was $0.01 per share for the three months ended August 2, 2014 and $0.02 per share for the six months ended August 2, 2014, compared to less than $0.01 per share for the three months ended August 3, 2013 and $0.02 per share for the six months ended August 3, 2013.</w:t>
      </w:r>
    </w:p>
    <w:p>
      <w:pPr>
        <w:spacing w:after="0" w:line="14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principal source of liquidity as of August 2, 2014 consisted of approximately $2.3 billion of cash, cash equivalents and short-term investments, of which approximately $850 million was held by foreign subsidiaries (outside Bermuda). Approximately $500 million of this amount held by foreign subsidiaries is related to undistributed earnings, which have been indefinitely reinvested outside of Bermuda. These funds are primarily held in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August 2, 2014, these foundries had incurred approximately $228.9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As of August 2, 2014, the Company has a $9.1 million accrued liability related to certain legal proceedings described below in this section.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16" w:lineRule="exact"/>
        <w:rPr>
          <w:sz w:val="20"/>
          <w:szCs w:val="20"/>
          <w:color w:val="auto"/>
        </w:rPr>
      </w:pPr>
    </w:p>
    <w:p>
      <w:pPr>
        <w:ind w:right="200"/>
        <w:spacing w:after="0" w:line="256" w:lineRule="auto"/>
        <w:rPr>
          <w:sz w:val="20"/>
          <w:szCs w:val="20"/>
          <w:color w:val="auto"/>
        </w:rPr>
      </w:pPr>
      <w:r>
        <w:rPr>
          <w:rFonts w:ascii="Arial" w:cs="Arial" w:eastAsia="Arial" w:hAnsi="Arial"/>
          <w:sz w:val="18"/>
          <w:szCs w:val="18"/>
          <w:i w:val="1"/>
          <w:iCs w:val="1"/>
          <w:color w:val="auto"/>
        </w:rPr>
        <w:t xml:space="preserve">Carnegie Mellon University Litigation. </w:t>
      </w:r>
      <w:r>
        <w:rPr>
          <w:rFonts w:ascii="Arial" w:cs="Arial" w:eastAsia="Arial" w:hAnsi="Arial"/>
          <w:sz w:val="18"/>
          <w:szCs w:val="18"/>
          <w:color w:val="auto"/>
        </w:rPr>
        <w:t>On March 6, 2009, CMU filed a complaint in the U.S. District Court for the Western District of Pennsylvania naming</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rPr>
          <w:sz w:val="20"/>
          <w:szCs w:val="20"/>
          <w:color w:val="auto"/>
        </w:rPr>
      </w:pPr>
      <w:r>
        <w:rPr>
          <w:rFonts w:ascii="Arial" w:cs="Arial" w:eastAsia="Arial" w:hAnsi="Arial"/>
          <w:sz w:val="16"/>
          <w:szCs w:val="16"/>
          <w:color w:val="auto"/>
        </w:rPr>
        <w:t>2012, a jury delivered a verdict that found the CMU patents in suit were literally and willfully infringed and valid, and awarded past damages in the amount of</w:t>
      </w:r>
    </w:p>
    <w:p>
      <w:pPr>
        <w:spacing w:after="0" w:line="38"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separate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 2013),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On March 31, 2014, the District Court rejected CMU’s motion for an injunction. The District Court also denied CMU’s request for pre-judgment interest, and substantially scaled back CMU’s request for enhanced damages. Based on these decisions, the Court calculated the damages including enhancement to total approximately $1.54 billion, and held that, under its decision, CMU is entitled to post judgment interest and an ongoing royalty. On May 7, 2014, the District Court entered final judgment, from which the Company filed a notice of appeal on May 14, 2014. The Company filed its opening appeal brief on August 4, 2014. The Court has required us to report ongoing royalties under the current judgment. Based on the royalty rate assessed by the District Court, such additional royalties through August 2, 2014 could be as much as $300 million. If we are required to further secure all or some additional portion of ongoing royalties, we may be required to post cash or other Company assets as collateral.</w:t>
      </w:r>
    </w:p>
    <w:p>
      <w:pPr>
        <w:spacing w:after="0" w:line="12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are currently pursuing an appeal before the U.S. Court of Appeals for the Federal Circuit in Washington, D.C. The Company believes the low end of the possible range of loss is zero, but it cannot reasonably estimate the upper range of the possible loss, as a number of factors could significantly change the assessment of damages.</w:t>
      </w:r>
    </w:p>
    <w:p>
      <w:pPr>
        <w:spacing w:after="0" w:line="113"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court issued a first claim construction ruling on January 31, 2012 and a supplemental claim construction ruling on August 29, 2012. On August 16, 2013, the District Court granted defendants’ summary judgment motion to preclude the plaintiff from recovering certain pre-suit damages. Trial is scheduled for January 5, 2015.</w:t>
      </w:r>
    </w:p>
    <w:p>
      <w:pPr>
        <w:spacing w:after="0" w:line="1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(“Lake Cherokee”) filed a complaint in the U.S.</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Court for the Eastern District of Texas. The complaint alleged infringement of U.S. Patent Nos. 5,844,738 and 5,978,162 (collectively, the “Lake Cherokee patents”) which purportedly relate to read-channel integrated circuit devices and to certain HDD products incorporating such devices. Lake Cherokee’s damages claim was approximately $193 million at the start of trial. The case proceeded to trial on August 12, 2013. On August 16, 2013, an Eastern District of Texas jury returned a verdict which unanimously found that MSI did not infringe the Lake Cherokee patents and the Court entered judgment in MSI’s favor. Lake Cherokee then moved for a new trial and the briefing was concluded on October 28, 2013.</w:t>
      </w:r>
    </w:p>
    <w:p>
      <w:pPr>
        <w:spacing w:after="0" w:line="120"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On September 5, 2013, Lake Cherokee filed a second suit in the U.S. District Court for the Eastern District of Texas against Marvell Asia Pte., Ltd. and several of the Company’s storage customers, alleging infringement of the Lake Cherokee patents.</w:t>
      </w:r>
    </w:p>
    <w:p>
      <w:pPr>
        <w:spacing w:after="0" w:line="132"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On September 25, 2013, Lake Cherokee filed a third suit in the U.S. District Court for the Eastern District of Texas against MSI, MAPL and two of the Company’s customers, alleging infringement of U.S. Patent No. 5,583,706, which purportedly relates to certain HDD related technologies.</w:t>
      </w:r>
    </w:p>
    <w:p>
      <w:pPr>
        <w:spacing w:after="0" w:line="85"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All the parties involved in the three cases reached settlement in August 2014 and motions to dismiss were filed. The settlement did not have a significant impact on the Company’s financial statements.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 Oral argument before a Federal Circuit panel was held on April 11, 2014.</w:t>
      </w:r>
    </w:p>
    <w:p>
      <w:pPr>
        <w:spacing w:after="0" w:line="118"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 and the appeal has been briefed. The Federal Circuit Court of Appeals heard oral argument on January 10, 2014, and affirmed the district court’s rulings on January 14, 2014. The deadline for PMS to appeal to the United States Supreme Court passed in mid-April 2014 without PMS taking any further action.</w:t>
      </w:r>
    </w:p>
    <w:p>
      <w:pPr>
        <w:spacing w:after="0" w:line="118"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On April 14, 2014, the Court denied MSI’s motion for summary judgment of invalidity, and granted MSI’s summary judgment motion concerning certain damages preclusion. Trial is scheduled for September 15, 2014.</w:t>
      </w:r>
    </w:p>
    <w:p>
      <w:pPr>
        <w:spacing w:after="0" w:line="12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and amended the complaint on February 4, 2013. On January 4, 2013, three of the Company’s subsidiaries, MSI, Marvell International Ltd. and Marvell World Trade Ltd., filed a complaint against Freescale in the U.S. District Court for the Western District of Texas, and amended the compliant on January 14, 2013. On April 11, 2014, the Court dismissed both of the above two cases with prejudice pursuant to a settlement and patent license agreement. The settlement did not have a significant impact on the Company’s financial statements.</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i w:val="1"/>
          <w:iCs w:val="1"/>
          <w:color w:val="auto"/>
        </w:rPr>
        <w:t xml:space="preserve">Progressive Semiconductor Solutions Patent Litigation. </w:t>
      </w:r>
      <w:r>
        <w:rPr>
          <w:rFonts w:ascii="Arial" w:cs="Arial" w:eastAsia="Arial" w:hAnsi="Arial"/>
          <w:sz w:val="16"/>
          <w:szCs w:val="16"/>
          <w:color w:val="auto"/>
        </w:rPr>
        <w:t>On September 30, 2013, Progressive Semiconductor Solutions LLC (“PSS”) filed a complaint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Central District of California against MSI and another defendant, alleging infringement of U.S. Patent Nos. 6,473,349 (the “349 patent”) and 6,862,208 (the “208 patent”). The patents purportedly relate to certain memory devices. On March 3, 2014, the District Court dismissed MSI without prejudice. On March 4, 2014, PSS filed a new complaint against MSI, alleging infringement of the ‘349 patent but not the ‘208 patent. The parties reached settlement in August 2014 and the case was dismissed with prejudice on August 21, 2014. The settlement did not have a significant impact on the Company’s financial statements.</w:t>
      </w:r>
    </w:p>
    <w:p>
      <w:pPr>
        <w:spacing w:after="0" w:line="1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Vantage Point Technology Patent Litigation. </w:t>
      </w:r>
      <w:r>
        <w:rPr>
          <w:rFonts w:ascii="Arial" w:cs="Arial" w:eastAsia="Arial" w:hAnsi="Arial"/>
          <w:sz w:val="18"/>
          <w:szCs w:val="18"/>
          <w:color w:val="auto"/>
        </w:rPr>
        <w:t>On November 21, 2013, Vantage Point Technology, Inc. (“VPT”) filed suit against a third party defendant for</w:t>
      </w:r>
      <w:r>
        <w:rPr>
          <w:rFonts w:ascii="Arial" w:cs="Arial" w:eastAsia="Arial" w:hAnsi="Arial"/>
          <w:sz w:val="18"/>
          <w:szCs w:val="18"/>
          <w:i w:val="1"/>
          <w:iCs w:val="1"/>
          <w:color w:val="auto"/>
        </w:rPr>
        <w:t xml:space="preserve"> </w:t>
      </w:r>
      <w:r>
        <w:rPr>
          <w:rFonts w:ascii="Arial" w:cs="Arial" w:eastAsia="Arial" w:hAnsi="Arial"/>
          <w:sz w:val="18"/>
          <w:szCs w:val="18"/>
          <w:color w:val="auto"/>
        </w:rPr>
        <w:t>patent infringement relating to processor technology. On February 3, 2014, VPT filed an amended complaint against the third party and added MSI as an additional defendant. The complaint seeks unspecified damages. A claim construction hearing is currently scheduled for January 27, 2015. The first trial in the series of VPT cases against various defendants is currently scheduled for July 13, 2015.</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Voss Litigation and Consolidated Cases. </w:t>
      </w:r>
      <w:r>
        <w:rPr>
          <w:rFonts w:ascii="Arial" w:cs="Arial" w:eastAsia="Arial" w:hAnsi="Arial"/>
          <w:sz w:val="16"/>
          <w:szCs w:val="16"/>
          <w:color w:val="auto"/>
        </w:rPr>
        <w:t>On April 7, 2014, Lee Voss (“Voss”)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and derivative claims ostensibly on behalf of the Company in the United States District Court for the Northern District of California, San Jose Division. The complaint alleges that certain officers and directors of the Company breached their fiduciary duties by causing or allowing the Company to engage in the purported willful infringement of certain patents asserted against it in litigation by CMU and by failing to institute adequate internal controls, resulting in an adverse verdict. Additionally, the complaint alleges unjust enrichment and a breach of the duty of honest services by three of the officers. The Company is named as a nominal defendant. Voss requests damages and restitution in unspecified amounts, equitable and/or injunctive relief, and the costs and fees of bringing the action. On June 2, 2014, Sebastiano D’Arrigo filed a second, nearly identical complaint in the same court, which was consolidated with the Voss action. On June 13, 2014, James and Marie DiBiase filed a third, nearly identical complaint in the Superior</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440"/>
        <w:spacing w:after="0" w:line="259" w:lineRule="auto"/>
        <w:rPr>
          <w:sz w:val="20"/>
          <w:szCs w:val="20"/>
          <w:color w:val="auto"/>
        </w:rPr>
      </w:pPr>
      <w:r>
        <w:rPr>
          <w:rFonts w:ascii="Arial" w:cs="Arial" w:eastAsia="Arial" w:hAnsi="Arial"/>
          <w:sz w:val="18"/>
          <w:szCs w:val="18"/>
          <w:color w:val="auto"/>
        </w:rPr>
        <w:t>Court for the County of Santa Clara Superior Court, which was removed to the United States District Court for the Northern District of California, San Jose Division and consolidated with the Voss action. The plaintiffs filed an amended consolidated complaint on August 15, 2014. The action is in the preliminary stages and the Court has permitted only limited discovery.</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alleging infringement of U.S. Patent Nos. 7,027,418; 7,570,614; 7,477,624;</w:t>
      </w:r>
      <w:r>
        <w:rPr>
          <w:rFonts w:ascii="Arial" w:cs="Arial" w:eastAsia="Arial" w:hAnsi="Arial"/>
          <w:sz w:val="18"/>
          <w:szCs w:val="18"/>
          <w:i w:val="1"/>
          <w:iCs w:val="1"/>
          <w:color w:val="auto"/>
        </w:rPr>
        <w:t xml:space="preserve"> </w:t>
      </w:r>
      <w:r>
        <w:rPr>
          <w:rFonts w:ascii="Arial" w:cs="Arial" w:eastAsia="Arial" w:hAnsi="Arial"/>
          <w:sz w:val="18"/>
          <w:szCs w:val="18"/>
          <w:color w:val="auto"/>
        </w:rPr>
        <w:t>7,903,608; 8,542,643, purportedly related to certain Bluetooth technology. The complaint seeks unspecified damages.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On May 14, 2014, the Company filed a Notice of Appeal to appeal the final judgment issued by the District Court in the CMU litigation. In order to stay the execution of the final judgment pending its appeal, the Company filed a supersedeas bond for $1.54 billion with the District Court. The bond was issued by a consortium of sureties authorized by the U.S. Treasury. If the judgment is affirmed after the completion of all appellate proceedings, and the Company does not thereafter fully satisfy the judgment within thirty days, the sureties are obligated under the bond to make payment to CMU.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six months ended August 2, 2014 is summarized below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5"/>
              </w:rPr>
              <w:t>Number of</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12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83"/>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49,156</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13.40</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2,623</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51,779</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6,011</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15.37</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6,011</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(2,722)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10.63</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(2,722)</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(2,987)</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14.72</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(364)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(3,351)</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2, 2014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49,458</w:t>
            </w:r>
          </w:p>
        </w:tc>
        <w:tc>
          <w:tcPr>
            <w:tcW w:w="2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13.72</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2,259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51,717</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August 2, 2014</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13.79</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45,857</w:t>
            </w:r>
          </w:p>
        </w:tc>
        <w:tc>
          <w:tcPr>
            <w:tcW w:w="24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August 2, 2014</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23,929</w:t>
            </w:r>
          </w:p>
        </w:tc>
        <w:tc>
          <w:tcPr>
            <w:tcW w:w="2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15.14</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040" w:type="dxa"/>
            <w:vAlign w:val="bottom"/>
          </w:tcPr>
          <w:p>
            <w:pPr>
              <w:spacing w:after="0"/>
              <w:rPr>
                <w:sz w:val="24"/>
                <w:szCs w:val="24"/>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21</w:t>
            </w: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For time-based stock options vested and expected to vest at August 2, 2014, the aggregate intrinsic value was $75.7 million and the weighted average remaining contractual term was 6.2 years. For time-based stock options exercisable at August 2, 2014, the aggregate intrinsic value was $38.0 million and the weighted average remaining contractual term was 3.9 years. The aggregate intrinsic value of stock options exercised during the three months ended August 2, 2014 and August 3, 2013 was $4.2 million and $5.0 million, respectively. The aggregate intrinsic value of stock options exercised during the six months ended August 2, 2014 and August 3, 2013 was $13.6 million and $16.1 million, respectively. There was no aggregate intrinsic value for market-based stock options at August 2, 2014 and the weighted average remaining contractual term of market-based stock options expected to reach the end of the vesting period at August 2, 2014 was 6.7 years. The Company’s closing stock price of $13.39 as reported on the NASDAQ Global Select Market for all in-the-money options as of August 1, 2014 was used to calculate the aggregate intrinsic value.</w:t>
      </w:r>
    </w:p>
    <w:p>
      <w:pPr>
        <w:spacing w:after="0" w:line="118"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As of August 2, 2014, the unamortized compensation expense for time-based stock options was $67.0 million and market-based stock options were fully amortized in fiscal 2014. The unamortized compensation expense for time-based stock options will be amortized on a straight-line basis and is expected to be recognized over a weighted average period of 2.8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1240" w:type="dxa"/>
            <w:vAlign w:val="bottom"/>
            <w:gridSpan w:val="4"/>
          </w:tcPr>
          <w:p>
            <w:pPr>
              <w:jc w:val="right"/>
              <w:spacing w:after="0"/>
              <w:rPr>
                <w:sz w:val="20"/>
                <w:szCs w:val="20"/>
                <w:color w:val="auto"/>
              </w:rPr>
            </w:pPr>
            <w:r>
              <w:rPr>
                <w:rFonts w:ascii="Arial" w:cs="Arial" w:eastAsia="Arial" w:hAnsi="Arial"/>
                <w:sz w:val="14"/>
                <w:szCs w:val="14"/>
                <w:b w:val="1"/>
                <w:bCs w:val="1"/>
                <w:color w:val="auto"/>
              </w:rPr>
              <w:t>Time-Based</w:t>
            </w:r>
          </w:p>
        </w:tc>
        <w:tc>
          <w:tcPr>
            <w:tcW w:w="4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140" w:type="dxa"/>
            <w:vAlign w:val="bottom"/>
            <w:gridSpan w:val="6"/>
          </w:tcPr>
          <w:p>
            <w:pPr>
              <w:ind w:left="300"/>
              <w:spacing w:after="0"/>
              <w:rPr>
                <w:sz w:val="20"/>
                <w:szCs w:val="20"/>
                <w:color w:val="auto"/>
              </w:rPr>
            </w:pPr>
            <w:r>
              <w:rPr>
                <w:rFonts w:ascii="Arial" w:cs="Arial" w:eastAsia="Arial" w:hAnsi="Arial"/>
                <w:sz w:val="14"/>
                <w:szCs w:val="14"/>
                <w:b w:val="1"/>
                <w:bCs w:val="1"/>
                <w:color w:val="auto"/>
              </w:rPr>
              <w:t>Performance-Based</w:t>
            </w: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gridSpan w:val="2"/>
          </w:tcPr>
          <w:p>
            <w:pPr>
              <w:spacing w:after="0"/>
              <w:rPr>
                <w:sz w:val="20"/>
                <w:szCs w:val="20"/>
                <w:color w:val="auto"/>
              </w:rPr>
            </w:pPr>
            <w:r>
              <w:rPr>
                <w:rFonts w:ascii="Arial" w:cs="Arial" w:eastAsia="Arial" w:hAnsi="Arial"/>
                <w:sz w:val="14"/>
                <w:szCs w:val="14"/>
                <w:b w:val="1"/>
                <w:bCs w:val="1"/>
                <w:color w:val="auto"/>
              </w:rPr>
              <w:t>Total</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54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2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4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540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040" w:type="dxa"/>
            <w:vAlign w:val="bottom"/>
            <w:gridSpan w:val="3"/>
          </w:tcPr>
          <w:p>
            <w:pPr>
              <w:jc w:val="right"/>
              <w:ind w:right="400"/>
              <w:spacing w:after="0" w:line="149" w:lineRule="exact"/>
              <w:rPr>
                <w:sz w:val="20"/>
                <w:szCs w:val="20"/>
                <w:color w:val="auto"/>
              </w:rPr>
            </w:pPr>
            <w:r>
              <w:rPr>
                <w:rFonts w:ascii="Arial" w:cs="Arial" w:eastAsia="Arial" w:hAnsi="Arial"/>
                <w:sz w:val="14"/>
                <w:szCs w:val="14"/>
                <w:b w:val="1"/>
                <w:bCs w:val="1"/>
                <w:color w:val="auto"/>
                <w:w w:val="86"/>
              </w:rPr>
              <w:t>Grant Date</w:t>
            </w: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700" w:type="dxa"/>
            <w:vAlign w:val="bottom"/>
            <w:gridSpan w:val="2"/>
          </w:tcPr>
          <w:p>
            <w:pPr>
              <w:jc w:val="right"/>
              <w:ind w:right="80"/>
              <w:spacing w:after="0" w:line="149" w:lineRule="exact"/>
              <w:rPr>
                <w:sz w:val="20"/>
                <w:szCs w:val="20"/>
                <w:color w:val="auto"/>
              </w:rPr>
            </w:pPr>
            <w:r>
              <w:rPr>
                <w:rFonts w:ascii="Arial" w:cs="Arial" w:eastAsia="Arial" w:hAnsi="Arial"/>
                <w:sz w:val="14"/>
                <w:szCs w:val="14"/>
                <w:b w:val="1"/>
                <w:bCs w:val="1"/>
                <w:color w:val="auto"/>
                <w:w w:val="85"/>
              </w:rPr>
              <w:t>Number of</w:t>
            </w:r>
          </w:p>
        </w:tc>
        <w:tc>
          <w:tcPr>
            <w:tcW w:w="32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4"/>
                <w:szCs w:val="14"/>
                <w:color w:val="auto"/>
              </w:rPr>
            </w:pPr>
          </w:p>
        </w:tc>
        <w:tc>
          <w:tcPr>
            <w:tcW w:w="104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9"/>
              </w:rPr>
              <w:t>Fair Value</w:t>
            </w:r>
          </w:p>
        </w:tc>
        <w:tc>
          <w:tcPr>
            <w:tcW w:w="9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0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2"/>
              </w:rPr>
              <w:t>Fair Value</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Shares</w:t>
            </w:r>
          </w:p>
        </w:tc>
        <w:tc>
          <w:tcPr>
            <w:tcW w:w="32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5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11,254</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51"/>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14.11</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4"/>
              </w:rPr>
              <w:t>10.52</w:t>
            </w:r>
          </w:p>
        </w:tc>
        <w:tc>
          <w:tcPr>
            <w:tcW w:w="4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5,240</w:t>
            </w:r>
          </w:p>
        </w:tc>
        <w:tc>
          <w:tcPr>
            <w:tcW w:w="380" w:type="dxa"/>
            <w:vAlign w:val="bottom"/>
            <w:gridSpan w:val="2"/>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w w:val="97"/>
              </w:rPr>
              <w:t>15.30</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1,257*</w:t>
            </w:r>
          </w:p>
        </w:tc>
        <w:tc>
          <w:tcPr>
            <w:tcW w:w="3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900" w:type="dxa"/>
            <w:vAlign w:val="bottom"/>
            <w:gridSpan w:val="2"/>
          </w:tcPr>
          <w:p>
            <w:pPr>
              <w:ind w:left="80"/>
              <w:spacing w:after="0"/>
              <w:rPr>
                <w:sz w:val="20"/>
                <w:szCs w:val="20"/>
                <w:color w:val="auto"/>
              </w:rPr>
            </w:pPr>
            <w:r>
              <w:rPr>
                <w:rFonts w:ascii="Arial" w:cs="Arial" w:eastAsia="Arial" w:hAnsi="Arial"/>
                <w:sz w:val="18"/>
                <w:szCs w:val="18"/>
                <w:color w:val="auto"/>
              </w:rPr>
              <w:t>15.00*</w:t>
            </w:r>
          </w:p>
        </w:tc>
        <w:tc>
          <w:tcPr>
            <w:tcW w:w="640" w:type="dxa"/>
            <w:vAlign w:val="bottom"/>
          </w:tcPr>
          <w:p>
            <w:pPr>
              <w:jc w:val="right"/>
              <w:spacing w:after="0"/>
              <w:rPr>
                <w:sz w:val="20"/>
                <w:szCs w:val="20"/>
                <w:color w:val="auto"/>
              </w:rPr>
            </w:pPr>
            <w:r>
              <w:rPr>
                <w:rFonts w:ascii="Arial" w:cs="Arial" w:eastAsia="Arial" w:hAnsi="Arial"/>
                <w:sz w:val="18"/>
                <w:szCs w:val="18"/>
                <w:color w:val="auto"/>
              </w:rPr>
              <w:t>6,497</w:t>
            </w:r>
          </w:p>
        </w:tc>
        <w:tc>
          <w:tcPr>
            <w:tcW w:w="60" w:type="dxa"/>
            <w:vAlign w:val="bottom"/>
          </w:tcPr>
          <w:p>
            <w:pPr>
              <w:spacing w:after="0"/>
              <w:rPr>
                <w:sz w:val="18"/>
                <w:szCs w:val="18"/>
                <w:color w:val="auto"/>
              </w:rPr>
            </w:pP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15.24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(5,405)</w:t>
            </w:r>
          </w:p>
        </w:tc>
        <w:tc>
          <w:tcPr>
            <w:tcW w:w="380" w:type="dxa"/>
            <w:vAlign w:val="bottom"/>
            <w:gridSpan w:val="2"/>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7"/>
              </w:rPr>
              <w:t>14.02</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3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80"/>
              <w:spacing w:after="0"/>
              <w:rPr>
                <w:sz w:val="20"/>
                <w:szCs w:val="20"/>
                <w:color w:val="auto"/>
              </w:rPr>
            </w:pPr>
            <w:r>
              <w:rPr>
                <w:rFonts w:ascii="Arial" w:cs="Arial" w:eastAsia="Arial" w:hAnsi="Arial"/>
                <w:sz w:val="18"/>
                <w:szCs w:val="18"/>
                <w:color w:val="auto"/>
                <w:w w:val="84"/>
              </w:rPr>
              <w:t>10.52</w:t>
            </w:r>
          </w:p>
        </w:tc>
        <w:tc>
          <w:tcPr>
            <w:tcW w:w="4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(5,408)</w:t>
            </w: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(623)</w:t>
            </w:r>
          </w:p>
        </w:tc>
        <w:tc>
          <w:tcPr>
            <w:tcW w:w="380" w:type="dxa"/>
            <w:vAlign w:val="bottom"/>
            <w:gridSpan w:val="2"/>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80"/>
              <w:spacing w:after="0"/>
              <w:rPr>
                <w:sz w:val="20"/>
                <w:szCs w:val="20"/>
                <w:color w:val="auto"/>
              </w:rPr>
            </w:pPr>
            <w:r>
              <w:rPr>
                <w:rFonts w:ascii="Arial" w:cs="Arial" w:eastAsia="Arial" w:hAnsi="Arial"/>
                <w:sz w:val="18"/>
                <w:szCs w:val="18"/>
                <w:color w:val="auto"/>
                <w:w w:val="97"/>
              </w:rPr>
              <w:t>14.12</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(99)</w:t>
            </w:r>
          </w:p>
        </w:tc>
        <w:tc>
          <w:tcPr>
            <w:tcW w:w="3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480" w:type="dxa"/>
            <w:vAlign w:val="bottom"/>
          </w:tcPr>
          <w:p>
            <w:pPr>
              <w:ind w:left="80"/>
              <w:spacing w:after="0"/>
              <w:rPr>
                <w:sz w:val="20"/>
                <w:szCs w:val="20"/>
                <w:color w:val="auto"/>
              </w:rPr>
            </w:pPr>
            <w:r>
              <w:rPr>
                <w:rFonts w:ascii="Arial" w:cs="Arial" w:eastAsia="Arial" w:hAnsi="Arial"/>
                <w:sz w:val="18"/>
                <w:szCs w:val="18"/>
                <w:color w:val="auto"/>
                <w:w w:val="84"/>
              </w:rPr>
              <w:t>10.63</w:t>
            </w:r>
          </w:p>
        </w:tc>
        <w:tc>
          <w:tcPr>
            <w:tcW w:w="42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(722)</w:t>
            </w: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13.64</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2, 2014</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10,466</w:t>
            </w:r>
          </w:p>
        </w:tc>
        <w:tc>
          <w:tcPr>
            <w:tcW w:w="2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7"/>
              </w:rPr>
              <w:t>14.79</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2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80"/>
              <w:spacing w:after="0"/>
              <w:rPr>
                <w:sz w:val="20"/>
                <w:szCs w:val="20"/>
                <w:color w:val="auto"/>
              </w:rPr>
            </w:pPr>
            <w:r>
              <w:rPr>
                <w:rFonts w:ascii="Arial" w:cs="Arial" w:eastAsia="Arial" w:hAnsi="Arial"/>
                <w:sz w:val="18"/>
                <w:szCs w:val="18"/>
                <w:color w:val="auto"/>
                <w:w w:val="84"/>
              </w:rPr>
              <w:t>15.00</w:t>
            </w:r>
          </w:p>
        </w:tc>
        <w:tc>
          <w:tcPr>
            <w:tcW w:w="42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11,721</w:t>
            </w:r>
          </w:p>
        </w:tc>
        <w:tc>
          <w:tcPr>
            <w:tcW w:w="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14.81</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80" w:hanging="452"/>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financial and strategic goals is achieved.</w:t>
      </w:r>
    </w:p>
    <w:p>
      <w:pPr>
        <w:spacing w:after="0" w:line="132"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June 2014, the Company granted performance-based restricted stock units (“PSUs”) to certain members of senior management. Pursuant to the PSUs, each eligible employee is entitled to vest in a certain number of shares based on such employee’s achievement of individual financial and strategic performance goals for fiscal 2015, including, for example, net revenue and operating expense targets, and other individual strategic milestones. The actual number of shares that will vest for each eligible employee based on the achievement of such performance goals will be determined at the end of fiscal 2015 and will vest over two years, with 50% vesting on April 1, 2015 and 50% on April 1, 2016. The Company recognizes expenses associated with the PSUs when it becomes probable that the performance conditions will be met. Once it becomes probable that a PSU will vest, the Company recognizes compensation expense equal to the number of shares multiplied by the fair value of the related shares measured at the grant date.</w:t>
      </w:r>
    </w:p>
    <w:p>
      <w:pPr>
        <w:spacing w:after="0" w:line="118"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August 2, 2014 was $142.7 million. The number of restricted stock units that are expected to vest is 10.7 million shares.</w:t>
      </w:r>
    </w:p>
    <w:p>
      <w:pPr>
        <w:spacing w:after="0" w:line="132"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As of August 2, 2014, unamortized compensation expense related to restricted stock units was $132.9 million. The unamortized compensation expense for restricted stock units will be amortized on a straight-line basis and is expected to be recognized over a weighted average period of 1.8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Executive Performance Awards</w:t>
      </w:r>
    </w:p>
    <w:p>
      <w:pPr>
        <w:spacing w:after="0" w:line="90" w:lineRule="exact"/>
        <w:rPr>
          <w:sz w:val="20"/>
          <w:szCs w:val="20"/>
          <w:color w:val="auto"/>
        </w:rPr>
      </w:pPr>
    </w:p>
    <w:p>
      <w:pPr>
        <w:ind w:right="200" w:firstLine="456"/>
        <w:spacing w:after="0" w:line="287" w:lineRule="auto"/>
        <w:rPr>
          <w:sz w:val="20"/>
          <w:szCs w:val="20"/>
          <w:color w:val="auto"/>
        </w:rPr>
      </w:pPr>
      <w:r>
        <w:rPr>
          <w:rFonts w:ascii="Arial" w:cs="Arial" w:eastAsia="Arial" w:hAnsi="Arial"/>
          <w:sz w:val="16"/>
          <w:szCs w:val="16"/>
          <w:color w:val="auto"/>
        </w:rPr>
        <w:t>In April 2014, the Company granted performance-based equity awards to each of our executive officers which are based on their achievement of certain performance goals in fiscal 2015 and 2016. These equity awards include restricted stock units which vest based on financial performance criteria (“Financial Performance RSU”) and restricted stock units which vest based on both financial performance criteria and individual strategic goals (“Strategic Performance Award”). The Financial Performance RSUs will be earned based on the achievement of revenue and modified non-GAAP operating income that have been established at “threshold,” “target” and “maximum” levels. Each Financial Performance RSU will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will vest based on achievement at the threshold level of either the revenue or modified non-GAAP operating income objective established for the Financial Performance RSU, in addition to the achievement of additional individual strategic goals. Each Strategic Performance Award will vest 50% on the first anniversary of the commencement date based on achievement of fiscal 2015 individual strategic goals and 50% on second anniversary date based on the achievement of the fiscal 2016 individual strategic goals.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During the three and six months ended August 2, 2014, a total of 5.2 million shares were issued at a weighted-average price of $7.58 per share under the 2000 Employee Stock Purchase Plan, as amended and restated (the “ESPP”). During the three and six months ended August 3, 2013, a total of 5.0 million shares were issued at a weighted-average price of $7.34 per share under the ESPP. As of August 2, 2014, there was $10.9 million of unrecognized compensation cost related to the ESPP.</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had no repurchases of its common shares during the three and six months ended August 2, 2014. During the three and six months ended August 3, 2013, the Company repurchased 7.2 million of its common shares for $82.6 million in cash and 27.1 million of its common shares for $282.8 million in cash, respectively. The repurchased shares were retired immediately after the repurchases were completed. The Company records all repurchases, as well as investment purchases and sales, based on trade date. As of August 2, 2014, a total of 216.9 million cumulative shares have been repurchased under the Company’s share repurchase program for a total $2.7 billion in cash and there was $258.4 million remaining available for future share repurchases.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 in the three and six months ended August 2, 2014 and August 3, 2013:</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5"/>
          </w:tcPr>
          <w:p>
            <w:pPr>
              <w:jc w:val="right"/>
              <w:ind w:right="79"/>
              <w:spacing w:after="0"/>
              <w:rPr>
                <w:sz w:val="20"/>
                <w:szCs w:val="20"/>
                <w:color w:val="auto"/>
              </w:rPr>
            </w:pPr>
            <w:r>
              <w:rPr>
                <w:rFonts w:ascii="Arial" w:cs="Arial" w:eastAsia="Arial" w:hAnsi="Arial"/>
                <w:sz w:val="14"/>
                <w:szCs w:val="14"/>
                <w:b w:val="1"/>
                <w:bCs w:val="1"/>
                <w:color w:val="auto"/>
                <w:w w:val="92"/>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rPr>
              <w:t>August 2,</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2,</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w w:val="96"/>
              </w:rPr>
              <w:t>2013</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00" w:type="dxa"/>
            <w:vAlign w:val="bottom"/>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30,820</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29,791</w:t>
            </w:r>
          </w:p>
        </w:tc>
        <w:tc>
          <w:tcPr>
            <w:tcW w:w="480" w:type="dxa"/>
            <w:vAlign w:val="bottom"/>
            <w:gridSpan w:val="2"/>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60,992</w:t>
            </w:r>
          </w:p>
        </w:tc>
        <w:tc>
          <w:tcPr>
            <w:tcW w:w="480" w:type="dxa"/>
            <w:vAlign w:val="bottom"/>
            <w:gridSpan w:val="2"/>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60,044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480" w:firstLine="456"/>
        <w:spacing w:after="0" w:line="268" w:lineRule="auto"/>
        <w:rPr>
          <w:sz w:val="20"/>
          <w:szCs w:val="20"/>
          <w:color w:val="auto"/>
        </w:rPr>
      </w:pPr>
      <w:r>
        <w:rPr>
          <w:rFonts w:ascii="Arial" w:cs="Arial" w:eastAsia="Arial" w:hAnsi="Arial"/>
          <w:sz w:val="18"/>
          <w:szCs w:val="18"/>
          <w:color w:val="auto"/>
        </w:rPr>
        <w:t>On August 21, 2014, the Company announced that its board of directors declared a cash dividend of $0.06 per share to be paid on October 2, 2014 to shareholders of record as of September 11, 2014.</w:t>
      </w:r>
    </w:p>
    <w:p>
      <w:pPr>
        <w:spacing w:after="0" w:line="132"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August 2,</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2,</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100" w:type="dxa"/>
            <w:vAlign w:val="bottom"/>
          </w:tcPr>
          <w:p>
            <w:pPr>
              <w:spacing w:after="0"/>
              <w:rPr>
                <w:sz w:val="11"/>
                <w:szCs w:val="1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2013</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1,733</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1,868</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3,735</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24,276</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28,982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44,644</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52,261</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2,617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3,648</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7,040</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6,394</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6,593</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10,768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11,568</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35,020</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41,091</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64,989</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74,604</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$1.5 million at August 2, 2014 and $1.7 million at February 1, 2014.</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2220" w:type="dxa"/>
            <w:vAlign w:val="bottom"/>
            <w:gridSpan w:val="8"/>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0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w w:val="92"/>
              </w:rPr>
              <w:t>Six Months Ended</w:t>
            </w:r>
          </w:p>
        </w:tc>
      </w:tr>
      <w:tr>
        <w:trPr>
          <w:trHeight w:val="129"/>
        </w:trPr>
        <w:tc>
          <w:tcPr>
            <w:tcW w:w="920" w:type="dxa"/>
            <w:vAlign w:val="bottom"/>
          </w:tcPr>
          <w:p>
            <w:pPr>
              <w:spacing w:after="0"/>
              <w:rPr>
                <w:sz w:val="11"/>
                <w:szCs w:val="11"/>
                <w:color w:val="auto"/>
              </w:rPr>
            </w:pPr>
          </w:p>
        </w:tc>
        <w:tc>
          <w:tcPr>
            <w:tcW w:w="33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1"/>
              </w:rPr>
              <w:t>August 2,</w:t>
            </w:r>
          </w:p>
        </w:tc>
        <w:tc>
          <w:tcPr>
            <w:tcW w:w="1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4"/>
              </w:rPr>
              <w:t>August 3,</w:t>
            </w:r>
          </w:p>
        </w:tc>
        <w:tc>
          <w:tcPr>
            <w:tcW w:w="4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00" w:type="dxa"/>
            <w:vAlign w:val="bottom"/>
            <w:tcBorders>
              <w:top w:val="single" w:sz="8" w:color="auto"/>
            </w:tcBorders>
            <w:gridSpan w:val="5"/>
          </w:tcPr>
          <w:p>
            <w:pPr>
              <w:jc w:val="right"/>
              <w:ind w:right="540"/>
              <w:spacing w:after="0" w:line="129" w:lineRule="exact"/>
              <w:rPr>
                <w:sz w:val="20"/>
                <w:szCs w:val="20"/>
                <w:color w:val="auto"/>
              </w:rPr>
            </w:pPr>
            <w:r>
              <w:rPr>
                <w:rFonts w:ascii="Arial" w:cs="Arial" w:eastAsia="Arial" w:hAnsi="Arial"/>
                <w:sz w:val="14"/>
                <w:szCs w:val="14"/>
                <w:b w:val="1"/>
                <w:bCs w:val="1"/>
                <w:color w:val="auto"/>
                <w:w w:val="84"/>
              </w:rPr>
              <w:t>August 2,</w:t>
            </w:r>
          </w:p>
        </w:tc>
        <w:tc>
          <w:tcPr>
            <w:tcW w:w="1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3,</w:t>
            </w: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34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2014</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2013</w:t>
            </w:r>
          </w:p>
        </w:tc>
        <w:tc>
          <w:tcPr>
            <w:tcW w:w="420" w:type="dxa"/>
            <w:vAlign w:val="bottom"/>
          </w:tcPr>
          <w:p>
            <w:pPr>
              <w:spacing w:after="0"/>
              <w:rPr>
                <w:sz w:val="14"/>
                <w:szCs w:val="14"/>
                <w:color w:val="auto"/>
              </w:rPr>
            </w:pPr>
          </w:p>
        </w:tc>
        <w:tc>
          <w:tcPr>
            <w:tcW w:w="820" w:type="dxa"/>
            <w:vAlign w:val="bottom"/>
            <w:gridSpan w:val="4"/>
          </w:tcPr>
          <w:p>
            <w:pPr>
              <w:jc w:val="right"/>
              <w:ind w:right="56"/>
              <w:spacing w:after="0"/>
              <w:rPr>
                <w:sz w:val="20"/>
                <w:szCs w:val="20"/>
                <w:color w:val="auto"/>
              </w:rPr>
            </w:pPr>
            <w:r>
              <w:rPr>
                <w:rFonts w:ascii="Arial" w:cs="Arial" w:eastAsia="Arial" w:hAnsi="Arial"/>
                <w:sz w:val="14"/>
                <w:szCs w:val="14"/>
                <w:b w:val="1"/>
                <w:bCs w:val="1"/>
                <w:color w:val="auto"/>
              </w:rPr>
              <w:t>2014</w:t>
            </w:r>
          </w:p>
        </w:tc>
        <w:tc>
          <w:tcPr>
            <w:tcW w:w="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r>
      <w:tr>
        <w:trPr>
          <w:trHeight w:val="196"/>
        </w:trPr>
        <w:tc>
          <w:tcPr>
            <w:tcW w:w="424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7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240" w:type="dxa"/>
            <w:vAlign w:val="bottom"/>
            <w:gridSpan w:val="2"/>
          </w:tcPr>
          <w:p>
            <w:pPr>
              <w:spacing w:after="0"/>
              <w:rPr>
                <w:sz w:val="20"/>
                <w:szCs w:val="20"/>
                <w:color w:val="auto"/>
              </w:rPr>
            </w:pPr>
            <w:r>
              <w:rPr>
                <w:rFonts w:ascii="Arial" w:cs="Arial" w:eastAsia="Arial" w:hAnsi="Arial"/>
                <w:sz w:val="18"/>
                <w:szCs w:val="18"/>
                <w:color w:val="auto"/>
              </w:rPr>
              <w:t>Weighted average fair value</w:t>
            </w:r>
          </w:p>
        </w:tc>
        <w:tc>
          <w:tcPr>
            <w:tcW w:w="2600" w:type="dxa"/>
            <w:vAlign w:val="bottom"/>
            <w:gridSpan w:val="3"/>
          </w:tcPr>
          <w:p>
            <w:pPr>
              <w:jc w:val="right"/>
              <w:ind w:right="260"/>
              <w:spacing w:after="0"/>
              <w:rPr>
                <w:sz w:val="20"/>
                <w:szCs w:val="20"/>
                <w:color w:val="auto"/>
              </w:rPr>
            </w:pPr>
            <w:r>
              <w:rPr>
                <w:rFonts w:ascii="Arial" w:cs="Arial" w:eastAsia="Arial" w:hAnsi="Arial"/>
                <w:sz w:val="18"/>
                <w:szCs w:val="18"/>
                <w:color w:val="auto"/>
              </w:rPr>
              <w:t>$  3.98</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  3.63</w:t>
            </w:r>
          </w:p>
        </w:tc>
        <w:tc>
          <w:tcPr>
            <w:tcW w:w="420" w:type="dxa"/>
            <w:vAlign w:val="bottom"/>
          </w:tcPr>
          <w:p>
            <w:pPr>
              <w:spacing w:after="0"/>
              <w:rPr>
                <w:sz w:val="18"/>
                <w:szCs w:val="18"/>
                <w:color w:val="auto"/>
              </w:rPr>
            </w:pPr>
          </w:p>
        </w:tc>
        <w:tc>
          <w:tcPr>
            <w:tcW w:w="1160" w:type="dxa"/>
            <w:vAlign w:val="bottom"/>
            <w:gridSpan w:val="5"/>
          </w:tcPr>
          <w:p>
            <w:pPr>
              <w:jc w:val="right"/>
              <w:ind w:right="340"/>
              <w:spacing w:after="0"/>
              <w:rPr>
                <w:sz w:val="20"/>
                <w:szCs w:val="20"/>
                <w:color w:val="auto"/>
              </w:rPr>
            </w:pPr>
            <w:r>
              <w:rPr>
                <w:rFonts w:ascii="Arial" w:cs="Arial" w:eastAsia="Arial" w:hAnsi="Arial"/>
                <w:sz w:val="18"/>
                <w:szCs w:val="18"/>
                <w:color w:val="auto"/>
              </w:rPr>
              <w:t>$  4.37</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  3.41</w:t>
            </w:r>
          </w:p>
        </w:tc>
        <w:tc>
          <w:tcPr>
            <w:tcW w:w="200" w:type="dxa"/>
            <w:vAlign w:val="bottom"/>
          </w:tcPr>
          <w:p>
            <w:pPr>
              <w:spacing w:after="0"/>
              <w:rPr>
                <w:sz w:val="18"/>
                <w:szCs w:val="18"/>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6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34%</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w:t>
            </w:r>
          </w:p>
        </w:tc>
        <w:tc>
          <w:tcPr>
            <w:tcW w:w="2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424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2600" w:type="dxa"/>
            <w:vAlign w:val="bottom"/>
            <w:gridSpan w:val="3"/>
          </w:tcPr>
          <w:p>
            <w:pPr>
              <w:jc w:val="right"/>
              <w:ind w:right="260"/>
              <w:spacing w:after="0"/>
              <w:rPr>
                <w:sz w:val="20"/>
                <w:szCs w:val="20"/>
                <w:color w:val="auto"/>
              </w:rPr>
            </w:pPr>
            <w:r>
              <w:rPr>
                <w:rFonts w:ascii="Arial" w:cs="Arial" w:eastAsia="Arial" w:hAnsi="Arial"/>
                <w:sz w:val="18"/>
                <w:szCs w:val="18"/>
                <w:color w:val="auto"/>
              </w:rPr>
              <w:t>5.0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5.0</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340"/>
              <w:spacing w:after="0"/>
              <w:rPr>
                <w:sz w:val="20"/>
                <w:szCs w:val="20"/>
                <w:color w:val="auto"/>
              </w:rPr>
            </w:pPr>
            <w:r>
              <w:rPr>
                <w:rFonts w:ascii="Arial" w:cs="Arial" w:eastAsia="Arial" w:hAnsi="Arial"/>
                <w:sz w:val="18"/>
                <w:szCs w:val="18"/>
                <w:color w:val="auto"/>
                <w:w w:val="95"/>
              </w:rPr>
              <w:t>5.0</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6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1.7%</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1.2%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1.6%</w:t>
            </w:r>
          </w:p>
        </w:tc>
        <w:tc>
          <w:tcPr>
            <w:tcW w:w="2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r>
      <w:tr>
        <w:trPr>
          <w:trHeight w:val="222"/>
        </w:trPr>
        <w:tc>
          <w:tcPr>
            <w:tcW w:w="4240" w:type="dxa"/>
            <w:vAlign w:val="bottom"/>
            <w:gridSpan w:val="2"/>
          </w:tcPr>
          <w:p>
            <w:pPr>
              <w:spacing w:after="0"/>
              <w:rPr>
                <w:sz w:val="20"/>
                <w:szCs w:val="20"/>
                <w:color w:val="auto"/>
              </w:rPr>
            </w:pPr>
            <w:r>
              <w:rPr>
                <w:rFonts w:ascii="Arial" w:cs="Arial" w:eastAsia="Arial" w:hAnsi="Arial"/>
                <w:sz w:val="18"/>
                <w:szCs w:val="18"/>
                <w:color w:val="auto"/>
              </w:rPr>
              <w:t>Expected dividend yield</w:t>
            </w:r>
          </w:p>
        </w:tc>
        <w:tc>
          <w:tcPr>
            <w:tcW w:w="2600" w:type="dxa"/>
            <w:vAlign w:val="bottom"/>
            <w:gridSpan w:val="3"/>
          </w:tcPr>
          <w:p>
            <w:pPr>
              <w:jc w:val="right"/>
              <w:ind w:right="120"/>
              <w:spacing w:after="0"/>
              <w:rPr>
                <w:sz w:val="20"/>
                <w:szCs w:val="20"/>
                <w:color w:val="auto"/>
              </w:rPr>
            </w:pPr>
            <w:r>
              <w:rPr>
                <w:rFonts w:ascii="Arial" w:cs="Arial" w:eastAsia="Arial" w:hAnsi="Arial"/>
                <w:sz w:val="18"/>
                <w:szCs w:val="18"/>
                <w:color w:val="auto"/>
              </w:rPr>
              <w:t>1.6%</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40" w:type="dxa"/>
            <w:vAlign w:val="bottom"/>
            <w:gridSpan w:val="4"/>
          </w:tcPr>
          <w:p>
            <w:pPr>
              <w:jc w:val="right"/>
              <w:ind w:right="280"/>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8"/>
                <w:szCs w:val="18"/>
                <w:color w:val="auto"/>
                <w:w w:val="92"/>
              </w:rPr>
              <w:t>1.6%</w:t>
            </w:r>
          </w:p>
        </w:tc>
        <w:tc>
          <w:tcPr>
            <w:tcW w:w="200" w:type="dxa"/>
            <w:vAlign w:val="bottom"/>
          </w:tcPr>
          <w:p>
            <w:pPr>
              <w:spacing w:after="0"/>
              <w:rPr>
                <w:sz w:val="19"/>
                <w:szCs w:val="19"/>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2.4%</w:t>
            </w:r>
          </w:p>
        </w:tc>
      </w:tr>
      <w:tr>
        <w:trPr>
          <w:trHeight w:val="345"/>
        </w:trPr>
        <w:tc>
          <w:tcPr>
            <w:tcW w:w="9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340" w:type="dxa"/>
            <w:vAlign w:val="bottom"/>
            <w:gridSpan w:val="9"/>
          </w:tcPr>
          <w:p>
            <w:pPr>
              <w:jc w:val="right"/>
              <w:ind w:right="580"/>
              <w:spacing w:after="0"/>
              <w:rPr>
                <w:sz w:val="20"/>
                <w:szCs w:val="20"/>
                <w:color w:val="auto"/>
              </w:rPr>
            </w:pPr>
            <w:r>
              <w:rPr>
                <w:rFonts w:ascii="Arial" w:cs="Arial" w:eastAsia="Arial" w:hAnsi="Arial"/>
                <w:sz w:val="14"/>
                <w:szCs w:val="14"/>
                <w:b w:val="1"/>
                <w:bCs w:val="1"/>
                <w:color w:val="auto"/>
                <w:w w:val="90"/>
              </w:rPr>
              <w:t>Three and Six Months Ended</w:t>
            </w: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920" w:type="dxa"/>
            <w:vAlign w:val="bottom"/>
          </w:tcPr>
          <w:p>
            <w:pPr>
              <w:spacing w:after="0"/>
              <w:rPr>
                <w:sz w:val="11"/>
                <w:szCs w:val="11"/>
                <w:color w:val="auto"/>
              </w:rPr>
            </w:pPr>
          </w:p>
        </w:tc>
        <w:tc>
          <w:tcPr>
            <w:tcW w:w="33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80" w:type="dxa"/>
            <w:vAlign w:val="bottom"/>
            <w:tcBorders>
              <w:top w:val="single" w:sz="8" w:color="auto"/>
            </w:tcBorders>
            <w:gridSpan w:val="5"/>
          </w:tcPr>
          <w:p>
            <w:pPr>
              <w:jc w:val="right"/>
              <w:ind w:right="660"/>
              <w:spacing w:after="0" w:line="129" w:lineRule="exact"/>
              <w:rPr>
                <w:sz w:val="20"/>
                <w:szCs w:val="20"/>
                <w:color w:val="auto"/>
              </w:rPr>
            </w:pPr>
            <w:r>
              <w:rPr>
                <w:rFonts w:ascii="Arial" w:cs="Arial" w:eastAsia="Arial" w:hAnsi="Arial"/>
                <w:sz w:val="14"/>
                <w:szCs w:val="14"/>
                <w:b w:val="1"/>
                <w:bCs w:val="1"/>
                <w:color w:val="auto"/>
                <w:w w:val="93"/>
              </w:rPr>
              <w:t>August 2,</w:t>
            </w:r>
          </w:p>
        </w:tc>
        <w:tc>
          <w:tcPr>
            <w:tcW w:w="26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3"/>
          </w:tcPr>
          <w:p>
            <w:pPr>
              <w:jc w:val="right"/>
              <w:ind w:right="100"/>
              <w:spacing w:after="0" w:line="129" w:lineRule="exact"/>
              <w:rPr>
                <w:sz w:val="20"/>
                <w:szCs w:val="20"/>
                <w:color w:val="auto"/>
              </w:rPr>
            </w:pPr>
            <w:r>
              <w:rPr>
                <w:rFonts w:ascii="Arial" w:cs="Arial" w:eastAsia="Arial" w:hAnsi="Arial"/>
                <w:sz w:val="14"/>
                <w:szCs w:val="14"/>
                <w:b w:val="1"/>
                <w:bCs w:val="1"/>
                <w:color w:val="auto"/>
                <w:w w:val="93"/>
              </w:rPr>
              <w:t>August 3,</w:t>
            </w: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3320" w:type="dxa"/>
            <w:vAlign w:val="bottom"/>
            <w:tcBorders>
              <w:bottom w:val="single" w:sz="8" w:color="CCEEFF"/>
            </w:tcBorders>
          </w:tcPr>
          <w:p>
            <w:pPr>
              <w:spacing w:after="0"/>
              <w:rPr>
                <w:sz w:val="14"/>
                <w:szCs w:val="14"/>
                <w:color w:val="auto"/>
              </w:rPr>
            </w:pPr>
          </w:p>
        </w:tc>
        <w:tc>
          <w:tcPr>
            <w:tcW w:w="178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2"/>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right"/>
              <w:ind w:right="24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920" w:type="dxa"/>
            <w:vAlign w:val="bottom"/>
          </w:tcPr>
          <w:p>
            <w:pPr>
              <w:spacing w:after="0"/>
              <w:rPr>
                <w:sz w:val="17"/>
                <w:szCs w:val="17"/>
                <w:color w:val="auto"/>
              </w:rPr>
            </w:pPr>
          </w:p>
        </w:tc>
        <w:tc>
          <w:tcPr>
            <w:tcW w:w="3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78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9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Estimated fair value</w:t>
            </w:r>
          </w:p>
        </w:tc>
        <w:tc>
          <w:tcPr>
            <w:tcW w:w="17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4.13</w:t>
            </w: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3.45</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7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32%</w:t>
            </w: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7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7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0.2%</w:t>
            </w: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920" w:type="dxa"/>
            <w:vAlign w:val="bottom"/>
          </w:tcPr>
          <w:p>
            <w:pPr>
              <w:spacing w:after="0"/>
              <w:rPr>
                <w:sz w:val="19"/>
                <w:szCs w:val="19"/>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Dividend yield</w:t>
            </w:r>
          </w:p>
        </w:tc>
        <w:tc>
          <w:tcPr>
            <w:tcW w:w="17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3"/>
          </w:tcPr>
          <w:p>
            <w:pPr>
              <w:jc w:val="right"/>
              <w:ind w:right="20"/>
              <w:spacing w:after="0"/>
              <w:rPr>
                <w:sz w:val="20"/>
                <w:szCs w:val="20"/>
                <w:color w:val="auto"/>
              </w:rPr>
            </w:pPr>
            <w:r>
              <w:rPr>
                <w:rFonts w:ascii="Arial" w:cs="Arial" w:eastAsia="Arial" w:hAnsi="Arial"/>
                <w:sz w:val="18"/>
                <w:szCs w:val="18"/>
                <w:color w:val="auto"/>
              </w:rPr>
              <w:t>1.6%</w:t>
            </w: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3"/>
          </w:tcPr>
          <w:p>
            <w:pPr>
              <w:jc w:val="right"/>
              <w:ind w:right="60"/>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r>
      <w:tr>
        <w:trPr>
          <w:trHeight w:val="356"/>
        </w:trPr>
        <w:tc>
          <w:tcPr>
            <w:tcW w:w="9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780" w:type="dxa"/>
            <w:vAlign w:val="bottom"/>
          </w:tcPr>
          <w:p>
            <w:pPr>
              <w:jc w:val="right"/>
              <w:ind w:right="595"/>
              <w:spacing w:after="0"/>
              <w:rPr>
                <w:sz w:val="20"/>
                <w:szCs w:val="20"/>
                <w:color w:val="auto"/>
              </w:rPr>
            </w:pPr>
            <w:r>
              <w:rPr>
                <w:rFonts w:ascii="Arial" w:cs="Arial" w:eastAsia="Arial" w:hAnsi="Arial"/>
                <w:sz w:val="18"/>
                <w:szCs w:val="18"/>
                <w:color w:val="auto"/>
              </w:rPr>
              <w:t>24</w:t>
            </w:r>
          </w:p>
        </w:tc>
        <w:tc>
          <w:tcPr>
            <w:tcW w:w="5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Examples of forward-looking statements include statements regarding:</w:t>
      </w:r>
    </w:p>
    <w:p>
      <w:pPr>
        <w:spacing w:after="0" w:line="35"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anticipation that the rate of new orders and shipments may vary significantly from quarter to quarter;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market acceptance of our products using our innovative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sustained investments leading to new growth opportunities;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expectations about industry trends;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growth of our customer’s products, including the timing of any launches;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increased competition in the semiconductor industry;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pricing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customer concentration;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net revenue, cost of goods sold as a percentage of revenue and operating expenses for future periods;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of legal proceedings and claims;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meet our capital needs for at least the next 12 months;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future growth opportunities;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effect of recent accounting pronouncements and changes in taxation rules;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effectiveness of our hedges of foreign currency exposures;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plans regarding our investment portfolio;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expectation that quarterly operating results will fluctuate from quarter to quarter;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general economic environment;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arrangements with suppliers;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develop and introduce new products and achieve market acceptance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demand for our products and the impact of seasonality on demand;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implementation and improvement of operational and financial systems, as well as the implementation of additional procedures and other internal management systems;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gross margin and the events that may cause gross margin to fluctuate;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transition of our semiconductor products to increasingly smaller line width geometries;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operations and sales outside of the United States, including future sales in Asia;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anticipated features and benefits of our technology solutions.</w:t>
      </w:r>
    </w:p>
    <w:p>
      <w:pPr>
        <w:spacing w:after="0" w:line="171"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i w:val="1"/>
          <w:iCs w:val="1"/>
          <w:color w:val="auto"/>
        </w:rPr>
        <w:t>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our dependence upon the hard disk drive and mobile and wireless markets, which are highly cyclical and intensely competitive;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i w:val="1"/>
          <w:iCs w:val="1"/>
          <w:color w:val="auto"/>
        </w:rPr>
        <w:t>the outcome of pending or future litigation and legal proceedings, including our patent litigation action involving Carnegie Mellon University;</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i w:val="1"/>
          <w:iCs w:val="1"/>
          <w:color w:val="auto"/>
        </w:rPr>
        <w:t>our ability to estimate customer demand and future sales accurately, including the impact of lengthy and expensive product sales cycles;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transition to smaller geometry process technologies or higher levels of design integration;</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success in integrating businesses we acquire and the impact such acquisitions may have on our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Systems-on-a-Chip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mobile handsets, connectivity and other consumer electronics.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back-to-school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consumers launches a new gaming console, and these sales may taper significantly after the initial launch period.</w:t>
      </w:r>
    </w:p>
    <w:p>
      <w:pPr>
        <w:spacing w:after="0" w:line="116"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some of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In this Quarterly Report on Form 10-Q, we refer to the fiscal year ended February 2, 2008 as fiscal 2008,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1, 2014.</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Net revenue for the three months ended August 2, 2014 was higher by approximately19% compared to the three months ended August 3, 2013, led by year over year growth in the mobile and wireless end markets, together with stable growth in the storage market. On a sequential basis, net revenue was essentially flat as revenue in the mobile and wireless end markets declined by approximately 9% as we experienced weaker than expected 3G demand from one of our major Asian smartphone OEM partners. We continue to see unit growth across our customer base in 4G LTE and in the coming months, we expect our customers to launch new smartphones powered by our LTE solutions. Overall, many of our customers have introduced new devices using our innovative solutions, which we believe will drive success across all of our end markets. Our future growth is expected to be driven by areas such as mobile handsets, tablets, connectivity, smart home devices and solid state drive (“SSD”) controllers.</w:t>
      </w:r>
    </w:p>
    <w:p>
      <w:pPr>
        <w:spacing w:after="0" w:line="37" w:lineRule="exact"/>
        <w:rPr>
          <w:sz w:val="20"/>
          <w:szCs w:val="20"/>
          <w:color w:val="auto"/>
        </w:rPr>
      </w:pPr>
    </w:p>
    <w:p>
      <w:pPr>
        <w:ind w:left="900" w:hanging="325"/>
        <w:spacing w:after="0" w:line="294"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the mobile market, we continued to make steady progress with our LTE solutions. We have focused initially on the LTE market in China where we are seeing more OEM partners start new 4G LTE smart phone, tablet and mobile broadband device projects with our chipsets. We are now also expanding into multiple geographies and have recently seen good expansion of our 4G LTE products outside of China with a leading OEM launching our LTE solution in the European market. Samsung recently launched the new Galaxy Mini 4G smartphone and its multi-mode LTE mobile hotspot. We are on track to powering more multimode LTE devices from leading OEMs for deployment around the world later this year.</w:t>
      </w:r>
    </w:p>
    <w:p>
      <w:pPr>
        <w:spacing w:after="0" w:line="34" w:lineRule="exact"/>
        <w:rPr>
          <w:rFonts w:ascii="Arial" w:cs="Arial" w:eastAsia="Arial" w:hAnsi="Arial"/>
          <w:sz w:val="16"/>
          <w:szCs w:val="16"/>
          <w:color w:val="auto"/>
        </w:rPr>
      </w:pPr>
    </w:p>
    <w:p>
      <w:pPr>
        <w:ind w:left="900" w:right="120" w:hanging="325"/>
        <w:spacing w:after="0" w:line="290"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the wireless connectivity market, we experienced growth in the gaming market where our wireless connectivity solutions are being used in new game consoles that were launched for the past holiday season. We expect wireless connectivity and other advanced features in these new game consoles to help drive growth for us this year in this industry. We are seeing new opportunities for our connectivity solutions across multiple market segments. We are also seeing increased momentum for both our 1x1 and our 2x2 combo solutions in mobile computing, dongles, set-top boxes and home automation. Our WiFi and Zigbee devices are gaining strong adoption in new IoT-type devices, home automation and smart lighting applications, and we expect volume to ramp up later this year. Our connectivity products have superior RF performance which helps accelerate customer on-boarding and reduce their time-to-market.</w:t>
      </w:r>
    </w:p>
    <w:p>
      <w:pPr>
        <w:spacing w:after="0" w:line="37" w:lineRule="exact"/>
        <w:rPr>
          <w:rFonts w:ascii="Arial" w:cs="Arial" w:eastAsia="Arial" w:hAnsi="Arial"/>
          <w:sz w:val="16"/>
          <w:szCs w:val="16"/>
          <w:color w:val="auto"/>
        </w:rPr>
      </w:pPr>
    </w:p>
    <w:p>
      <w:pPr>
        <w:ind w:left="900" w:right="40" w:hanging="325"/>
        <w:spacing w:after="0" w:line="287" w:lineRule="auto"/>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In the storage market, we continued to execute well as the overall industry appears to have stabilized. Our revenue has continued to grow within the SSD market and our strategy of partnering with top tier OEMs has resulted in excellent traction for our advanced SSD solutions. During the second quarter of fiscal 2015, we announced multiple new products that we believe enhanced and expanded our SSD offerings. They included our 5</w:t>
      </w:r>
      <w:r>
        <w:rPr>
          <w:rFonts w:ascii="Arial" w:cs="Arial" w:eastAsia="Arial" w:hAnsi="Arial"/>
          <w:sz w:val="10"/>
          <w:szCs w:val="10"/>
          <w:color w:val="auto"/>
        </w:rPr>
        <w:t>th</w:t>
      </w:r>
      <w:r>
        <w:rPr>
          <w:rFonts w:ascii="Arial" w:cs="Arial" w:eastAsia="Arial" w:hAnsi="Arial"/>
          <w:sz w:val="16"/>
          <w:szCs w:val="16"/>
          <w:color w:val="auto"/>
        </w:rPr>
        <w:t xml:space="preserve"> generation SATA product with LDPC technology to support 3D NAND, as well as 15nm 2D NAND, and a low-cost PCIe-based SSD solution priced similar to our SATA solution but with much higher performance. Within the hard disk drive (“HDD”) market, we continue to experience strong demand for our 500 gigabyte per platter products. We have continued to see increased demand for our products used in enterprise drives at a top North America based HDD customer. In addition, we are continuing to accelerate our investment in next generation HDD technologies. We are also leveraging our technology leadership in HDD and SSD to help our customer migrate to hybrid storage devices by developing a single-chip solution that we believe will drive lower price points and allow the market to grow. We believe all of these efforts will allow us to further increase our share and solidify our leadership position in the market over the next few years.</w:t>
      </w:r>
    </w:p>
    <w:p>
      <w:pPr>
        <w:spacing w:after="0" w:line="41" w:lineRule="exact"/>
        <w:rPr>
          <w:rFonts w:ascii="Arial" w:cs="Arial" w:eastAsia="Arial" w:hAnsi="Arial"/>
          <w:sz w:val="16"/>
          <w:szCs w:val="16"/>
          <w:color w:val="auto"/>
        </w:rPr>
      </w:pPr>
    </w:p>
    <w:p>
      <w:pPr>
        <w:ind w:left="900" w:right="40" w:hanging="325"/>
        <w:spacing w:after="0" w:line="256"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 the networking market, revenue grew in the second quarter of fiscal 2015 as we saw growth from our Ethernet product lines across enterprise, datacenter and service provider networks, with the latter also driving growth in our PON product line. Design win momentum continued this quarter, with new programs that cover low-end fixed solutions to high-end modular platforms in the enterprise and service provider markets, driving new opportunities with our latest family of network processing solutions.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cost of goods sold as a percentage of net revenue for the three months ended August 2, 2014 was higher compared to both the three months ended May 3, 2014 and August 3, 2013. As we expand our presence and grow revenue in the mobile and wireless end markets, we expect our gross margin to face downward pressure, as these end markets generally have lower average gross margins than the rest of our business. However, we expect this growth will result in improvement to total gross margin dollars and operating profit. In addition, we are focused on efforts to improve both aspects of our gross profit, including through cost improvement and pricing.</w:t>
      </w:r>
    </w:p>
    <w:p>
      <w:pPr>
        <w:spacing w:after="0" w:line="143"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Our financial position is strong and we continue to generate significant positive cash flows. Our cash, cash equivalents and short-term investments were $2.3 billion at August 2, 2014 and we generated cash flow from operations of $392.1 million through the second quarter of fiscal 2015. We paid a cash dividend of $0.06 per share for a total of $30.8 million in the second quarter of fiscal 2015 and we recently announced a dividend of $0.06 per share to be paid during the third quarter of fiscal 2015.</w:t>
      </w:r>
    </w:p>
    <w:p>
      <w:pPr>
        <w:spacing w:after="0" w:line="143"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II, Item 1A of this Quarterly Report on Form 10-Q and “Note 10 – Commitments and Contingencies” in the Notes to Unaudited Condensed Consolidated Financial Statements for a further discussion of the risks associated with this matter and other patent litigation matters). A jury has awarded past damages of $1.17 billion, and the Court calculated damages, including enhancement, to total approximately $1.54 billion, and held that, under its decision, CMU is entitled to post judgment interest and an ongoing royalty. Based on the royalty rate assessed by the District Court, such additional royalties through August 2, 2014 could be as much as $300 million. If we are required to further secure all or some additional portion of ongoing royalties, we may be required to post cash or other Company assets as collateral. On May 7, 2014, the District Court entered final judgment and on May 14, 2014, we filed a notice of appeal and posted a bond to stay execution of judgment pending the appeal. We filed our opening appeal brief on August 4, 2014. We strongly believe that we do not infringe on the methods described in the CMU patents and that our products use our own internally developed patented read channel technology.</w:t>
      </w:r>
    </w:p>
    <w:p>
      <w:pPr>
        <w:spacing w:after="0" w:line="12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860" w:type="dxa"/>
            <w:vAlign w:val="bottom"/>
            <w:gridSpan w:val="5"/>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tcPr>
          <w:p>
            <w:pPr>
              <w:spacing w:after="0"/>
              <w:rPr>
                <w:sz w:val="14"/>
                <w:szCs w:val="14"/>
                <w:color w:val="auto"/>
              </w:rPr>
            </w:pPr>
          </w:p>
        </w:tc>
        <w:tc>
          <w:tcPr>
            <w:tcW w:w="1720" w:type="dxa"/>
            <w:vAlign w:val="bottom"/>
            <w:gridSpan w:val="6"/>
          </w:tcPr>
          <w:p>
            <w:pPr>
              <w:jc w:val="right"/>
              <w:ind w:right="320"/>
              <w:spacing w:after="0"/>
              <w:rPr>
                <w:sz w:val="20"/>
                <w:szCs w:val="20"/>
                <w:color w:val="auto"/>
              </w:rPr>
            </w:pPr>
            <w:r>
              <w:rPr>
                <w:rFonts w:ascii="Arial" w:cs="Arial" w:eastAsia="Arial" w:hAnsi="Arial"/>
                <w:sz w:val="14"/>
                <w:szCs w:val="14"/>
                <w:b w:val="1"/>
                <w:bCs w:val="1"/>
                <w:color w:val="auto"/>
              </w:rPr>
              <w:t>Six Months Ended</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Borders>
              <w:top w:val="single" w:sz="8" w:color="auto"/>
            </w:tcBorders>
            <w:gridSpan w:val="2"/>
          </w:tcPr>
          <w:p>
            <w:pPr>
              <w:jc w:val="right"/>
              <w:ind w:right="160"/>
              <w:spacing w:after="0" w:line="129" w:lineRule="exact"/>
              <w:rPr>
                <w:sz w:val="20"/>
                <w:szCs w:val="20"/>
                <w:color w:val="auto"/>
              </w:rPr>
            </w:pPr>
            <w:r>
              <w:rPr>
                <w:rFonts w:ascii="Arial" w:cs="Arial" w:eastAsia="Arial" w:hAnsi="Arial"/>
                <w:sz w:val="14"/>
                <w:szCs w:val="14"/>
                <w:b w:val="1"/>
                <w:bCs w:val="1"/>
                <w:color w:val="auto"/>
                <w:w w:val="84"/>
              </w:rPr>
              <w:t>August 2,</w:t>
            </w:r>
          </w:p>
        </w:tc>
        <w:tc>
          <w:tcPr>
            <w:tcW w:w="4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4"/>
              </w:rPr>
              <w:t>August 3,</w:t>
            </w:r>
          </w:p>
        </w:tc>
        <w:tc>
          <w:tcPr>
            <w:tcW w:w="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w w:val="84"/>
              </w:rPr>
              <w:t>August 2,</w:t>
            </w:r>
          </w:p>
        </w:tc>
        <w:tc>
          <w:tcPr>
            <w:tcW w:w="12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4"/>
              </w:rPr>
              <w:t>August 3,</w:t>
            </w: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340" w:type="dxa"/>
            <w:vAlign w:val="bottom"/>
            <w:tcBorders>
              <w:bottom w:val="single" w:sz="8" w:color="CCEEFF"/>
            </w:tcBorders>
          </w:tcPr>
          <w:p>
            <w:pPr>
              <w:spacing w:after="0"/>
              <w:rPr>
                <w:sz w:val="14"/>
                <w:szCs w:val="14"/>
                <w:color w:val="auto"/>
              </w:rPr>
            </w:pPr>
          </w:p>
        </w:tc>
        <w:tc>
          <w:tcPr>
            <w:tcW w:w="9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2013</w:t>
            </w:r>
          </w:p>
        </w:tc>
        <w:tc>
          <w:tcPr>
            <w:tcW w:w="14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61"/>
              <w:spacing w:after="0"/>
              <w:rPr>
                <w:sz w:val="20"/>
                <w:szCs w:val="20"/>
                <w:color w:val="auto"/>
              </w:rPr>
            </w:pPr>
            <w:r>
              <w:rPr>
                <w:rFonts w:ascii="Arial" w:cs="Arial" w:eastAsia="Arial" w:hAnsi="Arial"/>
                <w:sz w:val="14"/>
                <w:szCs w:val="14"/>
                <w:b w:val="1"/>
                <w:bCs w:val="1"/>
                <w:color w:val="auto"/>
              </w:rPr>
              <w:t>2014</w:t>
            </w: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3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9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c>
          <w:tcPr>
            <w:tcW w:w="4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46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42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9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9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w:t>
            </w:r>
          </w:p>
        </w:tc>
        <w:tc>
          <w:tcPr>
            <w:tcW w:w="1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47.8</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50.6</w:t>
            </w:r>
          </w:p>
        </w:tc>
        <w:tc>
          <w:tcPr>
            <w:tcW w:w="12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46.8</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9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30.7</w:t>
            </w:r>
          </w:p>
        </w:tc>
        <w:tc>
          <w:tcPr>
            <w:tcW w:w="160" w:type="dxa"/>
            <w:vAlign w:val="bottom"/>
          </w:tcPr>
          <w:p>
            <w:pPr>
              <w:spacing w:after="0"/>
              <w:rPr>
                <w:sz w:val="18"/>
                <w:szCs w:val="18"/>
                <w:color w:val="auto"/>
              </w:rPr>
            </w:pPr>
          </w:p>
        </w:tc>
        <w:tc>
          <w:tcPr>
            <w:tcW w:w="1140" w:type="dxa"/>
            <w:vAlign w:val="bottom"/>
            <w:gridSpan w:val="3"/>
          </w:tcPr>
          <w:p>
            <w:pPr>
              <w:jc w:val="right"/>
              <w:ind w:right="140"/>
              <w:spacing w:after="0"/>
              <w:rPr>
                <w:sz w:val="20"/>
                <w:szCs w:val="20"/>
                <w:color w:val="auto"/>
              </w:rPr>
            </w:pPr>
            <w:r>
              <w:rPr>
                <w:rFonts w:ascii="Arial" w:cs="Arial" w:eastAsia="Arial" w:hAnsi="Arial"/>
                <w:sz w:val="18"/>
                <w:szCs w:val="18"/>
                <w:color w:val="auto"/>
              </w:rPr>
              <w:t>36.3</w:t>
            </w:r>
          </w:p>
        </w:tc>
        <w:tc>
          <w:tcPr>
            <w:tcW w:w="1080" w:type="dxa"/>
            <w:vAlign w:val="bottom"/>
            <w:gridSpan w:val="3"/>
          </w:tcPr>
          <w:p>
            <w:pPr>
              <w:jc w:val="right"/>
              <w:ind w:right="60"/>
              <w:spacing w:after="0"/>
              <w:rPr>
                <w:sz w:val="20"/>
                <w:szCs w:val="20"/>
                <w:color w:val="auto"/>
              </w:rPr>
            </w:pPr>
            <w:r>
              <w:rPr>
                <w:rFonts w:ascii="Arial" w:cs="Arial" w:eastAsia="Arial" w:hAnsi="Arial"/>
                <w:sz w:val="18"/>
                <w:szCs w:val="18"/>
                <w:color w:val="auto"/>
              </w:rPr>
              <w:t>30.7</w:t>
            </w:r>
          </w:p>
        </w:tc>
        <w:tc>
          <w:tcPr>
            <w:tcW w:w="120" w:type="dxa"/>
            <w:vAlign w:val="bottom"/>
          </w:tcPr>
          <w:p>
            <w:pPr>
              <w:spacing w:after="0"/>
              <w:rPr>
                <w:sz w:val="18"/>
                <w:szCs w:val="18"/>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37.1</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9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4.8</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3.8</w:t>
            </w:r>
          </w:p>
        </w:tc>
        <w:tc>
          <w:tcPr>
            <w:tcW w:w="12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9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3.3</w:t>
            </w:r>
          </w:p>
        </w:tc>
        <w:tc>
          <w:tcPr>
            <w:tcW w:w="160" w:type="dxa"/>
            <w:vAlign w:val="bottom"/>
          </w:tcPr>
          <w:p>
            <w:pPr>
              <w:spacing w:after="0"/>
              <w:rPr>
                <w:sz w:val="18"/>
                <w:szCs w:val="18"/>
                <w:color w:val="auto"/>
              </w:rPr>
            </w:pPr>
          </w:p>
        </w:tc>
        <w:tc>
          <w:tcPr>
            <w:tcW w:w="1140" w:type="dxa"/>
            <w:vAlign w:val="bottom"/>
            <w:gridSpan w:val="3"/>
          </w:tcPr>
          <w:p>
            <w:pPr>
              <w:jc w:val="right"/>
              <w:ind w:right="140"/>
              <w:spacing w:after="0"/>
              <w:rPr>
                <w:sz w:val="20"/>
                <w:szCs w:val="20"/>
                <w:color w:val="auto"/>
              </w:rPr>
            </w:pPr>
            <w:r>
              <w:rPr>
                <w:rFonts w:ascii="Arial" w:cs="Arial" w:eastAsia="Arial" w:hAnsi="Arial"/>
                <w:sz w:val="18"/>
                <w:szCs w:val="18"/>
                <w:color w:val="auto"/>
              </w:rPr>
              <w:t>3.4</w:t>
            </w:r>
          </w:p>
        </w:tc>
        <w:tc>
          <w:tcPr>
            <w:tcW w:w="1080" w:type="dxa"/>
            <w:vAlign w:val="bottom"/>
            <w:gridSpan w:val="3"/>
          </w:tcPr>
          <w:p>
            <w:pPr>
              <w:jc w:val="right"/>
              <w:ind w:right="60"/>
              <w:spacing w:after="0"/>
              <w:rPr>
                <w:sz w:val="20"/>
                <w:szCs w:val="20"/>
                <w:color w:val="auto"/>
              </w:rPr>
            </w:pPr>
            <w:r>
              <w:rPr>
                <w:rFonts w:ascii="Arial" w:cs="Arial" w:eastAsia="Arial" w:hAnsi="Arial"/>
                <w:sz w:val="18"/>
                <w:szCs w:val="18"/>
                <w:color w:val="auto"/>
              </w:rPr>
              <w:t>3.3</w:t>
            </w:r>
          </w:p>
        </w:tc>
        <w:tc>
          <w:tcPr>
            <w:tcW w:w="120" w:type="dxa"/>
            <w:vAlign w:val="bottom"/>
          </w:tcPr>
          <w:p>
            <w:pPr>
              <w:spacing w:after="0"/>
              <w:rPr>
                <w:sz w:val="18"/>
                <w:szCs w:val="18"/>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3.4</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92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5340" w:type="dxa"/>
            <w:vAlign w:val="bottom"/>
          </w:tcPr>
          <w:p>
            <w:pPr>
              <w:ind w:left="880"/>
              <w:spacing w:after="0"/>
              <w:rPr>
                <w:sz w:val="20"/>
                <w:szCs w:val="20"/>
                <w:color w:val="auto"/>
              </w:rPr>
            </w:pPr>
            <w:r>
              <w:rPr>
                <w:rFonts w:ascii="Arial" w:cs="Arial" w:eastAsia="Arial" w:hAnsi="Arial"/>
                <w:sz w:val="18"/>
                <w:szCs w:val="18"/>
                <w:color w:val="auto"/>
              </w:rPr>
              <w:t>Total operating costs and expenses</w:t>
            </w:r>
          </w:p>
        </w:tc>
        <w:tc>
          <w:tcPr>
            <w:tcW w:w="920" w:type="dxa"/>
            <w:vAlign w:val="bottom"/>
          </w:tcPr>
          <w:p>
            <w:pPr>
              <w:spacing w:after="0"/>
              <w:rPr>
                <w:sz w:val="20"/>
                <w:szCs w:val="20"/>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87.5</w:t>
            </w:r>
          </w:p>
        </w:tc>
        <w:tc>
          <w:tcPr>
            <w:tcW w:w="1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93.6</w:t>
            </w:r>
          </w:p>
        </w:tc>
        <w:tc>
          <w:tcPr>
            <w:tcW w:w="1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88.9</w:t>
            </w: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93.8</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9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1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6.4</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11.1</w:t>
            </w:r>
          </w:p>
        </w:tc>
        <w:tc>
          <w:tcPr>
            <w:tcW w:w="12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92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9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16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7.5</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11.7</w:t>
            </w:r>
          </w:p>
        </w:tc>
        <w:tc>
          <w:tcPr>
            <w:tcW w:w="12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Benefit for income taxes</w:t>
            </w:r>
          </w:p>
        </w:tc>
        <w:tc>
          <w:tcPr>
            <w:tcW w:w="9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(0.6)</w:t>
            </w:r>
          </w:p>
        </w:tc>
        <w:tc>
          <w:tcPr>
            <w:tcW w:w="1140" w:type="dxa"/>
            <w:vAlign w:val="bottom"/>
            <w:gridSpan w:val="3"/>
          </w:tcPr>
          <w:p>
            <w:pPr>
              <w:jc w:val="right"/>
              <w:ind w:right="80"/>
              <w:spacing w:after="0"/>
              <w:rPr>
                <w:sz w:val="20"/>
                <w:szCs w:val="20"/>
                <w:color w:val="auto"/>
              </w:rPr>
            </w:pPr>
            <w:r>
              <w:rPr>
                <w:rFonts w:ascii="Arial" w:cs="Arial" w:eastAsia="Arial" w:hAnsi="Arial"/>
                <w:sz w:val="18"/>
                <w:szCs w:val="18"/>
                <w:color w:val="auto"/>
              </w:rPr>
              <w:t>(0.2)</w:t>
            </w: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(0.7)</w:t>
            </w:r>
          </w:p>
        </w:tc>
        <w:tc>
          <w:tcPr>
            <w:tcW w:w="120" w:type="dxa"/>
            <w:vAlign w:val="bottom"/>
          </w:tcPr>
          <w:p>
            <w:pPr>
              <w:spacing w:after="0"/>
              <w:rPr>
                <w:sz w:val="18"/>
                <w:szCs w:val="18"/>
                <w:color w:val="auto"/>
              </w:rPr>
            </w:pPr>
          </w:p>
        </w:tc>
        <w:tc>
          <w:tcPr>
            <w:tcW w:w="1180" w:type="dxa"/>
            <w:vAlign w:val="bottom"/>
            <w:gridSpan w:val="4"/>
          </w:tcPr>
          <w:p>
            <w:pPr>
              <w:jc w:val="right"/>
              <w:ind w:right="66"/>
              <w:spacing w:after="0"/>
              <w:rPr>
                <w:sz w:val="20"/>
                <w:szCs w:val="20"/>
                <w:color w:val="auto"/>
              </w:rPr>
            </w:pPr>
            <w:r>
              <w:rPr>
                <w:rFonts w:ascii="Arial" w:cs="Arial" w:eastAsia="Arial" w:hAnsi="Arial"/>
                <w:sz w:val="18"/>
                <w:szCs w:val="18"/>
                <w:color w:val="auto"/>
              </w:rPr>
              <w:t>(0.6)</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4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2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9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14.4%</w:t>
            </w:r>
          </w:p>
        </w:tc>
        <w:tc>
          <w:tcPr>
            <w:tcW w:w="1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1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Three and six months ended August 2, 2014 and August 3, 2013</w:t>
            </w:r>
          </w:p>
        </w:tc>
        <w:tc>
          <w:tcPr>
            <w:tcW w:w="9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800" w:type="dxa"/>
            <w:vAlign w:val="bottom"/>
            <w:gridSpan w:val="2"/>
            <w:vMerge w:val="continue"/>
          </w:tcPr>
          <w:p>
            <w:pPr>
              <w:spacing w:after="0"/>
              <w:rPr>
                <w:sz w:val="24"/>
                <w:szCs w:val="24"/>
                <w:color w:val="auto"/>
              </w:rPr>
            </w:pPr>
          </w:p>
        </w:tc>
        <w:tc>
          <w:tcPr>
            <w:tcW w:w="9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80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9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340" w:type="dxa"/>
            <w:vAlign w:val="bottom"/>
          </w:tcPr>
          <w:p>
            <w:pPr>
              <w:spacing w:after="0"/>
              <w:rPr>
                <w:sz w:val="24"/>
                <w:szCs w:val="24"/>
                <w:color w:val="auto"/>
              </w:rPr>
            </w:pPr>
          </w:p>
        </w:tc>
        <w:tc>
          <w:tcPr>
            <w:tcW w:w="16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Three Months Ended</w:t>
            </w:r>
          </w:p>
        </w:tc>
        <w:tc>
          <w:tcPr>
            <w:tcW w:w="100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24"/>
                <w:szCs w:val="24"/>
                <w:color w:val="auto"/>
              </w:rPr>
            </w:pPr>
          </w:p>
        </w:tc>
        <w:tc>
          <w:tcPr>
            <w:tcW w:w="2180" w:type="dxa"/>
            <w:vAlign w:val="bottom"/>
            <w:gridSpan w:val="7"/>
          </w:tcPr>
          <w:p>
            <w:pPr>
              <w:jc w:val="right"/>
              <w:ind w:right="700"/>
              <w:spacing w:after="0"/>
              <w:rPr>
                <w:sz w:val="20"/>
                <w:szCs w:val="20"/>
                <w:color w:val="auto"/>
              </w:rPr>
            </w:pPr>
            <w:r>
              <w:rPr>
                <w:rFonts w:ascii="Arial" w:cs="Arial" w:eastAsia="Arial" w:hAnsi="Arial"/>
                <w:sz w:val="14"/>
                <w:szCs w:val="14"/>
                <w:b w:val="1"/>
                <w:bCs w:val="1"/>
                <w:color w:val="auto"/>
              </w:rPr>
              <w:t>Six Months Ended</w:t>
            </w:r>
          </w:p>
        </w:tc>
        <w:tc>
          <w:tcPr>
            <w:tcW w:w="46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92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August 2,</w:t>
            </w:r>
          </w:p>
        </w:tc>
        <w:tc>
          <w:tcPr>
            <w:tcW w:w="7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3,</w:t>
            </w:r>
          </w:p>
        </w:tc>
        <w:tc>
          <w:tcPr>
            <w:tcW w:w="100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08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rPr>
              <w:t>August 2,</w:t>
            </w: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ind w:right="39"/>
              <w:spacing w:after="0" w:line="129" w:lineRule="exact"/>
              <w:rPr>
                <w:sz w:val="20"/>
                <w:szCs w:val="20"/>
                <w:color w:val="auto"/>
              </w:rPr>
            </w:pPr>
            <w:r>
              <w:rPr>
                <w:rFonts w:ascii="Arial" w:cs="Arial" w:eastAsia="Arial" w:hAnsi="Arial"/>
                <w:sz w:val="14"/>
                <w:szCs w:val="14"/>
                <w:b w:val="1"/>
                <w:bCs w:val="1"/>
                <w:color w:val="auto"/>
                <w:w w:val="87"/>
              </w:rPr>
              <w:t>August 3,</w:t>
            </w:r>
          </w:p>
        </w:tc>
        <w:tc>
          <w:tcPr>
            <w:tcW w:w="280" w:type="dxa"/>
            <w:vAlign w:val="bottom"/>
          </w:tcPr>
          <w:p>
            <w:pPr>
              <w:spacing w:after="0"/>
              <w:rPr>
                <w:sz w:val="11"/>
                <w:szCs w:val="11"/>
                <w:color w:val="auto"/>
              </w:rPr>
            </w:pPr>
          </w:p>
        </w:tc>
        <w:tc>
          <w:tcPr>
            <w:tcW w:w="4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920" w:type="dxa"/>
            <w:vAlign w:val="bottom"/>
          </w:tcPr>
          <w:p>
            <w:pPr>
              <w:jc w:val="right"/>
              <w:ind w:right="367"/>
              <w:spacing w:after="0"/>
              <w:rPr>
                <w:sz w:val="20"/>
                <w:szCs w:val="20"/>
                <w:color w:val="auto"/>
              </w:rPr>
            </w:pPr>
            <w:r>
              <w:rPr>
                <w:rFonts w:ascii="Arial" w:cs="Arial" w:eastAsia="Arial" w:hAnsi="Arial"/>
                <w:sz w:val="14"/>
                <w:szCs w:val="14"/>
                <w:b w:val="1"/>
                <w:bCs w:val="1"/>
                <w:color w:val="auto"/>
              </w:rPr>
              <w:t>2014</w:t>
            </w:r>
          </w:p>
        </w:tc>
        <w:tc>
          <w:tcPr>
            <w:tcW w:w="560" w:type="dxa"/>
            <w:vAlign w:val="bottom"/>
          </w:tcPr>
          <w:p>
            <w:pPr>
              <w:jc w:val="center"/>
              <w:ind w:left="138"/>
              <w:spacing w:after="0"/>
              <w:rPr>
                <w:sz w:val="20"/>
                <w:szCs w:val="20"/>
                <w:color w:val="auto"/>
              </w:rPr>
            </w:pPr>
            <w:r>
              <w:rPr>
                <w:rFonts w:ascii="Arial" w:cs="Arial" w:eastAsia="Arial" w:hAnsi="Arial"/>
                <w:sz w:val="14"/>
                <w:szCs w:val="14"/>
                <w:b w:val="1"/>
                <w:bCs w:val="1"/>
                <w:color w:val="auto"/>
                <w:w w:val="83"/>
              </w:rPr>
              <w:t>2013</w:t>
            </w:r>
          </w:p>
        </w:tc>
        <w:tc>
          <w:tcPr>
            <w:tcW w:w="160" w:type="dxa"/>
            <w:vAlign w:val="bottom"/>
          </w:tcPr>
          <w:p>
            <w:pPr>
              <w:spacing w:after="0"/>
              <w:rPr>
                <w:sz w:val="14"/>
                <w:szCs w:val="14"/>
                <w:color w:val="auto"/>
              </w:rPr>
            </w:pPr>
          </w:p>
        </w:tc>
        <w:tc>
          <w:tcPr>
            <w:tcW w:w="11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Change</w:t>
            </w:r>
          </w:p>
        </w:tc>
        <w:tc>
          <w:tcPr>
            <w:tcW w:w="1020" w:type="dxa"/>
            <w:vAlign w:val="bottom"/>
            <w:gridSpan w:val="2"/>
          </w:tcPr>
          <w:p>
            <w:pPr>
              <w:jc w:val="right"/>
              <w:ind w:right="401"/>
              <w:spacing w:after="0"/>
              <w:rPr>
                <w:sz w:val="20"/>
                <w:szCs w:val="20"/>
                <w:color w:val="auto"/>
              </w:rPr>
            </w:pPr>
            <w:r>
              <w:rPr>
                <w:rFonts w:ascii="Arial" w:cs="Arial" w:eastAsia="Arial" w:hAnsi="Arial"/>
                <w:sz w:val="14"/>
                <w:szCs w:val="14"/>
                <w:b w:val="1"/>
                <w:bCs w:val="1"/>
                <w:color w:val="auto"/>
              </w:rPr>
              <w:t>2014</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tcPr>
          <w:p>
            <w:pPr>
              <w:jc w:val="right"/>
              <w:ind w:right="179"/>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660" w:type="dxa"/>
            <w:vAlign w:val="bottom"/>
            <w:gridSpan w:val="3"/>
          </w:tcPr>
          <w:p>
            <w:pPr>
              <w:ind w:left="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6"/>
          </w:tcPr>
          <w:p>
            <w:pPr>
              <w:jc w:val="right"/>
              <w:ind w:right="20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12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920" w:type="dxa"/>
            <w:vAlign w:val="bottom"/>
            <w:shd w:val="clear" w:color="auto" w:fill="CCEEFF"/>
          </w:tcPr>
          <w:p>
            <w:pPr>
              <w:jc w:val="right"/>
              <w:ind w:right="167"/>
              <w:spacing w:after="0"/>
              <w:rPr>
                <w:sz w:val="20"/>
                <w:szCs w:val="20"/>
                <w:color w:val="auto"/>
              </w:rPr>
            </w:pPr>
            <w:r>
              <w:rPr>
                <w:rFonts w:ascii="Arial" w:cs="Arial" w:eastAsia="Arial" w:hAnsi="Arial"/>
                <w:sz w:val="18"/>
                <w:szCs w:val="18"/>
                <w:color w:val="auto"/>
                <w:w w:val="87"/>
              </w:rPr>
              <w:t>$961,545</w:t>
            </w:r>
          </w:p>
        </w:tc>
        <w:tc>
          <w:tcPr>
            <w:tcW w:w="72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87"/>
              </w:rPr>
              <w:t>$807,056</w:t>
            </w:r>
          </w:p>
        </w:tc>
        <w:tc>
          <w:tcPr>
            <w:tcW w:w="10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19.1%</w:t>
            </w: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w w:val="86"/>
              </w:rPr>
              <w:t>$1,919,375</w:t>
            </w:r>
          </w:p>
        </w:tc>
        <w:tc>
          <w:tcPr>
            <w:tcW w:w="6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w w:val="88"/>
              </w:rPr>
              <w:t>$1,541,425</w:t>
            </w:r>
          </w:p>
        </w:tc>
        <w:tc>
          <w:tcPr>
            <w:tcW w:w="66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w w:val="93"/>
              </w:rPr>
              <w:t>24.5%</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60" w:firstLine="456"/>
        <w:spacing w:after="0" w:line="306" w:lineRule="auto"/>
        <w:rPr>
          <w:sz w:val="20"/>
          <w:szCs w:val="20"/>
          <w:color w:val="auto"/>
        </w:rPr>
      </w:pPr>
      <w:r>
        <w:rPr>
          <w:rFonts w:ascii="Arial" w:cs="Arial" w:eastAsia="Arial" w:hAnsi="Arial"/>
          <w:sz w:val="16"/>
          <w:szCs w:val="16"/>
          <w:color w:val="auto"/>
        </w:rPr>
        <w:t>Net revenue for the three and six months ended August 2, 2014 increased by $154.5 million and $378.0 million compared to the three and six months ended August 3, 2013. The increase was led by sales of our mobile and wireless products where we saw strong growth from multiple customers who have launched their 4G LTE smart phones based on our solutions. Sales of our 3G products in the three and six</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8" w:lineRule="auto"/>
        <w:rPr>
          <w:sz w:val="20"/>
          <w:szCs w:val="20"/>
          <w:color w:val="auto"/>
        </w:rPr>
      </w:pPr>
      <w:r>
        <w:rPr>
          <w:rFonts w:ascii="Arial" w:cs="Arial" w:eastAsia="Arial" w:hAnsi="Arial"/>
          <w:sz w:val="16"/>
          <w:szCs w:val="16"/>
          <w:color w:val="auto"/>
        </w:rPr>
        <w:t>months ended August 2, 2014 were also higher compared to the three and six months ended August 3, 2013. In our storage market, we saw higher HDD revenue, which was mostly driven by continued growth for our 500 gigabyte per platter products and increased demand for our products used in enterprise drives at a top North America based HDD customer. In addition, revenue for SSD controllers increased significantly compared to the prior year. Our networking revenue increased during the quarter led by strong demand for enterprise switches and routers.</w:t>
      </w:r>
    </w:p>
    <w:p>
      <w:pPr>
        <w:spacing w:after="0" w:line="11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currently expect overall net revenue for the three months ending November 1, 2014 to be in the range of $960 million to $1.0 billion. We expect revenue from our mobile and wireless end markets to increase modestly while sales from our storage and networking customers is anticipated to be flat to slightly up.</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We had two end customers who each represented greater than 10% of our total net revenue for the three and six months ended August 2, 2014 and August 3, 2013. Net revenue from one of these two customers was 20% and 19% of total net revenue for the three and six months ended August 2, 2014, respectively, compared to 25% and 26% for the three and six months ended August 3, 2013, respectively. Net revenue from the other customer was 12% and 11% of total net revenue for the three and six months ended August 2, 2014, respectively, compared to 12% for each of the three and six months ended August 3, 2013. We also had net revenue from one distributor of 17% and 12% of total net revenue for the three and six months ended August 2, 2014. No distributors accounted for more than 10% of our net revenue for the three and six months ended August 3, 2013. We expect to continue to experience similar customer concentration in future periods.</w:t>
      </w:r>
    </w:p>
    <w:p>
      <w:pPr>
        <w:spacing w:after="0" w:line="11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Most of our sales are expected to continue to be made to customers located outside of the United States, primarily in Asia. Sales to customers located in Asia represented 97% and 96% of our net revenue for the three and six months ended August 2, 2014 compared to 95% and 94% of our net revenue for the three and six months ended August 3, 2013. Because many manufacturers and manufacturing subcontractors of our customers are located in Asia, we expect that most of our net revenue will continue to be represented by sales to our customers in that region.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02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96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93"/>
              </w:rPr>
              <w:t>August 2,</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0"/>
              </w:rPr>
              <w:t>August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Pr>
          <w:p>
            <w:pPr>
              <w:spacing w:after="0"/>
              <w:rPr>
                <w:sz w:val="14"/>
                <w:szCs w:val="14"/>
                <w:color w:val="auto"/>
              </w:rPr>
            </w:pPr>
          </w:p>
        </w:tc>
        <w:tc>
          <w:tcPr>
            <w:tcW w:w="960" w:type="dxa"/>
            <w:vAlign w:val="bottom"/>
          </w:tcPr>
          <w:p>
            <w:pPr>
              <w:jc w:val="right"/>
              <w:ind w:right="404"/>
              <w:spacing w:after="0"/>
              <w:rPr>
                <w:sz w:val="20"/>
                <w:szCs w:val="20"/>
                <w:color w:val="auto"/>
              </w:rPr>
            </w:pPr>
            <w:r>
              <w:rPr>
                <w:rFonts w:ascii="Arial" w:cs="Arial" w:eastAsia="Arial" w:hAnsi="Arial"/>
                <w:sz w:val="14"/>
                <w:szCs w:val="14"/>
                <w:b w:val="1"/>
                <w:bCs w:val="1"/>
                <w:color w:val="auto"/>
              </w:rPr>
              <w:t>2014</w:t>
            </w:r>
          </w:p>
        </w:tc>
        <w:tc>
          <w:tcPr>
            <w:tcW w:w="7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84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96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7"/>
              </w:rPr>
              <w:t>$477,741</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$386,059</w:t>
            </w:r>
          </w:p>
        </w:tc>
        <w:tc>
          <w:tcPr>
            <w:tcW w:w="840" w:type="dxa"/>
            <w:vAlign w:val="bottom"/>
            <w:shd w:val="clear" w:color="auto" w:fill="CCEEFF"/>
          </w:tcPr>
          <w:p>
            <w:pPr>
              <w:ind w:left="260"/>
              <w:spacing w:after="0"/>
              <w:rPr>
                <w:sz w:val="20"/>
                <w:szCs w:val="20"/>
                <w:color w:val="auto"/>
              </w:rPr>
            </w:pPr>
            <w:r>
              <w:rPr>
                <w:rFonts w:ascii="Arial" w:cs="Arial" w:eastAsia="Arial" w:hAnsi="Arial"/>
                <w:sz w:val="18"/>
                <w:szCs w:val="18"/>
                <w:color w:val="auto"/>
              </w:rPr>
              <w:t>23.7%</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$971,601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$721,497</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3"/>
              </w:rPr>
              <w:t>34.7%</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ind w:right="64"/>
              <w:spacing w:after="0"/>
              <w:rPr>
                <w:sz w:val="20"/>
                <w:szCs w:val="20"/>
                <w:color w:val="auto"/>
              </w:rPr>
            </w:pPr>
            <w:r>
              <w:rPr>
                <w:rFonts w:ascii="Arial" w:cs="Arial" w:eastAsia="Arial" w:hAnsi="Arial"/>
                <w:sz w:val="18"/>
                <w:szCs w:val="18"/>
                <w:color w:val="auto"/>
              </w:rPr>
              <w:t>49.7%</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47.8%</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50.6%</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46.8%</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Cost of goods sold as a percentage of net revenue was higher for the three and six months ended August 2, 2014 compared to the three and six months ended August 3, 2013 due to a shift in the mix of our revenue towards our mobile and wireless products which have a higher average cost of goods sold as a percentage of revenue, in addition to increased royalty expense. We also had higher inventory write downs in the six months ended August 2, 2014.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November 1, 2014 to be slightly higher compared to the three months ended August 2,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336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August 2,</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2,</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2013</w:t>
            </w:r>
          </w:p>
        </w:tc>
        <w:tc>
          <w:tcPr>
            <w:tcW w:w="4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54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right"/>
              <w:ind w:right="298"/>
              <w:spacing w:after="0" w:line="142" w:lineRule="exact"/>
              <w:rPr>
                <w:sz w:val="20"/>
                <w:szCs w:val="20"/>
                <w:color w:val="auto"/>
              </w:rPr>
            </w:pPr>
            <w:r>
              <w:rPr>
                <w:rFonts w:ascii="Arial" w:cs="Arial" w:eastAsia="Arial" w:hAnsi="Arial"/>
                <w:sz w:val="14"/>
                <w:szCs w:val="14"/>
                <w:b w:val="1"/>
                <w:bCs w:val="1"/>
                <w:color w:val="auto"/>
              </w:rPr>
              <w:t>(in thousands)</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460" w:type="dxa"/>
            <w:vAlign w:val="bottom"/>
            <w:gridSpan w:val="2"/>
            <w:shd w:val="clear" w:color="auto" w:fill="CCEEFF"/>
          </w:tcPr>
          <w:p>
            <w:pPr>
              <w:ind w:left="3360"/>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1,733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1,868</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4,032</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24,276</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28,982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44,644</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52,261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2,617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3,648</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6,394</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6,593</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10,768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11,568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3540" w:type="dxa"/>
            <w:vAlign w:val="bottom"/>
          </w:tcPr>
          <w:p>
            <w:pPr>
              <w:spacing w:after="0"/>
              <w:rPr>
                <w:sz w:val="2"/>
                <w:szCs w:val="2"/>
                <w:color w:val="auto"/>
              </w:rPr>
            </w:pPr>
          </w:p>
        </w:tc>
        <w:tc>
          <w:tcPr>
            <w:tcW w:w="3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3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35,020</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41,091</w:t>
            </w:r>
          </w:p>
        </w:tc>
        <w:tc>
          <w:tcPr>
            <w:tcW w:w="480" w:type="dxa"/>
            <w:vAlign w:val="bottom"/>
            <w:gridSpan w:val="2"/>
            <w:shd w:val="clear" w:color="auto" w:fill="CCEEFF"/>
          </w:tcPr>
          <w:p>
            <w:pPr>
              <w:ind w:left="40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64,989</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74,604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3360" w:type="dxa"/>
            <w:vAlign w:val="bottom"/>
            <w:vMerge w:val="restart"/>
          </w:tcPr>
          <w:p>
            <w:pPr>
              <w:jc w:val="right"/>
              <w:ind w:right="1472"/>
              <w:spacing w:after="0"/>
              <w:rPr>
                <w:sz w:val="20"/>
                <w:szCs w:val="20"/>
                <w:color w:val="auto"/>
              </w:rPr>
            </w:pPr>
            <w:r>
              <w:rPr>
                <w:rFonts w:ascii="Arial" w:cs="Arial" w:eastAsia="Arial" w:hAnsi="Arial"/>
                <w:sz w:val="18"/>
                <w:szCs w:val="18"/>
                <w:color w:val="auto"/>
              </w:rPr>
              <w:t>29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33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Share-based compensation expense decreased by $6.1 million and $9.6 million for the three and six months ended August 2, 2014, respectively, compared to the three and six months ended August 3, 2013. The decrease was primarily due to lower expense related to the employee stock purchase plan. In addition, the reversal of previously recognized expense associated with unvested equity awards that were cancelled as a result of the resignation in February 2014 of our former Chief Technology Officer reduced the fiscal 2015 share-based compensation expense. These decreases were partially offset by new grants of performance-based awards in June 2014 to members of senior management and in April 2014 to our executive officers.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740" w:type="dxa"/>
            <w:vAlign w:val="bottom"/>
            <w:gridSpan w:val="5"/>
          </w:tcPr>
          <w:p>
            <w:pPr>
              <w:ind w:left="28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24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3,</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1"/>
              </w:rPr>
              <w:t>August 3,</w:t>
            </w:r>
          </w:p>
        </w:tc>
        <w:tc>
          <w:tcPr>
            <w:tcW w:w="100" w:type="dxa"/>
            <w:vAlign w:val="bottom"/>
          </w:tcPr>
          <w:p>
            <w:pPr>
              <w:spacing w:after="0"/>
              <w:rPr>
                <w:sz w:val="11"/>
                <w:szCs w:val="11"/>
                <w:color w:val="auto"/>
              </w:rPr>
            </w:pPr>
          </w:p>
        </w:tc>
      </w:tr>
      <w:tr>
        <w:trPr>
          <w:trHeight w:val="161"/>
        </w:trPr>
        <w:tc>
          <w:tcPr>
            <w:tcW w:w="46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83"/>
              </w:rPr>
              <w:t>2014</w:t>
            </w:r>
          </w:p>
        </w:tc>
        <w:tc>
          <w:tcPr>
            <w:tcW w:w="3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2013</w:t>
            </w:r>
          </w:p>
        </w:tc>
        <w:tc>
          <w:tcPr>
            <w:tcW w:w="2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gridSpan w:val="2"/>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46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80" w:type="dxa"/>
            <w:vAlign w:val="bottom"/>
            <w:gridSpan w:val="5"/>
          </w:tcPr>
          <w:p>
            <w:pPr>
              <w:ind w:left="300"/>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060" w:type="dxa"/>
            <w:vAlign w:val="bottom"/>
            <w:gridSpan w:val="2"/>
            <w:shd w:val="clear" w:color="auto" w:fill="CCEEFF"/>
          </w:tcPr>
          <w:p>
            <w:pPr>
              <w:ind w:left="194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412</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$ 5,094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Selling and marketing</w:t>
            </w:r>
          </w:p>
        </w:tc>
        <w:tc>
          <w:tcPr>
            <w:tcW w:w="1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(48)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10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40" w:type="dxa"/>
            <w:vAlign w:val="bottom"/>
            <w:gridSpan w:val="2"/>
          </w:tcPr>
          <w:p>
            <w:pPr>
              <w:ind w:left="180"/>
              <w:spacing w:after="0"/>
              <w:rPr>
                <w:sz w:val="20"/>
                <w:szCs w:val="20"/>
                <w:color w:val="auto"/>
              </w:rPr>
            </w:pPr>
            <w:r>
              <w:rPr>
                <w:rFonts w:ascii="Arial" w:cs="Arial" w:eastAsia="Arial" w:hAnsi="Arial"/>
                <w:sz w:val="18"/>
                <w:szCs w:val="18"/>
                <w:color w:val="auto"/>
              </w:rPr>
              <w:t>—</w:t>
            </w:r>
          </w:p>
        </w:tc>
      </w:t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178</w:t>
            </w: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729</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406</w:t>
            </w:r>
          </w:p>
        </w:tc>
        <w:tc>
          <w:tcPr>
            <w:tcW w:w="100" w:type="dxa"/>
            <w:vAlign w:val="bottom"/>
            <w:shd w:val="clear" w:color="auto" w:fill="CCEEFF"/>
          </w:tcPr>
          <w:p>
            <w:pPr>
              <w:spacing w:after="0"/>
              <w:rPr>
                <w:sz w:val="18"/>
                <w:szCs w:val="18"/>
                <w:color w:val="auto"/>
              </w:rPr>
            </w:pPr>
          </w:p>
        </w:tc>
      </w:tr>
      <w:tr>
        <w:trPr>
          <w:trHeight w:val="223"/>
        </w:trPr>
        <w:tc>
          <w:tcPr>
            <w:tcW w:w="462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19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ind w:right="18"/>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ind w:lef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4620" w:type="dxa"/>
            <w:vAlign w:val="bottom"/>
            <w:shd w:val="clear" w:color="auto" w:fill="CCEEFF"/>
          </w:tcPr>
          <w:p>
            <w:pPr>
              <w:spacing w:after="0"/>
              <w:rPr>
                <w:sz w:val="18"/>
                <w:szCs w:val="18"/>
                <w:color w:val="auto"/>
              </w:rPr>
            </w:pPr>
          </w:p>
        </w:tc>
        <w:tc>
          <w:tcPr>
            <w:tcW w:w="2060" w:type="dxa"/>
            <w:vAlign w:val="bottom"/>
            <w:gridSpan w:val="2"/>
            <w:shd w:val="clear" w:color="auto" w:fill="CCEEFF"/>
          </w:tcPr>
          <w:p>
            <w:pPr>
              <w:ind w:left="194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735</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178</w:t>
            </w: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$ 9,209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79"/>
              </w:rPr>
              <w:t>406</w:t>
            </w:r>
          </w:p>
        </w:tc>
        <w:tc>
          <w:tcPr>
            <w:tcW w:w="100" w:type="dxa"/>
            <w:vAlign w:val="bottom"/>
            <w:shd w:val="clear" w:color="auto" w:fill="CCEEFF"/>
          </w:tcPr>
          <w:p>
            <w:pPr>
              <w:spacing w:after="0"/>
              <w:rPr>
                <w:sz w:val="18"/>
                <w:szCs w:val="18"/>
                <w:color w:val="auto"/>
              </w:rPr>
            </w:pPr>
          </w:p>
        </w:tc>
      </w:tr>
      <w:tr>
        <w:trPr>
          <w:trHeight w:val="20"/>
        </w:trPr>
        <w:tc>
          <w:tcPr>
            <w:tcW w:w="46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recorded a total $0.7 million and $9.2 million restructuring charge in the three and six months ended August 2, 2014, respectively. The charge included severance costs and other exit-related costs primarily associated with previous facility closures (see “Note 8 – Restructuring” in the Notes to Unaudited Condensed Consolidated Financial Statements). In addition, the charge included $3.4 million to write off an acquired intangible asset in the six months ended August 2, 2014.</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2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94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93"/>
              </w:rPr>
              <w:t>August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0"/>
              </w:rPr>
              <w:t>August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84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820" w:type="dxa"/>
            <w:vAlign w:val="bottom"/>
          </w:tcPr>
          <w:p>
            <w:pPr>
              <w:jc w:val="center"/>
              <w:ind w:right="6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4"/>
          </w:tcPr>
          <w:p>
            <w:pPr>
              <w:jc w:val="right"/>
              <w:ind w:right="92"/>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$294,764</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$292,642</w:t>
            </w:r>
          </w:p>
        </w:tc>
        <w:tc>
          <w:tcPr>
            <w:tcW w:w="82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0.7%</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$590,127</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$571,694</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40" w:type="dxa"/>
            <w:vAlign w:val="bottom"/>
            <w:gridSpan w:val="2"/>
          </w:tcPr>
          <w:p>
            <w:pPr>
              <w:jc w:val="right"/>
              <w:ind w:right="52"/>
              <w:spacing w:after="0"/>
              <w:rPr>
                <w:sz w:val="20"/>
                <w:szCs w:val="20"/>
                <w:color w:val="auto"/>
              </w:rPr>
            </w:pPr>
            <w:r>
              <w:rPr>
                <w:rFonts w:ascii="Arial" w:cs="Arial" w:eastAsia="Arial" w:hAnsi="Arial"/>
                <w:sz w:val="18"/>
                <w:szCs w:val="18"/>
                <w:color w:val="auto"/>
              </w:rPr>
              <w:t>30.7%</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36.3%</w:t>
            </w:r>
          </w:p>
        </w:tc>
        <w:tc>
          <w:tcPr>
            <w:tcW w:w="82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30.7%</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37.1%</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Research and development expense increased by $2.1 million for the three months ended August 2, 2014 compared to the three months ended August 3, 2013. The increase was primarily attributable to $1.7 million of higher personnel-related costs as a result of an increase in average annual employee compensation, which was partially offset by a decrease in share-based compensation. For the six months ended August 2, 2014 compared to the six months ended August 3, 2013, research and development expense increased by $18.4 million. The increase was primarily attributable to $23.8 million of higher personnel-related costs associated with an increase in average annual employee compensation, which was partially offset by a decrease in share-based compensation. These increases were offset by $17.3 million of higher reimbursements for non-recurring engineering services from our customers. In addition, there was $5.1 million of restructuring and other exit-related costs included in research and development expense for the six months ended August 2, 2014, which is further described in the restructuring section of Management’s Discussion and Analysis of Financial Condition and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1820" w:type="dxa"/>
            <w:vAlign w:val="bottom"/>
            <w:gridSpan w:val="3"/>
          </w:tcPr>
          <w:p>
            <w:pPr>
              <w:jc w:val="right"/>
              <w:ind w:right="372"/>
              <w:spacing w:after="0"/>
              <w:rPr>
                <w:sz w:val="20"/>
                <w:szCs w:val="20"/>
                <w:color w:val="auto"/>
              </w:rPr>
            </w:pPr>
            <w:r>
              <w:rPr>
                <w:rFonts w:ascii="Arial" w:cs="Arial" w:eastAsia="Arial" w:hAnsi="Arial"/>
                <w:sz w:val="14"/>
                <w:szCs w:val="14"/>
                <w:b w:val="1"/>
                <w:bCs w:val="1"/>
                <w:color w:val="auto"/>
                <w:w w:val="98"/>
              </w:rPr>
              <w:t>Three Months Ended</w:t>
            </w:r>
          </w:p>
        </w:tc>
        <w:tc>
          <w:tcPr>
            <w:tcW w:w="1020" w:type="dxa"/>
            <w:vAlign w:val="bottom"/>
            <w:vMerge w:val="restart"/>
          </w:tcPr>
          <w:p>
            <w:pPr>
              <w:jc w:val="right"/>
              <w:ind w:right="52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200" w:type="dxa"/>
            <w:vAlign w:val="bottom"/>
          </w:tcPr>
          <w:p>
            <w:pPr>
              <w:spacing w:after="0"/>
              <w:rPr>
                <w:sz w:val="11"/>
                <w:szCs w:val="11"/>
                <w:color w:val="auto"/>
              </w:rPr>
            </w:pPr>
          </w:p>
        </w:tc>
        <w:tc>
          <w:tcPr>
            <w:tcW w:w="84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4"/>
              </w:rPr>
              <w:t>August 2,</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84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4"/>
              </w:rPr>
              <w:t>August 2,</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304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1020" w:type="dxa"/>
            <w:vAlign w:val="bottom"/>
          </w:tcPr>
          <w:p>
            <w:pPr>
              <w:jc w:val="center"/>
              <w:ind w:right="266"/>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tcPr>
          <w:p>
            <w:pPr>
              <w:jc w:val="right"/>
              <w:ind w:right="344"/>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40" w:type="dxa"/>
            <w:vAlign w:val="bottom"/>
          </w:tcPr>
          <w:p>
            <w:pPr>
              <w:spacing w:after="0"/>
              <w:rPr>
                <w:sz w:val="12"/>
                <w:szCs w:val="12"/>
                <w:color w:val="auto"/>
              </w:rPr>
            </w:pPr>
          </w:p>
        </w:tc>
        <w:tc>
          <w:tcPr>
            <w:tcW w:w="220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3"/>
          </w:tcPr>
          <w:p>
            <w:pPr>
              <w:jc w:val="right"/>
              <w:ind w:right="44"/>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7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0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$33,949</w:t>
            </w:r>
          </w:p>
        </w:tc>
        <w:tc>
          <w:tcPr>
            <w:tcW w:w="9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$38,548</w:t>
            </w:r>
          </w:p>
        </w:tc>
        <w:tc>
          <w:tcPr>
            <w:tcW w:w="102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(11.9)%</w:t>
            </w:r>
          </w:p>
        </w:tc>
        <w:tc>
          <w:tcPr>
            <w:tcW w:w="8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$72,307</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$78,537</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(7.9)%</w:t>
            </w:r>
          </w:p>
        </w:tc>
        <w:tc>
          <w:tcPr>
            <w:tcW w:w="0" w:type="dxa"/>
            <w:vAlign w:val="bottom"/>
          </w:tcPr>
          <w:p>
            <w:pPr>
              <w:spacing w:after="0"/>
              <w:rPr>
                <w:sz w:val="1"/>
                <w:szCs w:val="1"/>
                <w:color w:val="auto"/>
              </w:rPr>
            </w:pPr>
          </w:p>
        </w:tc>
      </w:tr>
      <w:tr>
        <w:trPr>
          <w:trHeight w:val="222"/>
        </w:trPr>
        <w:tc>
          <w:tcPr>
            <w:tcW w:w="3740" w:type="dxa"/>
            <w:vAlign w:val="bottom"/>
          </w:tcPr>
          <w:p>
            <w:pPr>
              <w:spacing w:after="0"/>
              <w:rPr>
                <w:sz w:val="20"/>
                <w:szCs w:val="20"/>
                <w:color w:val="auto"/>
              </w:rPr>
            </w:pPr>
            <w:r>
              <w:rPr>
                <w:rFonts w:ascii="Arial" w:cs="Arial" w:eastAsia="Arial" w:hAnsi="Arial"/>
                <w:sz w:val="18"/>
                <w:szCs w:val="18"/>
                <w:color w:val="auto"/>
              </w:rPr>
              <w:t>% of net revenue</w:t>
            </w:r>
          </w:p>
        </w:tc>
        <w:tc>
          <w:tcPr>
            <w:tcW w:w="3040" w:type="dxa"/>
            <w:vAlign w:val="bottom"/>
            <w:gridSpan w:val="2"/>
          </w:tcPr>
          <w:p>
            <w:pPr>
              <w:jc w:val="right"/>
              <w:ind w:right="52"/>
              <w:spacing w:after="0"/>
              <w:rPr>
                <w:sz w:val="20"/>
                <w:szCs w:val="20"/>
                <w:color w:val="auto"/>
              </w:rPr>
            </w:pPr>
            <w:r>
              <w:rPr>
                <w:rFonts w:ascii="Arial" w:cs="Arial" w:eastAsia="Arial" w:hAnsi="Arial"/>
                <w:sz w:val="18"/>
                <w:szCs w:val="18"/>
                <w:color w:val="auto"/>
              </w:rPr>
              <w:t>3.5%</w:t>
            </w:r>
          </w:p>
        </w:tc>
        <w:tc>
          <w:tcPr>
            <w:tcW w:w="980" w:type="dxa"/>
            <w:vAlign w:val="bottom"/>
            <w:gridSpan w:val="2"/>
          </w:tcPr>
          <w:p>
            <w:pPr>
              <w:jc w:val="right"/>
              <w:ind w:right="52"/>
              <w:spacing w:after="0"/>
              <w:rPr>
                <w:sz w:val="20"/>
                <w:szCs w:val="20"/>
                <w:color w:val="auto"/>
              </w:rPr>
            </w:pPr>
            <w:r>
              <w:rPr>
                <w:rFonts w:ascii="Arial" w:cs="Arial" w:eastAsia="Arial" w:hAnsi="Arial"/>
                <w:sz w:val="18"/>
                <w:szCs w:val="18"/>
                <w:color w:val="auto"/>
              </w:rPr>
              <w:t>4.8%</w:t>
            </w:r>
          </w:p>
        </w:tc>
        <w:tc>
          <w:tcPr>
            <w:tcW w:w="1020" w:type="dxa"/>
            <w:vAlign w:val="bottom"/>
          </w:tcPr>
          <w:p>
            <w:pPr>
              <w:spacing w:after="0"/>
              <w:rPr>
                <w:sz w:val="19"/>
                <w:szCs w:val="19"/>
                <w:color w:val="auto"/>
              </w:rPr>
            </w:pPr>
          </w:p>
        </w:tc>
        <w:tc>
          <w:tcPr>
            <w:tcW w:w="840" w:type="dxa"/>
            <w:vAlign w:val="bottom"/>
          </w:tcPr>
          <w:p>
            <w:pPr>
              <w:jc w:val="right"/>
              <w:ind w:right="44"/>
              <w:spacing w:after="0"/>
              <w:rPr>
                <w:sz w:val="20"/>
                <w:szCs w:val="20"/>
                <w:color w:val="auto"/>
              </w:rPr>
            </w:pPr>
            <w:r>
              <w:rPr>
                <w:rFonts w:ascii="Arial" w:cs="Arial" w:eastAsia="Arial" w:hAnsi="Arial"/>
                <w:sz w:val="18"/>
                <w:szCs w:val="18"/>
                <w:color w:val="auto"/>
              </w:rPr>
              <w:t>3.8%</w:t>
            </w:r>
          </w:p>
        </w:tc>
        <w:tc>
          <w:tcPr>
            <w:tcW w:w="980" w:type="dxa"/>
            <w:vAlign w:val="bottom"/>
            <w:gridSpan w:val="2"/>
          </w:tcPr>
          <w:p>
            <w:pPr>
              <w:jc w:val="right"/>
              <w:ind w:right="120"/>
              <w:spacing w:after="0"/>
              <w:rPr>
                <w:sz w:val="20"/>
                <w:szCs w:val="20"/>
                <w:color w:val="auto"/>
              </w:rPr>
            </w:pPr>
            <w:r>
              <w:rPr>
                <w:rFonts w:ascii="Arial" w:cs="Arial" w:eastAsia="Arial" w:hAnsi="Arial"/>
                <w:sz w:val="18"/>
                <w:szCs w:val="18"/>
                <w:color w:val="auto"/>
              </w:rPr>
              <w:t>5.1%</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Selling and marketing expense decreased by $4.6 million and $6.2 million for the three and six months ended August 2, 2014, respectively, compared to the three and six months ended August 3, 2013. The decrease was primarily attributable to lower personnel-related costs of $3.6 million and $3.5 million for the three and six months ended August 2, 2014, respectively, as a result of lower headcount. The cost reduction in personnel-related costs more than offset an increase in average annual employee compensation. In addition, selling and marketing expense for the six months ended August 2, 2014 included a $1.7 million decrease in expenses for marketing communication activities as a result of our efforts to control discretionary spending.</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8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2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9"/>
              </w:rPr>
              <w:t>Three Months Ended</w:t>
            </w:r>
          </w:p>
        </w:tc>
        <w:tc>
          <w:tcPr>
            <w:tcW w:w="9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98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86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4"/>
              </w:rPr>
              <w:t>August 2,</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7"/>
              </w:rPr>
              <w:t>August 2,</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80" w:type="dxa"/>
            <w:vAlign w:val="bottom"/>
          </w:tcPr>
          <w:p>
            <w:pPr>
              <w:spacing w:after="0"/>
              <w:rPr>
                <w:sz w:val="14"/>
                <w:szCs w:val="14"/>
                <w:color w:val="auto"/>
              </w:rPr>
            </w:pPr>
          </w:p>
        </w:tc>
        <w:tc>
          <w:tcPr>
            <w:tcW w:w="292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960" w:type="dxa"/>
            <w:vAlign w:val="bottom"/>
          </w:tcPr>
          <w:p>
            <w:pPr>
              <w:ind w:left="140"/>
              <w:spacing w:after="0"/>
              <w:rPr>
                <w:sz w:val="20"/>
                <w:szCs w:val="20"/>
                <w:color w:val="auto"/>
              </w:rPr>
            </w:pPr>
            <w:r>
              <w:rPr>
                <w:rFonts w:ascii="Arial" w:cs="Arial" w:eastAsia="Arial" w:hAnsi="Arial"/>
                <w:sz w:val="14"/>
                <w:szCs w:val="14"/>
                <w:b w:val="1"/>
                <w:bCs w:val="1"/>
                <w:color w:val="auto"/>
              </w:rPr>
              <w:t>Change</w:t>
            </w: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2014</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98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9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$31,333</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$27,192</w:t>
            </w:r>
          </w:p>
        </w:tc>
        <w:tc>
          <w:tcPr>
            <w:tcW w:w="9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15.2%</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$61,906</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$53,515</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3"/>
              </w:rPr>
              <w:t>15.7%</w:t>
            </w:r>
          </w:p>
        </w:tc>
        <w:tc>
          <w:tcPr>
            <w:tcW w:w="0" w:type="dxa"/>
            <w:vAlign w:val="bottom"/>
          </w:tcPr>
          <w:p>
            <w:pPr>
              <w:spacing w:after="0"/>
              <w:rPr>
                <w:sz w:val="1"/>
                <w:szCs w:val="1"/>
                <w:color w:val="auto"/>
              </w:rPr>
            </w:pPr>
          </w:p>
        </w:tc>
      </w:tr>
      <w:tr>
        <w:trPr>
          <w:trHeight w:val="222"/>
        </w:trPr>
        <w:tc>
          <w:tcPr>
            <w:tcW w:w="3980" w:type="dxa"/>
            <w:vAlign w:val="bottom"/>
          </w:tcPr>
          <w:p>
            <w:pPr>
              <w:spacing w:after="0"/>
              <w:rPr>
                <w:sz w:val="20"/>
                <w:szCs w:val="20"/>
                <w:color w:val="auto"/>
              </w:rPr>
            </w:pPr>
            <w:r>
              <w:rPr>
                <w:rFonts w:ascii="Arial" w:cs="Arial" w:eastAsia="Arial" w:hAnsi="Arial"/>
                <w:sz w:val="18"/>
                <w:szCs w:val="18"/>
                <w:color w:val="auto"/>
              </w:rPr>
              <w:t>% of net revenue</w:t>
            </w:r>
          </w:p>
        </w:tc>
        <w:tc>
          <w:tcPr>
            <w:tcW w:w="2920" w:type="dxa"/>
            <w:vAlign w:val="bottom"/>
            <w:gridSpan w:val="2"/>
          </w:tcPr>
          <w:p>
            <w:pPr>
              <w:jc w:val="right"/>
              <w:ind w:right="52"/>
              <w:spacing w:after="0"/>
              <w:rPr>
                <w:sz w:val="20"/>
                <w:szCs w:val="20"/>
                <w:color w:val="auto"/>
              </w:rPr>
            </w:pPr>
            <w:r>
              <w:rPr>
                <w:rFonts w:ascii="Arial" w:cs="Arial" w:eastAsia="Arial" w:hAnsi="Arial"/>
                <w:sz w:val="18"/>
                <w:szCs w:val="18"/>
                <w:color w:val="auto"/>
              </w:rPr>
              <w:t>3.3%</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3.4%</w:t>
            </w:r>
          </w:p>
        </w:tc>
        <w:tc>
          <w:tcPr>
            <w:tcW w:w="96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3.3%</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3.4%</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General and administrative expense increased by $4.1 million and $8.4 million for the three and six months ended August 2, 2014, respectively, compared to the three and six months ended August 3, 2013. This increase was due primarily to higher legal expenses of $0.9 million and $4.0 million for the three and six months ended August 2, 2014, respectively, combined with an increase in average employee compensation. In addition, there was $2.2 million of costs associated with the surety bond to appeal the Carnegie Mellon University judgment included in general and administrative expense for the three months ended August 2, 2014.</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60" w:type="dxa"/>
            <w:vAlign w:val="bottom"/>
          </w:tcPr>
          <w:p>
            <w:pPr>
              <w:spacing w:after="0"/>
              <w:rPr>
                <w:sz w:val="14"/>
                <w:szCs w:val="14"/>
                <w:color w:val="auto"/>
              </w:rPr>
            </w:pPr>
          </w:p>
        </w:tc>
        <w:tc>
          <w:tcPr>
            <w:tcW w:w="1780" w:type="dxa"/>
            <w:vAlign w:val="bottom"/>
            <w:gridSpan w:val="3"/>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980" w:type="dxa"/>
            <w:vAlign w:val="bottom"/>
            <w:vMerge w:val="restart"/>
          </w:tcPr>
          <w:p>
            <w:pPr>
              <w:jc w:val="right"/>
              <w:ind w:right="506"/>
              <w:spacing w:after="0"/>
              <w:rPr>
                <w:sz w:val="20"/>
                <w:szCs w:val="20"/>
                <w:color w:val="auto"/>
              </w:rPr>
            </w:pPr>
            <w:r>
              <w:rPr>
                <w:rFonts w:ascii="Arial" w:cs="Arial" w:eastAsia="Arial" w:hAnsi="Arial"/>
                <w:sz w:val="14"/>
                <w:szCs w:val="14"/>
                <w:b w:val="1"/>
                <w:bCs w:val="1"/>
                <w:color w:val="auto"/>
              </w:rPr>
              <w:t>%</w:t>
            </w:r>
          </w:p>
        </w:tc>
        <w:tc>
          <w:tcPr>
            <w:tcW w:w="178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60" w:type="dxa"/>
            <w:vAlign w:val="bottom"/>
          </w:tcPr>
          <w:p>
            <w:pPr>
              <w:spacing w:after="0"/>
              <w:rPr>
                <w:sz w:val="11"/>
                <w:szCs w:val="11"/>
                <w:color w:val="auto"/>
              </w:rPr>
            </w:pPr>
          </w:p>
        </w:tc>
        <w:tc>
          <w:tcPr>
            <w:tcW w:w="82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rPr>
              <w:t>August 2,</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84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4"/>
              </w:rPr>
              <w:t>August 2,</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60" w:type="dxa"/>
            <w:vAlign w:val="bottom"/>
          </w:tcPr>
          <w:p>
            <w:pPr>
              <w:spacing w:after="0"/>
              <w:rPr>
                <w:sz w:val="14"/>
                <w:szCs w:val="14"/>
                <w:color w:val="auto"/>
              </w:rPr>
            </w:pPr>
          </w:p>
        </w:tc>
        <w:tc>
          <w:tcPr>
            <w:tcW w:w="820" w:type="dxa"/>
            <w:vAlign w:val="bottom"/>
          </w:tcPr>
          <w:p>
            <w:pPr>
              <w:ind w:left="140"/>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980" w:type="dxa"/>
            <w:vAlign w:val="bottom"/>
          </w:tcPr>
          <w:p>
            <w:pPr>
              <w:jc w:val="center"/>
              <w:ind w:right="226"/>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tcPr>
          <w:p>
            <w:pPr>
              <w:jc w:val="right"/>
              <w:ind w:right="344"/>
              <w:spacing w:after="0"/>
              <w:rPr>
                <w:sz w:val="20"/>
                <w:szCs w:val="20"/>
                <w:color w:val="auto"/>
              </w:rPr>
            </w:pPr>
            <w:r>
              <w:rPr>
                <w:rFonts w:ascii="Arial" w:cs="Arial" w:eastAsia="Arial" w:hAnsi="Arial"/>
                <w:sz w:val="14"/>
                <w:szCs w:val="14"/>
                <w:b w:val="1"/>
                <w:bCs w:val="1"/>
                <w:color w:val="auto"/>
              </w:rPr>
              <w:t>2014</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06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3"/>
          </w:tcPr>
          <w:p>
            <w:pPr>
              <w:jc w:val="right"/>
              <w:ind w:right="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2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9"/>
              </w:rPr>
              <w:t>$ 3,304</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$10,638</w:t>
            </w:r>
          </w:p>
        </w:tc>
        <w:tc>
          <w:tcPr>
            <w:tcW w:w="980" w:type="dxa"/>
            <w:vAlign w:val="bottom"/>
            <w:shd w:val="clear" w:color="auto" w:fill="CCEEFF"/>
          </w:tcPr>
          <w:p>
            <w:pPr>
              <w:jc w:val="right"/>
              <w:ind w:right="146"/>
              <w:spacing w:after="0"/>
              <w:rPr>
                <w:sz w:val="20"/>
                <w:szCs w:val="20"/>
                <w:color w:val="auto"/>
              </w:rPr>
            </w:pPr>
            <w:r>
              <w:rPr>
                <w:rFonts w:ascii="Arial" w:cs="Arial" w:eastAsia="Arial" w:hAnsi="Arial"/>
                <w:sz w:val="18"/>
                <w:szCs w:val="18"/>
                <w:color w:val="auto"/>
              </w:rPr>
              <w:t>(68.9)%</w:t>
            </w:r>
          </w:p>
        </w:tc>
        <w:tc>
          <w:tcPr>
            <w:tcW w:w="84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9"/>
              </w:rPr>
              <w:t>$ 9,993</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$21,324</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(53.1)%</w:t>
            </w:r>
          </w:p>
        </w:tc>
        <w:tc>
          <w:tcPr>
            <w:tcW w:w="0" w:type="dxa"/>
            <w:vAlign w:val="bottom"/>
          </w:tcPr>
          <w:p>
            <w:pPr>
              <w:spacing w:after="0"/>
              <w:rPr>
                <w:sz w:val="1"/>
                <w:szCs w:val="1"/>
                <w:color w:val="auto"/>
              </w:rPr>
            </w:pPr>
          </w:p>
        </w:tc>
      </w:tr>
      <w:tr>
        <w:trPr>
          <w:trHeight w:val="222"/>
        </w:trPr>
        <w:tc>
          <w:tcPr>
            <w:tcW w:w="606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tcPr>
          <w:p>
            <w:pPr>
              <w:jc w:val="right"/>
              <w:ind w:right="44"/>
              <w:spacing w:after="0"/>
              <w:rPr>
                <w:sz w:val="20"/>
                <w:szCs w:val="20"/>
                <w:color w:val="auto"/>
              </w:rPr>
            </w:pPr>
            <w:r>
              <w:rPr>
                <w:rFonts w:ascii="Arial" w:cs="Arial" w:eastAsia="Arial" w:hAnsi="Arial"/>
                <w:sz w:val="18"/>
                <w:szCs w:val="18"/>
                <w:color w:val="auto"/>
              </w:rPr>
              <w:t>0.3%</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1.3%</w:t>
            </w:r>
          </w:p>
        </w:tc>
        <w:tc>
          <w:tcPr>
            <w:tcW w:w="980" w:type="dxa"/>
            <w:vAlign w:val="bottom"/>
          </w:tcPr>
          <w:p>
            <w:pPr>
              <w:spacing w:after="0"/>
              <w:rPr>
                <w:sz w:val="19"/>
                <w:szCs w:val="19"/>
                <w:color w:val="auto"/>
              </w:rPr>
            </w:pPr>
          </w:p>
        </w:tc>
        <w:tc>
          <w:tcPr>
            <w:tcW w:w="840" w:type="dxa"/>
            <w:vAlign w:val="bottom"/>
          </w:tcPr>
          <w:p>
            <w:pPr>
              <w:jc w:val="right"/>
              <w:ind w:right="64"/>
              <w:spacing w:after="0"/>
              <w:rPr>
                <w:sz w:val="20"/>
                <w:szCs w:val="20"/>
                <w:color w:val="auto"/>
              </w:rPr>
            </w:pPr>
            <w:r>
              <w:rPr>
                <w:rFonts w:ascii="Arial" w:cs="Arial" w:eastAsia="Arial" w:hAnsi="Arial"/>
                <w:sz w:val="18"/>
                <w:szCs w:val="18"/>
                <w:color w:val="auto"/>
              </w:rPr>
              <w:t>0.5%</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Amortization and write-off of acquired intangible assets decreased by $7.3 million and $11.3 million for the three and six months ended August 2, 2014, respectively, compared to the three and six months ended August 3, 2013. The decrease was due to a reduction in amortization expense as certain intangible assets have become fully amortized. The decrease in amortization expense for the six months ended August 2, 2014 was partially offset by a charge to write off $3.4 million of in-process research and development upon our decision to discontinue the related project.</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780" w:type="dxa"/>
            <w:vAlign w:val="bottom"/>
            <w:gridSpan w:val="3"/>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8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84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4"/>
              </w:rPr>
              <w:t>August 2,</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7"/>
              </w:rPr>
              <w:t>August 2,</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2840" w:type="dxa"/>
            <w:vAlign w:val="bottom"/>
            <w:gridSpan w:val="2"/>
          </w:tcPr>
          <w:p>
            <w:pPr>
              <w:ind w:left="2140"/>
              <w:spacing w:after="0"/>
              <w:rPr>
                <w:sz w:val="20"/>
                <w:szCs w:val="20"/>
                <w:color w:val="auto"/>
              </w:rPr>
            </w:pPr>
            <w:r>
              <w:rPr>
                <w:rFonts w:ascii="Arial" w:cs="Arial" w:eastAsia="Arial" w:hAnsi="Arial"/>
                <w:sz w:val="14"/>
                <w:szCs w:val="14"/>
                <w:b w:val="1"/>
                <w:bCs w:val="1"/>
                <w:color w:val="auto"/>
              </w:rPr>
              <w:t>2014</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960" w:type="dxa"/>
            <w:vAlign w:val="bottom"/>
          </w:tcPr>
          <w:p>
            <w:pPr>
              <w:ind w:left="140"/>
              <w:spacing w:after="0"/>
              <w:rPr>
                <w:sz w:val="20"/>
                <w:szCs w:val="20"/>
                <w:color w:val="auto"/>
              </w:rPr>
            </w:pPr>
            <w:r>
              <w:rPr>
                <w:rFonts w:ascii="Arial" w:cs="Arial" w:eastAsia="Arial" w:hAnsi="Arial"/>
                <w:sz w:val="14"/>
                <w:szCs w:val="14"/>
                <w:b w:val="1"/>
                <w:bCs w:val="1"/>
                <w:color w:val="auto"/>
              </w:rPr>
              <w:t>Change</w:t>
            </w: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2014</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8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$12,263</w:t>
            </w:r>
          </w:p>
        </w:tc>
        <w:tc>
          <w:tcPr>
            <w:tcW w:w="9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$ 8,253</w:t>
            </w:r>
          </w:p>
        </w:tc>
        <w:tc>
          <w:tcPr>
            <w:tcW w:w="9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48.6%</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$14,188</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$11,413</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3"/>
              </w:rPr>
              <w:t>24.3%</w:t>
            </w:r>
          </w:p>
        </w:tc>
        <w:tc>
          <w:tcPr>
            <w:tcW w:w="0" w:type="dxa"/>
            <w:vAlign w:val="bottom"/>
          </w:tcPr>
          <w:p>
            <w:pPr>
              <w:spacing w:after="0"/>
              <w:rPr>
                <w:sz w:val="1"/>
                <w:szCs w:val="1"/>
                <w:color w:val="auto"/>
              </w:rPr>
            </w:pP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 of net revenue</w:t>
            </w:r>
          </w:p>
        </w:tc>
        <w:tc>
          <w:tcPr>
            <w:tcW w:w="2840" w:type="dxa"/>
            <w:vAlign w:val="bottom"/>
            <w:gridSpan w:val="2"/>
          </w:tcPr>
          <w:p>
            <w:pPr>
              <w:jc w:val="right"/>
              <w:ind w:right="52"/>
              <w:spacing w:after="0"/>
              <w:rPr>
                <w:sz w:val="20"/>
                <w:szCs w:val="20"/>
                <w:color w:val="auto"/>
              </w:rPr>
            </w:pPr>
            <w:r>
              <w:rPr>
                <w:rFonts w:ascii="Arial" w:cs="Arial" w:eastAsia="Arial" w:hAnsi="Arial"/>
                <w:sz w:val="18"/>
                <w:szCs w:val="18"/>
                <w:color w:val="auto"/>
              </w:rPr>
              <w:t>1.3%</w:t>
            </w:r>
          </w:p>
        </w:tc>
        <w:tc>
          <w:tcPr>
            <w:tcW w:w="940" w:type="dxa"/>
            <w:vAlign w:val="bottom"/>
            <w:gridSpan w:val="2"/>
          </w:tcPr>
          <w:p>
            <w:pPr>
              <w:jc w:val="right"/>
              <w:ind w:right="52"/>
              <w:spacing w:after="0"/>
              <w:rPr>
                <w:sz w:val="20"/>
                <w:szCs w:val="20"/>
                <w:color w:val="auto"/>
              </w:rPr>
            </w:pPr>
            <w:r>
              <w:rPr>
                <w:rFonts w:ascii="Arial" w:cs="Arial" w:eastAsia="Arial" w:hAnsi="Arial"/>
                <w:sz w:val="18"/>
                <w:szCs w:val="18"/>
                <w:color w:val="auto"/>
              </w:rPr>
              <w:t>1.1%</w:t>
            </w:r>
          </w:p>
        </w:tc>
        <w:tc>
          <w:tcPr>
            <w:tcW w:w="96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0.6%</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0.7%</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Interest and other income, net, for the three and six months ended August 2, 2014 included a gain from the sale of an investment of $8.8 million. The gain more than offset decreases in interest and other income, net, which were primarily due to recognition of foreign currency losses from the revaluation of our foreign currency denominated tax liabilities as the U.S. dollar weakened during the three and six months ended August 2, 2014.</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00" w:type="dxa"/>
            <w:vAlign w:val="bottom"/>
          </w:tcPr>
          <w:p>
            <w:pPr>
              <w:spacing w:after="0"/>
              <w:rPr>
                <w:sz w:val="14"/>
                <w:szCs w:val="14"/>
                <w:color w:val="auto"/>
              </w:rPr>
            </w:pPr>
          </w:p>
        </w:tc>
        <w:tc>
          <w:tcPr>
            <w:tcW w:w="1860" w:type="dxa"/>
            <w:vAlign w:val="bottom"/>
            <w:gridSpan w:val="3"/>
          </w:tcPr>
          <w:p>
            <w:pPr>
              <w:jc w:val="right"/>
              <w:ind w:right="412"/>
              <w:spacing w:after="0"/>
              <w:rPr>
                <w:sz w:val="20"/>
                <w:szCs w:val="20"/>
                <w:color w:val="auto"/>
              </w:rPr>
            </w:pPr>
            <w:r>
              <w:rPr>
                <w:rFonts w:ascii="Arial" w:cs="Arial" w:eastAsia="Arial" w:hAnsi="Arial"/>
                <w:sz w:val="14"/>
                <w:szCs w:val="14"/>
                <w:b w:val="1"/>
                <w:bCs w:val="1"/>
                <w:color w:val="auto"/>
                <w:w w:val="98"/>
              </w:rPr>
              <w:t>Three Months Ended</w:t>
            </w:r>
          </w:p>
        </w:tc>
        <w:tc>
          <w:tcPr>
            <w:tcW w:w="82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96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900" w:type="dxa"/>
            <w:vAlign w:val="bottom"/>
          </w:tcPr>
          <w:p>
            <w:pPr>
              <w:spacing w:after="0"/>
              <w:rPr>
                <w:sz w:val="11"/>
                <w:szCs w:val="11"/>
                <w:color w:val="auto"/>
              </w:rPr>
            </w:pPr>
          </w:p>
        </w:tc>
        <w:tc>
          <w:tcPr>
            <w:tcW w:w="8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1"/>
              </w:rPr>
              <w:t>August 2,</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32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w w:val="90"/>
              </w:rPr>
              <w:t>August 2,</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3,</w:t>
            </w:r>
          </w:p>
        </w:tc>
        <w:tc>
          <w:tcPr>
            <w:tcW w:w="32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00" w:type="dxa"/>
            <w:vAlign w:val="bottom"/>
          </w:tcPr>
          <w:p>
            <w:pPr>
              <w:spacing w:after="0"/>
              <w:rPr>
                <w:sz w:val="14"/>
                <w:szCs w:val="14"/>
                <w:color w:val="auto"/>
              </w:rPr>
            </w:pPr>
          </w:p>
        </w:tc>
        <w:tc>
          <w:tcPr>
            <w:tcW w:w="860" w:type="dxa"/>
            <w:vAlign w:val="bottom"/>
          </w:tcPr>
          <w:p>
            <w:pPr>
              <w:jc w:val="right"/>
              <w:ind w:right="384"/>
              <w:spacing w:after="0"/>
              <w:rPr>
                <w:sz w:val="20"/>
                <w:szCs w:val="20"/>
                <w:color w:val="auto"/>
              </w:rPr>
            </w:pPr>
            <w:r>
              <w:rPr>
                <w:rFonts w:ascii="Arial" w:cs="Arial" w:eastAsia="Arial" w:hAnsi="Arial"/>
                <w:sz w:val="14"/>
                <w:szCs w:val="14"/>
                <w:b w:val="1"/>
                <w:bCs w:val="1"/>
                <w:color w:val="auto"/>
              </w:rPr>
              <w:t>2014</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320" w:type="dxa"/>
            <w:vAlign w:val="bottom"/>
          </w:tcPr>
          <w:p>
            <w:pPr>
              <w:spacing w:after="0"/>
              <w:rPr>
                <w:sz w:val="14"/>
                <w:szCs w:val="14"/>
                <w:color w:val="auto"/>
              </w:rPr>
            </w:pPr>
          </w:p>
        </w:tc>
        <w:tc>
          <w:tcPr>
            <w:tcW w:w="820" w:type="dxa"/>
            <w:vAlign w:val="bottom"/>
          </w:tcPr>
          <w:p>
            <w:pPr>
              <w:jc w:val="center"/>
              <w:ind w:right="66"/>
              <w:spacing w:after="0"/>
              <w:rPr>
                <w:sz w:val="20"/>
                <w:szCs w:val="20"/>
                <w:color w:val="auto"/>
              </w:rPr>
            </w:pPr>
            <w:r>
              <w:rPr>
                <w:rFonts w:ascii="Arial" w:cs="Arial" w:eastAsia="Arial" w:hAnsi="Arial"/>
                <w:sz w:val="14"/>
                <w:szCs w:val="14"/>
                <w:b w:val="1"/>
                <w:bCs w:val="1"/>
                <w:color w:val="auto"/>
                <w:w w:val="85"/>
              </w:rPr>
              <w:t>Change</w:t>
            </w:r>
          </w:p>
        </w:tc>
        <w:tc>
          <w:tcPr>
            <w:tcW w:w="110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2014</w:t>
            </w:r>
          </w:p>
        </w:tc>
        <w:tc>
          <w:tcPr>
            <w:tcW w:w="66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320" w:type="dxa"/>
            <w:vAlign w:val="bottom"/>
          </w:tcPr>
          <w:p>
            <w:pPr>
              <w:spacing w:after="0"/>
              <w:rPr>
                <w:sz w:val="14"/>
                <w:szCs w:val="14"/>
                <w:color w:val="auto"/>
              </w:rPr>
            </w:pPr>
          </w:p>
        </w:tc>
        <w:tc>
          <w:tcPr>
            <w:tcW w:w="7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90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4"/>
          </w:tcPr>
          <w:p>
            <w:pPr>
              <w:jc w:val="right"/>
              <w:ind w:right="92"/>
              <w:spacing w:after="0" w:line="142" w:lineRule="exact"/>
              <w:rPr>
                <w:sz w:val="20"/>
                <w:szCs w:val="20"/>
                <w:color w:val="auto"/>
              </w:rPr>
            </w:pPr>
            <w:r>
              <w:rPr>
                <w:rFonts w:ascii="Arial" w:cs="Arial" w:eastAsia="Arial" w:hAnsi="Arial"/>
                <w:sz w:val="14"/>
                <w:szCs w:val="14"/>
                <w:b w:val="1"/>
                <w:bCs w:val="1"/>
                <w:color w:val="auto"/>
                <w:w w:val="90"/>
              </w:rPr>
              <w:t>(in thousands, except percentage)</w:t>
            </w:r>
          </w:p>
        </w:tc>
        <w:tc>
          <w:tcPr>
            <w:tcW w:w="66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Benefit for income taxes</w:t>
            </w:r>
          </w:p>
        </w:tc>
        <w:tc>
          <w:tcPr>
            <w:tcW w:w="8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$(6,153)</w:t>
            </w:r>
          </w:p>
        </w:tc>
        <w:tc>
          <w:tcPr>
            <w:tcW w:w="10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$(1,596)</w:t>
            </w:r>
          </w:p>
        </w:tc>
        <w:tc>
          <w:tcPr>
            <w:tcW w:w="820" w:type="dxa"/>
            <w:vAlign w:val="bottom"/>
            <w:shd w:val="clear" w:color="auto" w:fill="CCEEFF"/>
          </w:tcPr>
          <w:p>
            <w:pPr>
              <w:jc w:val="right"/>
              <w:ind w:right="26"/>
              <w:spacing w:after="0"/>
              <w:rPr>
                <w:sz w:val="20"/>
                <w:szCs w:val="20"/>
                <w:color w:val="auto"/>
              </w:rPr>
            </w:pPr>
            <w:r>
              <w:rPr>
                <w:rFonts w:ascii="Arial" w:cs="Arial" w:eastAsia="Arial" w:hAnsi="Arial"/>
                <w:sz w:val="18"/>
                <w:szCs w:val="18"/>
                <w:color w:val="auto"/>
              </w:rPr>
              <w:t>285.5%</w:t>
            </w:r>
          </w:p>
        </w:tc>
        <w:tc>
          <w:tcPr>
            <w:tcW w:w="11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w w:val="99"/>
              </w:rPr>
              <w:t>$ (10,720)</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$(8,764)</w:t>
            </w: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93"/>
              </w:rPr>
              <w:t>22.3%</w:t>
            </w:r>
          </w:p>
        </w:tc>
        <w:tc>
          <w:tcPr>
            <w:tcW w:w="0" w:type="dxa"/>
            <w:vAlign w:val="bottom"/>
          </w:tcPr>
          <w:p>
            <w:pPr>
              <w:spacing w:after="0"/>
              <w:rPr>
                <w:sz w:val="1"/>
                <w:szCs w:val="1"/>
                <w:color w:val="auto"/>
              </w:rPr>
            </w:pPr>
          </w:p>
        </w:tc>
      </w:tr>
      <w:tr>
        <w:trPr>
          <w:trHeight w:val="222"/>
        </w:trPr>
        <w:tc>
          <w:tcPr>
            <w:tcW w:w="590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ind w:right="24"/>
              <w:spacing w:after="0"/>
              <w:rPr>
                <w:sz w:val="20"/>
                <w:szCs w:val="20"/>
                <w:color w:val="auto"/>
              </w:rPr>
            </w:pPr>
            <w:r>
              <w:rPr>
                <w:rFonts w:ascii="Arial" w:cs="Arial" w:eastAsia="Arial" w:hAnsi="Arial"/>
                <w:sz w:val="18"/>
                <w:szCs w:val="18"/>
                <w:color w:val="auto"/>
              </w:rPr>
              <w:t>(0.6)%</w:t>
            </w:r>
          </w:p>
        </w:tc>
        <w:tc>
          <w:tcPr>
            <w:tcW w:w="1000" w:type="dxa"/>
            <w:vAlign w:val="bottom"/>
            <w:gridSpan w:val="2"/>
          </w:tcPr>
          <w:p>
            <w:pPr>
              <w:jc w:val="right"/>
              <w:ind w:right="52"/>
              <w:spacing w:after="0"/>
              <w:rPr>
                <w:sz w:val="20"/>
                <w:szCs w:val="20"/>
                <w:color w:val="auto"/>
              </w:rPr>
            </w:pPr>
            <w:r>
              <w:rPr>
                <w:rFonts w:ascii="Arial" w:cs="Arial" w:eastAsia="Arial" w:hAnsi="Arial"/>
                <w:sz w:val="18"/>
                <w:szCs w:val="18"/>
                <w:color w:val="auto"/>
              </w:rPr>
              <w:t>(0.2)%</w:t>
            </w:r>
          </w:p>
        </w:tc>
        <w:tc>
          <w:tcPr>
            <w:tcW w:w="820" w:type="dxa"/>
            <w:vAlign w:val="bottom"/>
          </w:tcPr>
          <w:p>
            <w:pPr>
              <w:spacing w:after="0"/>
              <w:rPr>
                <w:sz w:val="19"/>
                <w:szCs w:val="19"/>
                <w:color w:val="auto"/>
              </w:rPr>
            </w:pPr>
          </w:p>
        </w:tc>
        <w:tc>
          <w:tcPr>
            <w:tcW w:w="1100" w:type="dxa"/>
            <w:vAlign w:val="bottom"/>
            <w:gridSpan w:val="2"/>
          </w:tcPr>
          <w:p>
            <w:pPr>
              <w:jc w:val="right"/>
              <w:ind w:right="52"/>
              <w:spacing w:after="0"/>
              <w:rPr>
                <w:sz w:val="20"/>
                <w:szCs w:val="20"/>
                <w:color w:val="auto"/>
              </w:rPr>
            </w:pPr>
            <w:r>
              <w:rPr>
                <w:rFonts w:ascii="Arial" w:cs="Arial" w:eastAsia="Arial" w:hAnsi="Arial"/>
                <w:sz w:val="18"/>
                <w:szCs w:val="18"/>
                <w:color w:val="auto"/>
              </w:rPr>
              <w:t>(0.7)%</w:t>
            </w:r>
          </w:p>
        </w:tc>
        <w:tc>
          <w:tcPr>
            <w:tcW w:w="980" w:type="dxa"/>
            <w:vAlign w:val="bottom"/>
            <w:gridSpan w:val="2"/>
          </w:tcPr>
          <w:p>
            <w:pPr>
              <w:jc w:val="right"/>
              <w:ind w:right="120"/>
              <w:spacing w:after="0"/>
              <w:rPr>
                <w:sz w:val="20"/>
                <w:szCs w:val="20"/>
                <w:color w:val="auto"/>
              </w:rPr>
            </w:pPr>
            <w:r>
              <w:rPr>
                <w:rFonts w:ascii="Arial" w:cs="Arial" w:eastAsia="Arial" w:hAnsi="Arial"/>
                <w:sz w:val="18"/>
                <w:szCs w:val="18"/>
                <w:color w:val="auto"/>
              </w:rPr>
              <w:t>(0.6)%</w:t>
            </w: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an income tax benefit in the three and six months ended August 2, 2014 and our effective tax rate benefit was 4.6% and 4.7% respectively. The income tax benefit for the three months ended August 2, 2014 included the current income tax liability of $4.9 million, which was more than offset by tax benefits of $7.3 million from a net reduction in unrecognized tax benefits and $3.7 million from an increase in the net deferred tax assets because of a tax rate change in Singapore. We finalized our agreement with the Singapore Economic Development Board for the remaining portion of pre-tax income subject to the Development and Expansion Incentive, which was extended through June 2019. The net reduction in unrecognized tax benefits primarily arose from the release of the expiration of statutes of limitation in non-U.S. jurisdictions. The income tax benefit for the six months ended August 2, 2014 included the current income tax liability of $10.6 million which was offset by a net reduction in unrecognized tax benefits of $9.8 million and $11.5 million from an increase in the net deferred tax assets because of the tax rate change in Singapore. The net reduction in unrecognized tax benefits arose from the release of $13.2 million due to the expiration of statutes of limitation, which was reduced by a $3.4 million increase in current unrecognized tax benefit estimates in various non-U.S. jurisdictions.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income tax benefit for the three months ended August 3, 2013 included the current income tax liability of $5.2 million, which was offset by a net reduction in unrecognized tax benefits of $6.8 million in the three months ended August 3, 2013. The net reduction in unrecognized tax benefits primarily arose from the expiration of statutes of limitation. The income tax benefit for the six months ended August 3, 2013 included the current income tax liability of $7.0 million plus $0.7 million in settlements of audits in non-U.S. jurisdictions, which were offset by a net reduction in unrecognized tax benefits of $16.5 million. The net reduction in unrecognized tax benefits primarily arose from the expiration of statutes of limitation in non-U.S. jurisdictions and from the settlement of two audits in non-U.S. jurisdictions (one for $3.5 million and the other for $4.1 million), less an increase in current unrecognized tax estimates.</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$17 million from the lapse of statutes of limitation in various jurisdictions during the next 12 months. Government tax authorities from several non-U.S. jurisdictions are also examining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We operate under tax incentives in certain countries, which may be extended if certain additional requirements are satisfied. The tax incentives are conditional upon meeting certain employment and investment thresholds. The impact of these tax incentives decreased foreign taxes by $7.1 million and $10.4 million for the three and six months ended August 2, 2014, respectively, and $7.1 million and $9.2 million for the three and six months ended August 3, 2013, respectively. The benefit of the tax incentives on net income per share was $0.01 per share for the three months ended August 2, 2014 and $0.02 per share for the six months ended August 2, 2014, compared to less than $0.01 per share for the three months ended August 3, 2013 and $0.02 per share for the six months ended August 3, 2013.</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Our principal source of liquidity as of August 2, 2014 consisted of approximately $2.3 billion of cash, cash equivalents and short-term investments, of which approximately $850 million was held by foreign subsidiaries (outside Bermuda). Approximately $500 million of this amount held by foreign subsidiaries is related to undistributed earnings, which have been indefinitely reinvested outside of Bermuda. These funds are primarily held in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interest, post-judgment interest, attorneys’ fees, and an injunction and/or ongoing royalties.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through August 2, 2014 could be as much as $300 million. If we are required to further secure all or some additional portion of ongoing royalties, we may be required to post cash or other Company assets as collateral. On May 7, 2014, the District Court entered final judgment and on May 14, 2014 we filed a notice of appeal and posted a bond to stay execution of judgment pending the appeal. We filed our opening appeal brief on August 4, 2014.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129"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On August 21, 2014, the Company announced that its board of directors declared a cash dividend of $0.06 per share to be paid on October 2, 2014 to shareholders of record as of September 11, 2014.</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Net cash provided by operating activities was $392.1 million for the six months ended August 2, 2014. The cash inflows from operations for the six months ended August 2, 2014 were due to $361.4 million of net income adjusted for non-cash items and a positive effect from changes in working capital of $30.7 million. The cash inflow from working capital for the six months ended August 2, 2014 was primarily driven by an increase in accounts payable due to higher production activity, accrued employee compensation from higher variable compensation and deferred income due to higher inventory levels at distributors. This positive impact on working capital was partially offset by an increase in accounts receivable from higher revenue levels and inventory due to higher demand.</w:t>
      </w:r>
    </w:p>
    <w:p>
      <w:pPr>
        <w:spacing w:after="0" w:line="11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Net cash provided by operating activities was $170.4 million for the six months ended August 3, 2013. The cash inflows from operations for the six months ended August 3, 2013 were primarily due to $266.0 million of net income adjusted for non-cash items, offset by working capital changes of $95.6 million.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Net cash used in investing activities was $5.2 million for the six months ended August 2, 2014 compared to net cash used in investing activities of $22.8 million for the six months ended August 3, 2013. For the six months ended August 2, 2014, net cash used in investing activities was primarily due to payment of $32.0 million for the purchase of property and equipment, and $9.4 million for the purchase of technology licenses. These payments were offset by cash inflows of a net $36.6 million of sales and maturities of available for sales securities less purchases of available-for-sale securities.</w:t>
      </w:r>
    </w:p>
    <w:p>
      <w:pPr>
        <w:spacing w:after="0" w:line="11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Net cash used in investing activities for the six months ended August 3, 2013 was primarily due to the payment of $39.1 million for the purchase of property and equipment, and $7.6 million for the purchase of technology licenses. These payments were offset by the cash inflows of a net $27.2 million from the sales and maturities of available-for-sale securities less purchases of available-for-sale securities.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Net cash used in financing activities was $20.1 million for the six months ended August 2, 2014 compared to net cash used in financing activities of $307.9 million for the six months ended August 3, 2013. For the six months ended August 2, 2014, net cash used in financing activities was primarily attributable to payments of our quarterly dividends of $61.0 million. The cash outflow was partially offset by net proceeds of $43.5 million from the issuance of our common shares under our share-based plans less the payment for minimum tax withholding on behalf of employees for net share settlements.</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Net cash used in financing activities for the six months ended August 3, 2013 was primarily attributable to repurchases under our share repurchase program. Adjusted for repurchases made in the final three days of the quarter that were accrued but not yet paid due to the standard three-days settlement period, we paid $304.8 million to repurchase shares during the six months ended August 3, 2013. We also made payments of our quarterly dividends of $60.0 million. The cash outflow was partially offset by net proceeds of $63.2 million from the issuance of our common shares under our share-based plans less the minimum tax withholding on behalf of employees for net share settlements.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 See also “Note 10 – Commitments and Contingencies” in the Notes to Unaudited Condensed Consolidated Financial Statements for a further discussion of this matter.</w:t>
      </w:r>
    </w:p>
    <w:p>
      <w:pPr>
        <w:spacing w:after="0" w:line="12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Court has required us to report ongoing royalties under the current judgment. Based on the royalty rate assessed by the District Court, such additional royalties through August 2, 2014 could be as much as $300 million. It is unknown at this time whether we will be required to secure all or a portion of the ongoing royalties. If we are required to secure all or some portion of the ongoing royalties, we may be required to post cash or other Company assets as collateral.</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August 2, 2014, we were not involved in any unconsolidated SPE transactions.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presented our contractual obligations at February 1, 2014 in our Annual Report on Form 10-K for the fiscal year then ended. There have been no material changes outside the ordinary course of business in those obligations during the three months ended August 2, 2014,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Unaudited Condensed Consolidated Financial Statements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August 2, 2014.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August 2, 2014, a hypothetical 100 basis point increase in interest rates across all maturities would result in a $13.5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As of August 2, 2014, our investment portfolio included $16.2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August 2, 2014, the fair value of auction rate securities in our investment portfolio was $2.7 million less than par value and the fair value was recorded in long-term investments.</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Based on our balance of approximately $2.3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$9.0 million at August 2, 2014, and was included in other non-current assets in our balance sheets. We monitor these investments for impairment and make appropriate reductions in carrying value when an impairment is deemed to be other-than-temporary.</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operations in Israel and China represent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and forecasted Chinese yuan expense.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2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4.1%.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August 2, 2014,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August 2, 2014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Securities and Exchange Commission (“SEC”), including our Annual Report on Form 10-K for the year ended February 1, 2014 and subsequent reports on Forms 10-Q and 8-K. Many of these risks and uncertainties are beyond our control, including business cycles and seasonal trends of the computing, semiconductor and related industries.</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particularly in certain regions in which we operate or own buildings, such as Santa Clara;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August 2, 2014, our common shares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LTE market.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6"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Broadcom Corporation acquired NetLogic Microsystems in February 2011, Qualcomm Inc. acquired Atheros Communications Inc. in May 2011,Texas Instruments Incorporated acquired National Semiconductor in September 2011 and Avago Technologies Limited (“Avago”) acquired LSI Corporation (“LSI”) in May 2014.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appeal of the district court judgment, we could be liable for substantial damages.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Marvel Semiconductor, Inc. and us as defendants, and alleging patent infringement. CMU has asserted U.S. Patent Nos. 6,201,839 and 6,438,180 (collectively,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“CMU patents in suit”), which relate to read-channel integrated circuit devices and the hard disk drive (“HDD”) products incorporating such devices. A jury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trial began on November 26, 2012. On December 26, 2012, a jury delivered a verdict that found the CMU patents in suit were literally and willfully infringed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valid, and awarded past damages in the amount of $1.17 billion. CMU sought in its post-trial motions enhanced damages up to three times the jury verdict, pre-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judgment interest up to $322 million, post-judgment interest, supplemental damages, attorneys’ fees, and an injunction and/or ongoing royalties. Post-trial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motions were heard on May 1 and 2, 2013. On June 26, 2013, the District Court denied CMU’s post-trial motion for attorney fees without prejudice.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August 23, 2013, the District Court denied our motion for mistrial. On September 23, 2013, the District Court denied our motion for judgment as a matter of law</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or a new trial on non-infringement, invalidity and other non-damages issues as well as our motion for reduced damages. On the same day, the District Court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granted-in-part CMU’s motion for a finding of willful infringement and enhanced damages, reserving its further rulings on any enhancement of the verdict for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separate opinion. On January 14, 2014, the District Court denied our post-trial motion on laches. On March 31, 2014, the District Court rejected CMU’s motion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an injunction. The District Court also denied CMU’s request for pre-judgment interest, and substantially scaled back CMU’s request for enhanced damages.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Based on these decisions, the Court calculated the damages including enhancement to total approximately $1.54 billion, and held that, under its decision, CMU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entitled to post judgment interest and an ongoing royalty. On May 7, 2014, the District Court entered final judgment, from which we filed a notice of appeal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May 14, 2014. We filed our opening appeal brief on August 4, 2014. We believe that there are strong grounds for appeal and we are currently pursuing an appeal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to the U.S. Court of Appeals for the Federal Circuit in Washington, D.C., but there is no guarantee that we will be successful on appeal. Please see “Note 10 –</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Commitments and Contingencies” of our Notes to Unaudited Condensed Consolidated Financial Statements set forth in Part I, Item 1 of this Quarterly Report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Form 10-Q for a more detailed description of a number of litigation matters we are currently engaged in. If we are required to pay most or all of the damages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calculated by the District Court after all appeals have been exhausted, this could have a material adverse effect on our business, financial condition, results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operations and cash flows.</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through August 2, 2014 could be as much as $300 million. If we are required to further secure all or some additional portion of ongoing royalties, we may be required to post cash or other Company assets as collateral.</w:t>
      </w:r>
    </w:p>
    <w:p>
      <w:pPr>
        <w:spacing w:after="0" w:line="221"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Technology plc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 state drives (“SSDs”)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in our litigation with CMU, the District Court has calculated damages payable by Marvell including enhancement to total approximately $1.54 billion, and held that CMU is entitled to post judgment interest and an ongoing royalty. See “We are currently involved in a patent litigation action involving Carnegie Mellon University, and, if we do not prevail on appeal of the district court judgment, we could be liable for substantial damages.”</w:t>
      </w:r>
    </w:p>
    <w:p>
      <w:pPr>
        <w:spacing w:after="0" w:line="120"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2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9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30% and 38% of our net revenue for the six months ended August 2, 2014 and August 3, 2013,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right="76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may develop their own solutions or acquire fully developed solutions from third-parties (for example, in May 2014, Seagate announced that it would acquire the LSI SSD business from Avago);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Substantially all of our products are manufactured by third-party foundries located in Taiwan. Our other sources for manufacturing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for example,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earthquakes, tsunamis or typhoons, or by political, social or economic instability.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08"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2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06" w:lineRule="auto"/>
        <w:rPr>
          <w:sz w:val="20"/>
          <w:szCs w:val="20"/>
          <w:color w:val="auto"/>
        </w:rPr>
      </w:pPr>
      <w:r>
        <w:rPr>
          <w:rFonts w:ascii="Arial" w:cs="Arial" w:eastAsia="Arial" w:hAnsi="Arial"/>
          <w:sz w:val="16"/>
          <w:szCs w:val="16"/>
          <w:color w:val="auto"/>
        </w:rPr>
        <w:t>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0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had approximately $2.0 billion of goodwill and $38.1 million of acquired intangible assets, net on our balance sheet as of August 2, 2014.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w:t>
      </w:r>
    </w:p>
    <w:p>
      <w:pPr>
        <w:spacing w:after="0" w:line="118"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96% of our net revenue in the six months ended August 2, 2014, 95% of our net revenue in fiscal 2014 and 90% of our net revenue in fiscal 2013.</w:t>
      </w:r>
    </w:p>
    <w:p>
      <w:pPr>
        <w:spacing w:after="0" w:line="11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6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4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have experienced, from time to time, hardware and software defects and bugs associated with the introduction of our highly complex products. Despite our testing procedures, we cannot assure you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332" w:lineRule="auto"/>
        <w:rPr>
          <w:sz w:val="20"/>
          <w:szCs w:val="20"/>
          <w:color w:val="auto"/>
        </w:rPr>
      </w:pPr>
      <w:r>
        <w:rPr>
          <w:rFonts w:ascii="Arial" w:cs="Arial" w:eastAsia="Arial" w:hAnsi="Arial"/>
          <w:sz w:val="16"/>
          <w:szCs w:val="16"/>
          <w:color w:val="auto"/>
        </w:rPr>
        <w:t>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June 2014 and continues to receive the Development and Expansion Incentive through June 2019. Furthermore, under the Israeli Encouragement law of “approved or benefited enterprise,” two branches of Marvell Israel (M.I.S.L.) Ltd. are entitled to, and have certain existing programs that qualify as, approved and benefited tax programs that include reduced tax rates and exemption of certain income through fiscal 2027. Our subsidiary in Switzerland also has tax incentives on revenues from research and design and wafer supply trading activities that expire in 2016. If any of our tax agreements in any of these foreign jurisdictions were terminated, our results of our operations and profitability would be harmed.</w:t>
      </w:r>
    </w:p>
    <w:p>
      <w:pPr>
        <w:spacing w:after="0" w:line="201"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201"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68" w:lineRule="auto"/>
        <w:rPr>
          <w:sz w:val="20"/>
          <w:szCs w:val="20"/>
          <w:color w:val="auto"/>
        </w:rPr>
      </w:pPr>
      <w:r>
        <w:rPr>
          <w:rFonts w:ascii="Arial" w:cs="Arial" w:eastAsia="Arial" w:hAnsi="Arial"/>
          <w:sz w:val="18"/>
          <w:szCs w:val="18"/>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10 – Commitments and Contingencies” of our Notes to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Furthermore,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40"/>
        <w:spacing w:after="0" w:line="332" w:lineRule="auto"/>
        <w:rPr>
          <w:sz w:val="20"/>
          <w:szCs w:val="20"/>
          <w:color w:val="auto"/>
        </w:rPr>
      </w:pPr>
      <w:r>
        <w:rPr>
          <w:rFonts w:ascii="Arial" w:cs="Arial" w:eastAsia="Arial" w:hAnsi="Arial"/>
          <w:sz w:val="16"/>
          <w:szCs w:val="16"/>
          <w:color w:val="auto"/>
        </w:rPr>
        <w:t>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6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There is also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28"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jc w:val="both"/>
        <w:ind w:right="120" w:firstLine="456"/>
        <w:spacing w:after="0" w:line="256" w:lineRule="auto"/>
        <w:rPr>
          <w:sz w:val="20"/>
          <w:szCs w:val="20"/>
          <w:color w:val="auto"/>
        </w:rPr>
      </w:pPr>
      <w:r>
        <w:rPr>
          <w:rFonts w:ascii="Arial" w:cs="Arial" w:eastAsia="Arial" w:hAnsi="Arial"/>
          <w:sz w:val="18"/>
          <w:szCs w:val="18"/>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99"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b w:val="1"/>
          <w:bCs w:val="1"/>
          <w:i w:val="1"/>
          <w:iCs w:val="1"/>
          <w:color w:val="auto"/>
        </w:rPr>
        <w:t>Two of our officers own a large percentage of our voting stock and, together with another significant shareholder, are related by blood or marriage. These factors may allow the officers and directors as a group or the related individuals to influence the election of directors and the approval or disapproval of significant corporate actions.</w:t>
      </w:r>
    </w:p>
    <w:p>
      <w:pPr>
        <w:spacing w:after="0" w:line="59"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along with a shareholder that is related to Dr. Sutardja, held approximately 20% of our outstanding common shares as of March 1, 2014.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 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23"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believes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459" w:right="2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420" w:hanging="325"/>
        <w:spacing w:after="0" w:line="332" w:lineRule="auto"/>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49</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August 2, 2014.</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common shares repurchased during the three months ended August 2, 2014.</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to be used to repurchase our common shares under the share repurchase program for a total available under the program of $3.0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80"/>
          </w:cols>
          <w:pgMar w:left="240" w:top="459" w:right="4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September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hanging="212"/>
        <w:spacing w:after="0" w:line="306"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0760"/>
          </w:cols>
          <w:pgMar w:left="240" w:top="459" w:right="899" w:bottom="1440" w:gutter="0" w:footer="0" w:header="0"/>
        </w:sectPr>
      </w:pPr>
    </w:p>
    <w:bookmarkStart w:id="53" w:name="page54"/>
    <w:bookmarkEnd w:id="53"/>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1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September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131" w:lineRule="exact"/>
        <w:rPr>
          <w:sz w:val="20"/>
          <w:szCs w:val="20"/>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September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780" w:hanging="446"/>
        <w:spacing w:after="0" w:line="277"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2,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September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Michael Rashkin, the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780" w:hanging="446"/>
        <w:spacing w:after="0" w:line="277"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2,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September 4,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
      <w:numFmt w:val="bullet"/>
      <w:start w:val="1"/>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
      <w:numFmt w:val="bullet"/>
      <w:start w:val="1"/>
    </w:lvl>
  </w:abstractNum>
  <w:abstractNum w:abstractNumId="4">
    <w:nsid w:val="66EF438D"/>
    <w:multiLevelType w:val="hybridMultilevel"/>
    <w:lvl w:ilvl="0">
      <w:lvlJc w:val="left"/>
      <w:lvlText w:val="•"/>
      <w:numFmt w:val="bullet"/>
      <w:start w:val="1"/>
    </w:lvl>
  </w:abstractNum>
  <w:abstractNum w:abstractNumId="5">
    <w:nsid w:val="140E0F76"/>
    <w:multiLevelType w:val="hybridMultilevel"/>
    <w:lvl w:ilvl="0">
      <w:lvlJc w:val="left"/>
      <w:lvlText w:val="•"/>
      <w:numFmt w:val="bullet"/>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
      <w:numFmt w:val="bullet"/>
      <w:start w:val="1"/>
    </w:lvl>
  </w:abstractNum>
  <w:abstractNum w:abstractNumId="11">
    <w:nsid w:val="41A7C4C9"/>
    <w:multiLevelType w:val="hybridMultilevel"/>
    <w:lvl w:ilvl="0">
      <w:lvlJc w:val="left"/>
      <w:lvlText w:val="•"/>
      <w:numFmt w:val="bullet"/>
      <w:start w:val="1"/>
    </w:lvl>
  </w:abstractNum>
  <w:abstractNum w:abstractNumId="12">
    <w:nsid w:val="6B68079A"/>
    <w:multiLevelType w:val="hybridMultilevel"/>
    <w:lvl w:ilvl="0">
      <w:lvlJc w:val="left"/>
      <w:lvlText w:val="•"/>
      <w:numFmt w:val="bullet"/>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1."/>
      <w:numFmt w:val="decimal"/>
      <w:start w:val="1"/>
    </w:lvl>
    <w:lvl w:ilvl="1">
      <w:lvlJc w:val="left"/>
      <w:lvlText w:val="%2)"/>
      <w:numFmt w:val="lowerLetter"/>
      <w:start w:val="1"/>
    </w:lvl>
  </w:abstractNum>
  <w:abstractNum w:abstractNumId="16">
    <w:nsid w:val="431BD7B7"/>
    <w:multiLevelType w:val="hybridMultilevel"/>
    <w:lvl w:ilvl="0">
      <w:lvlJc w:val="left"/>
      <w:lvlText w:val="%1."/>
      <w:numFmt w:val="decimal"/>
      <w:start w:val="1"/>
    </w:lvl>
    <w:lvl w:ilvl="1">
      <w:lvlJc w:val="left"/>
      <w:lvlText w:val="%2)"/>
      <w:numFmt w:val="lowerLetter"/>
      <w:start w:val="1"/>
    </w:lvl>
  </w:abstractNum>
  <w:abstractNum w:abstractNumId="17">
    <w:nsid w:val="3F2DBA31"/>
    <w:multiLevelType w:val="hybridMultilevel"/>
    <w:lvl w:ilvl="0">
      <w:lvlJc w:val="left"/>
      <w:lvlText w:val="(%1)"/>
      <w:numFmt w:val="lowerRoman"/>
      <w:start w:val="1"/>
    </w:lvl>
  </w:abstractNum>
  <w:abstractNum w:abstractNumId="18">
    <w:nsid w:val="7C83E45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2019-12-06T19:01:56Z</dcterms:created>
  <dcterms:modified xsi:type="dcterms:W3CDTF">2019-12-06T19:01:56Z</dcterms:modified>
</cp:coreProperties>
</file>