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July 28, 2014</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333-129834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57150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0"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POST-EFFECTIVE AMENDMENT NO. 1</w:t>
      </w:r>
    </w:p>
    <w:p>
      <w:pPr>
        <w:spacing w:after="0" w:line="2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TO</w:t>
      </w:r>
    </w:p>
    <w:p>
      <w:pPr>
        <w:jc w:val="center"/>
        <w:spacing w:after="0" w:line="237" w:lineRule="auto"/>
        <w:rPr>
          <w:sz w:val="20"/>
          <w:szCs w:val="20"/>
          <w:color w:val="auto"/>
        </w:rPr>
      </w:pPr>
      <w:r>
        <w:rPr>
          <w:rFonts w:ascii="Arial" w:cs="Arial" w:eastAsia="Arial" w:hAnsi="Arial"/>
          <w:sz w:val="32"/>
          <w:szCs w:val="32"/>
          <w:b w:val="1"/>
          <w:bCs w:val="1"/>
          <w:color w:val="auto"/>
        </w:rPr>
        <w:t>FORM S-3</w:t>
      </w:r>
    </w:p>
    <w:p>
      <w:pPr>
        <w:jc w:val="center"/>
        <w:spacing w:after="0"/>
        <w:rPr>
          <w:sz w:val="20"/>
          <w:szCs w:val="20"/>
          <w:color w:val="auto"/>
        </w:rPr>
      </w:pPr>
      <w:r>
        <w:rPr>
          <w:rFonts w:ascii="Arial" w:cs="Arial" w:eastAsia="Arial" w:hAnsi="Arial"/>
          <w:sz w:val="32"/>
          <w:szCs w:val="32"/>
          <w:b w:val="1"/>
          <w:bCs w:val="1"/>
          <w:color w:val="auto"/>
        </w:rPr>
        <w:t>REGISTRATION STATEMENT</w:t>
      </w:r>
    </w:p>
    <w:p>
      <w:pPr>
        <w:jc w:val="center"/>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960" w:type="dxa"/>
        <w:tblCellMar>
          <w:top w:w="0" w:type="dxa"/>
          <w:left w:w="0" w:type="dxa"/>
          <w:bottom w:w="0" w:type="dxa"/>
          <w:right w:w="0" w:type="dxa"/>
        </w:tblCellMar>
      </w:tblPr>
      <w:tr>
        <w:trPr>
          <w:trHeight w:val="212"/>
        </w:trPr>
        <w:tc>
          <w:tcPr>
            <w:tcW w:w="4000" w:type="dxa"/>
            <w:vAlign w:val="bottom"/>
          </w:tcPr>
          <w:p>
            <w:pPr>
              <w:jc w:val="center"/>
              <w:ind w:right="2042"/>
              <w:spacing w:after="0"/>
              <w:rPr>
                <w:sz w:val="20"/>
                <w:szCs w:val="20"/>
                <w:color w:val="auto"/>
              </w:rPr>
            </w:pPr>
            <w:r>
              <w:rPr>
                <w:rFonts w:ascii="Arial" w:cs="Arial" w:eastAsia="Arial" w:hAnsi="Arial"/>
                <w:sz w:val="18"/>
                <w:szCs w:val="18"/>
                <w:b w:val="1"/>
                <w:bCs w:val="1"/>
                <w:color w:val="auto"/>
                <w:w w:val="92"/>
              </w:rPr>
              <w:t>Bermuda</w:t>
            </w:r>
          </w:p>
        </w:tc>
        <w:tc>
          <w:tcPr>
            <w:tcW w:w="3260" w:type="dxa"/>
            <w:vAlign w:val="bottom"/>
          </w:tcPr>
          <w:p>
            <w:pPr>
              <w:jc w:val="center"/>
              <w:ind w:left="2042"/>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4000" w:type="dxa"/>
            <w:vAlign w:val="bottom"/>
          </w:tcPr>
          <w:p>
            <w:pPr>
              <w:jc w:val="center"/>
              <w:ind w:right="2042"/>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260" w:type="dxa"/>
            <w:vAlign w:val="bottom"/>
          </w:tcPr>
          <w:p>
            <w:pPr>
              <w:jc w:val="center"/>
              <w:ind w:left="206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4000" w:type="dxa"/>
            <w:vAlign w:val="bottom"/>
          </w:tcPr>
          <w:p>
            <w:pPr>
              <w:jc w:val="center"/>
              <w:ind w:right="2042"/>
              <w:spacing w:after="0"/>
              <w:rPr>
                <w:sz w:val="20"/>
                <w:szCs w:val="20"/>
                <w:color w:val="auto"/>
              </w:rPr>
            </w:pPr>
            <w:r>
              <w:rPr>
                <w:rFonts w:ascii="Arial" w:cs="Arial" w:eastAsia="Arial" w:hAnsi="Arial"/>
                <w:sz w:val="14"/>
                <w:szCs w:val="14"/>
                <w:b w:val="1"/>
                <w:bCs w:val="1"/>
                <w:color w:val="auto"/>
                <w:w w:val="94"/>
              </w:rPr>
              <w:t>incorporation or organization)</w:t>
            </w:r>
          </w:p>
        </w:tc>
        <w:tc>
          <w:tcPr>
            <w:tcW w:w="3260" w:type="dxa"/>
            <w:vAlign w:val="bottom"/>
          </w:tcPr>
          <w:p>
            <w:pPr>
              <w:jc w:val="center"/>
              <w:ind w:left="2042"/>
              <w:spacing w:after="0"/>
              <w:rPr>
                <w:sz w:val="20"/>
                <w:szCs w:val="20"/>
                <w:color w:val="auto"/>
              </w:rPr>
            </w:pPr>
            <w:r>
              <w:rPr>
                <w:rFonts w:ascii="Arial" w:cs="Arial" w:eastAsia="Arial" w:hAnsi="Arial"/>
                <w:sz w:val="14"/>
                <w:szCs w:val="14"/>
                <w:b w:val="1"/>
                <w:bCs w:val="1"/>
                <w:color w:val="auto"/>
                <w:w w:val="96"/>
              </w:rPr>
              <w:t>Identification No.)</w:t>
            </w:r>
          </w:p>
        </w:tc>
      </w:tr>
    </w:tbl>
    <w:p>
      <w:pPr>
        <w:spacing w:after="0" w:line="19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Tom Savage</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Vice President, Global Legal Affairs and Governmental Policy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7"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 xml:space="preserve">Approximate date of commencement of proposed sale to the public: </w:t>
      </w:r>
      <w:r>
        <w:rPr>
          <w:rFonts w:ascii="Arial" w:cs="Arial" w:eastAsia="Arial" w:hAnsi="Arial"/>
          <w:sz w:val="18"/>
          <w:szCs w:val="18"/>
          <w:color w:val="auto"/>
        </w:rPr>
        <w:t>Not applicable.</w:t>
      </w:r>
    </w:p>
    <w:p>
      <w:pPr>
        <w:spacing w:after="0" w:line="229" w:lineRule="exact"/>
        <w:rPr>
          <w:sz w:val="24"/>
          <w:szCs w:val="24"/>
          <w:color w:val="auto"/>
        </w:rPr>
      </w:pPr>
    </w:p>
    <w:p>
      <w:pPr>
        <w:ind w:right="340" w:firstLine="456"/>
        <w:spacing w:after="0" w:line="233" w:lineRule="exact"/>
        <w:rPr>
          <w:sz w:val="20"/>
          <w:szCs w:val="20"/>
          <w:color w:val="auto"/>
        </w:rPr>
      </w:pPr>
      <w:r>
        <w:rPr>
          <w:rFonts w:ascii="Arial" w:cs="Arial" w:eastAsia="Arial" w:hAnsi="Arial"/>
          <w:sz w:val="18"/>
          <w:szCs w:val="18"/>
          <w:color w:val="auto"/>
        </w:rPr>
        <w:t xml:space="preserve">If the only securities being registered on this Form are being offered pursuant to dividend or interest reinvestment plans, please check the following box. </w:t>
      </w:r>
      <w:r>
        <w:rPr>
          <w:rFonts w:ascii="MS PGothic" w:cs="MS PGothic" w:eastAsia="MS PGothic" w:hAnsi="MS PGothic"/>
          <w:sz w:val="18"/>
          <w:szCs w:val="18"/>
          <w:color w:val="auto"/>
        </w:rPr>
        <w:t>☐</w:t>
      </w:r>
    </w:p>
    <w:p>
      <w:pPr>
        <w:spacing w:after="0" w:line="183" w:lineRule="exact"/>
        <w:rPr>
          <w:sz w:val="24"/>
          <w:szCs w:val="24"/>
          <w:color w:val="auto"/>
        </w:rPr>
      </w:pPr>
    </w:p>
    <w:p>
      <w:pPr>
        <w:ind w:right="40" w:firstLine="456"/>
        <w:spacing w:after="0" w:line="233" w:lineRule="exact"/>
        <w:rPr>
          <w:sz w:val="20"/>
          <w:szCs w:val="20"/>
          <w:color w:val="auto"/>
        </w:rPr>
      </w:pPr>
      <w:r>
        <w:rPr>
          <w:rFonts w:ascii="Arial" w:cs="Arial" w:eastAsia="Arial" w:hAnsi="Arial"/>
          <w:sz w:val="18"/>
          <w:szCs w:val="18"/>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8"/>
          <w:szCs w:val="18"/>
          <w:color w:val="auto"/>
        </w:rPr>
        <w:t>☐</w:t>
      </w:r>
    </w:p>
    <w:p>
      <w:pPr>
        <w:spacing w:after="0" w:line="183" w:lineRule="exact"/>
        <w:rPr>
          <w:sz w:val="24"/>
          <w:szCs w:val="24"/>
          <w:color w:val="auto"/>
        </w:rPr>
      </w:pPr>
    </w:p>
    <w:p>
      <w:pPr>
        <w:ind w:right="40" w:firstLine="456"/>
        <w:spacing w:after="0" w:line="233" w:lineRule="exact"/>
        <w:rPr>
          <w:sz w:val="20"/>
          <w:szCs w:val="20"/>
          <w:color w:val="auto"/>
        </w:rPr>
      </w:pPr>
      <w:r>
        <w:rPr>
          <w:rFonts w:ascii="Arial" w:cs="Arial" w:eastAsia="Arial" w:hAnsi="Arial"/>
          <w:sz w:val="18"/>
          <w:szCs w:val="18"/>
          <w:color w:val="auto"/>
        </w:rPr>
        <w:t xml:space="preserve">If this Form is filed to register additional securities for an offering pursuant to Rule 462(b) under the Securities Act, please check the following box and list the Securities Act registration statement number of the earlier effective registration statement for the same offering. </w:t>
      </w:r>
      <w:r>
        <w:rPr>
          <w:rFonts w:ascii="MS PGothic" w:cs="MS PGothic" w:eastAsia="MS PGothic" w:hAnsi="MS PGothic"/>
          <w:sz w:val="18"/>
          <w:szCs w:val="18"/>
          <w:color w:val="auto"/>
        </w:rPr>
        <w:t>☐</w:t>
      </w:r>
    </w:p>
    <w:p>
      <w:pPr>
        <w:spacing w:after="0" w:line="183" w:lineRule="exact"/>
        <w:rPr>
          <w:sz w:val="24"/>
          <w:szCs w:val="24"/>
          <w:color w:val="auto"/>
        </w:rPr>
      </w:pPr>
    </w:p>
    <w:p>
      <w:pPr>
        <w:ind w:right="260" w:firstLine="456"/>
        <w:spacing w:after="0" w:line="233" w:lineRule="exact"/>
        <w:rPr>
          <w:sz w:val="20"/>
          <w:szCs w:val="20"/>
          <w:color w:val="auto"/>
        </w:rPr>
      </w:pPr>
      <w:r>
        <w:rPr>
          <w:rFonts w:ascii="Arial" w:cs="Arial" w:eastAsia="Arial" w:hAnsi="Arial"/>
          <w:sz w:val="18"/>
          <w:szCs w:val="18"/>
          <w:color w:val="auto"/>
        </w:rPr>
        <w:t xml:space="preserve">If this Form is a post-effective amendment filed pursuant to Rule 462(c) under the Securities Act, check the following box and list the Securities Act registration statement number of the earlier effective registration statement for the same offering. </w:t>
      </w:r>
      <w:r>
        <w:rPr>
          <w:rFonts w:ascii="MS PGothic" w:cs="MS PGothic" w:eastAsia="MS PGothic" w:hAnsi="MS PGothic"/>
          <w:sz w:val="18"/>
          <w:szCs w:val="18"/>
          <w:color w:val="auto"/>
        </w:rPr>
        <w:t>☐</w:t>
      </w:r>
    </w:p>
    <w:p>
      <w:pPr>
        <w:spacing w:after="0" w:line="183" w:lineRule="exact"/>
        <w:rPr>
          <w:sz w:val="24"/>
          <w:szCs w:val="24"/>
          <w:color w:val="auto"/>
        </w:rPr>
      </w:pPr>
    </w:p>
    <w:p>
      <w:pPr>
        <w:ind w:right="440" w:firstLine="456"/>
        <w:spacing w:after="0" w:line="233" w:lineRule="exact"/>
        <w:rPr>
          <w:sz w:val="20"/>
          <w:szCs w:val="20"/>
          <w:color w:val="auto"/>
        </w:rPr>
      </w:pPr>
      <w:r>
        <w:rPr>
          <w:rFonts w:ascii="Arial" w:cs="Arial" w:eastAsia="Arial" w:hAnsi="Arial"/>
          <w:sz w:val="18"/>
          <w:szCs w:val="18"/>
          <w:color w:val="auto"/>
        </w:rPr>
        <w:t xml:space="preserve">If this Form is a registration statement pursuant to General Instruction I.D. or a post-effective amendment thereto that shall become effective upon filing with the Commission pursuant to Rule 462(e) under the Securities Act, check the following box. </w:t>
      </w:r>
      <w:r>
        <w:rPr>
          <w:rFonts w:ascii="MS PGothic" w:cs="MS PGothic" w:eastAsia="MS PGothic" w:hAnsi="MS PGothic"/>
          <w:sz w:val="18"/>
          <w:szCs w:val="18"/>
          <w:color w:val="auto"/>
        </w:rPr>
        <w:t>☐</w:t>
      </w:r>
    </w:p>
    <w:p>
      <w:pPr>
        <w:spacing w:after="0" w:line="183" w:lineRule="exact"/>
        <w:rPr>
          <w:sz w:val="24"/>
          <w:szCs w:val="24"/>
          <w:color w:val="auto"/>
        </w:rPr>
      </w:pPr>
    </w:p>
    <w:p>
      <w:pPr>
        <w:ind w:right="160" w:firstLine="456"/>
        <w:spacing w:after="0" w:line="233" w:lineRule="exact"/>
        <w:rPr>
          <w:sz w:val="20"/>
          <w:szCs w:val="20"/>
          <w:color w:val="auto"/>
        </w:rPr>
      </w:pPr>
      <w:r>
        <w:rPr>
          <w:rFonts w:ascii="Arial" w:cs="Arial" w:eastAsia="Arial" w:hAnsi="Arial"/>
          <w:sz w:val="18"/>
          <w:szCs w:val="18"/>
          <w:color w:val="auto"/>
        </w:rPr>
        <w:t xml:space="preserve">If this Form is a post-effective amendment to a registration statement filed pursuant to General Instruction I.D. filed to register additional securities or additional classes of securities pursuant to Rule 413(b) under the Securities Act, check the following box. </w:t>
      </w:r>
      <w:r>
        <w:rPr>
          <w:rFonts w:ascii="MS PGothic" w:cs="MS PGothic" w:eastAsia="MS PGothic" w:hAnsi="MS PGothic"/>
          <w:sz w:val="18"/>
          <w:szCs w:val="18"/>
          <w:color w:val="auto"/>
        </w:rPr>
        <w:t>☐</w:t>
      </w:r>
    </w:p>
    <w:p>
      <w:pPr>
        <w:spacing w:after="0" w:line="183" w:lineRule="exact"/>
        <w:rPr>
          <w:sz w:val="24"/>
          <w:szCs w:val="24"/>
          <w:color w:val="auto"/>
        </w:rPr>
      </w:pPr>
    </w:p>
    <w:p>
      <w:pPr>
        <w:ind w:left="460"/>
        <w:spacing w:after="0"/>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w:t>
      </w:r>
    </w:p>
    <w:p>
      <w:pPr>
        <w:spacing w:after="0" w:line="46" w:lineRule="exact"/>
        <w:rPr>
          <w:sz w:val="24"/>
          <w:szCs w:val="24"/>
          <w:color w:val="auto"/>
        </w:rPr>
      </w:pPr>
    </w:p>
    <w:p>
      <w:pPr>
        <w:spacing w:after="0"/>
        <w:rPr>
          <w:sz w:val="20"/>
          <w:szCs w:val="20"/>
          <w:color w:val="auto"/>
        </w:rPr>
      </w:pPr>
      <w:r>
        <w:rPr>
          <w:rFonts w:ascii="Arial" w:cs="Arial" w:eastAsia="Arial" w:hAnsi="Arial"/>
          <w:sz w:val="17"/>
          <w:szCs w:val="17"/>
          <w:color w:val="auto"/>
        </w:rPr>
        <w:t>See the definitions of “large accelerated filer,” “accelerated filer” and “smaller reporting company” in Rule 12b-2 of the Exchange Act. (Check one):</w:t>
      </w:r>
    </w:p>
    <w:p>
      <w:pPr>
        <w:spacing w:after="0" w:line="217"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780" w:type="dxa"/>
            <w:vAlign w:val="bottom"/>
          </w:tcPr>
          <w:p>
            <w:pPr>
              <w:spacing w:after="0"/>
              <w:rPr>
                <w:sz w:val="20"/>
                <w:szCs w:val="20"/>
                <w:color w:val="auto"/>
              </w:rPr>
            </w:pPr>
            <w:r>
              <w:rPr>
                <w:rFonts w:ascii="Arial" w:cs="Arial" w:eastAsia="Arial" w:hAnsi="Arial"/>
                <w:sz w:val="18"/>
                <w:szCs w:val="18"/>
                <w:color w:val="auto"/>
                <w:w w:val="98"/>
              </w:rPr>
              <w:t>Large accelerated filer</w:t>
            </w:r>
          </w:p>
        </w:tc>
        <w:tc>
          <w:tcPr>
            <w:tcW w:w="5400" w:type="dxa"/>
            <w:vAlign w:val="bottom"/>
          </w:tcPr>
          <w:p>
            <w:pPr>
              <w:ind w:left="140"/>
              <w:spacing w:after="0" w:line="181" w:lineRule="exact"/>
              <w:rPr>
                <w:sz w:val="20"/>
                <w:szCs w:val="20"/>
                <w:color w:val="auto"/>
              </w:rPr>
            </w:pPr>
            <w:r>
              <w:rPr>
                <w:rFonts w:ascii="MS PGothic" w:cs="MS PGothic" w:eastAsia="MS PGothic" w:hAnsi="MS PGothic"/>
                <w:sz w:val="18"/>
                <w:szCs w:val="18"/>
                <w:color w:val="auto"/>
              </w:rPr>
              <w:t>☒</w:t>
            </w:r>
          </w:p>
        </w:tc>
        <w:tc>
          <w:tcPr>
            <w:tcW w:w="3860" w:type="dxa"/>
            <w:vAlign w:val="bottom"/>
          </w:tcPr>
          <w:p>
            <w:pPr>
              <w:ind w:left="1680"/>
              <w:spacing w:after="0"/>
              <w:rPr>
                <w:sz w:val="20"/>
                <w:szCs w:val="20"/>
                <w:color w:val="auto"/>
              </w:rPr>
            </w:pPr>
            <w:r>
              <w:rPr>
                <w:rFonts w:ascii="Arial" w:cs="Arial" w:eastAsia="Arial" w:hAnsi="Arial"/>
                <w:sz w:val="18"/>
                <w:szCs w:val="18"/>
                <w:color w:val="auto"/>
              </w:rPr>
              <w:t>Accelerated filer</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80" w:type="dxa"/>
            <w:vAlign w:val="bottom"/>
          </w:tcPr>
          <w:p>
            <w:pPr>
              <w:spacing w:after="0"/>
              <w:rPr>
                <w:sz w:val="20"/>
                <w:szCs w:val="20"/>
                <w:color w:val="auto"/>
              </w:rPr>
            </w:pPr>
            <w:r>
              <w:rPr>
                <w:rFonts w:ascii="Arial" w:cs="Arial" w:eastAsia="Arial" w:hAnsi="Arial"/>
                <w:sz w:val="18"/>
                <w:szCs w:val="18"/>
                <w:color w:val="auto"/>
              </w:rPr>
              <w:t>Non-accelerated filer</w:t>
            </w:r>
          </w:p>
        </w:tc>
        <w:tc>
          <w:tcPr>
            <w:tcW w:w="5400" w:type="dxa"/>
            <w:vAlign w:val="bottom"/>
          </w:tcPr>
          <w:p>
            <w:pPr>
              <w:ind w:left="1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3860" w:type="dxa"/>
            <w:vAlign w:val="bottom"/>
          </w:tcPr>
          <w:p>
            <w:pPr>
              <w:ind w:left="1680"/>
              <w:spacing w:after="0"/>
              <w:rPr>
                <w:sz w:val="20"/>
                <w:szCs w:val="20"/>
                <w:color w:val="auto"/>
              </w:rPr>
            </w:pPr>
            <w:r>
              <w:rPr>
                <w:rFonts w:ascii="Arial" w:cs="Arial" w:eastAsia="Arial" w:hAnsi="Arial"/>
                <w:sz w:val="18"/>
                <w:szCs w:val="18"/>
                <w:color w:val="auto"/>
              </w:rPr>
              <w:t>Smaller reporting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210"/>
        </w:trPr>
        <w:tc>
          <w:tcPr>
            <w:tcW w:w="1780" w:type="dxa"/>
            <w:vAlign w:val="bottom"/>
            <w:tcBorders>
              <w:bottom w:val="single" w:sz="8" w:color="auto"/>
            </w:tcBorders>
          </w:tcPr>
          <w:p>
            <w:pPr>
              <w:spacing w:after="0"/>
              <w:rPr>
                <w:sz w:val="18"/>
                <w:szCs w:val="18"/>
                <w:color w:val="auto"/>
              </w:rPr>
            </w:pPr>
          </w:p>
        </w:tc>
        <w:tc>
          <w:tcPr>
            <w:tcW w:w="5400" w:type="dxa"/>
            <w:vAlign w:val="bottom"/>
            <w:tcBorders>
              <w:bottom w:val="single" w:sz="8" w:color="auto"/>
            </w:tcBorders>
          </w:tcPr>
          <w:p>
            <w:pPr>
              <w:spacing w:after="0"/>
              <w:rPr>
                <w:sz w:val="18"/>
                <w:szCs w:val="18"/>
                <w:color w:val="auto"/>
              </w:rPr>
            </w:pPr>
          </w:p>
        </w:tc>
        <w:tc>
          <w:tcPr>
            <w:tcW w:w="3860" w:type="dxa"/>
            <w:vAlign w:val="bottom"/>
            <w:tcBorders>
              <w:bottom w:val="single" w:sz="8" w:color="auto"/>
            </w:tcBorders>
          </w:tcPr>
          <w:p>
            <w:pPr>
              <w:spacing w:after="0"/>
              <w:rPr>
                <w:sz w:val="18"/>
                <w:szCs w:val="18"/>
                <w:color w:val="auto"/>
              </w:rPr>
            </w:pPr>
          </w:p>
        </w:tc>
        <w:tc>
          <w:tcPr>
            <w:tcW w:w="380" w:type="dxa"/>
            <w:vAlign w:val="bottom"/>
            <w:tcBorders>
              <w:bottom w:val="single" w:sz="8" w:color="auto"/>
            </w:tcBorders>
          </w:tcPr>
          <w:p>
            <w:pPr>
              <w:spacing w:after="0"/>
              <w:rPr>
                <w:sz w:val="18"/>
                <w:szCs w:val="18"/>
                <w:color w:val="auto"/>
              </w:rPr>
            </w:pPr>
          </w:p>
        </w:tc>
      </w:tr>
      <w:tr>
        <w:trPr>
          <w:trHeight w:val="48"/>
        </w:trPr>
        <w:tc>
          <w:tcPr>
            <w:tcW w:w="1780" w:type="dxa"/>
            <w:vAlign w:val="bottom"/>
            <w:tcBorders>
              <w:bottom w:val="single" w:sz="8" w:color="auto"/>
            </w:tcBorders>
          </w:tcPr>
          <w:p>
            <w:pPr>
              <w:spacing w:after="0"/>
              <w:rPr>
                <w:sz w:val="4"/>
                <w:szCs w:val="4"/>
                <w:color w:val="auto"/>
              </w:rPr>
            </w:pPr>
          </w:p>
        </w:tc>
        <w:tc>
          <w:tcPr>
            <w:tcW w:w="5400" w:type="dxa"/>
            <w:vAlign w:val="bottom"/>
            <w:tcBorders>
              <w:bottom w:val="single" w:sz="8" w:color="auto"/>
            </w:tcBorders>
          </w:tcPr>
          <w:p>
            <w:pPr>
              <w:spacing w:after="0"/>
              <w:rPr>
                <w:sz w:val="4"/>
                <w:szCs w:val="4"/>
                <w:color w:val="auto"/>
              </w:rPr>
            </w:pPr>
          </w:p>
        </w:tc>
        <w:tc>
          <w:tcPr>
            <w:tcW w:w="3860" w:type="dxa"/>
            <w:vAlign w:val="bottom"/>
            <w:tcBorders>
              <w:bottom w:val="single" w:sz="8" w:color="auto"/>
            </w:tcBorders>
          </w:tcPr>
          <w:p>
            <w:pPr>
              <w:spacing w:after="0"/>
              <w:rPr>
                <w:sz w:val="4"/>
                <w:szCs w:val="4"/>
                <w:color w:val="auto"/>
              </w:rPr>
            </w:pPr>
          </w:p>
        </w:tc>
        <w:tc>
          <w:tcPr>
            <w:tcW w:w="380" w:type="dxa"/>
            <w:vAlign w:val="bottom"/>
            <w:tcBorders>
              <w:bottom w:val="single" w:sz="8" w:color="auto"/>
            </w:tcBorders>
          </w:tcPr>
          <w:p>
            <w:pPr>
              <w:spacing w:after="0"/>
              <w:rPr>
                <w:sz w:val="4"/>
                <w:szCs w:val="4"/>
                <w:color w:val="auto"/>
              </w:rPr>
            </w:pPr>
          </w:p>
        </w:tc>
      </w:tr>
    </w:tbl>
    <w:p>
      <w:pPr>
        <w:sectPr>
          <w:pgSz w:w="11900" w:h="16838" w:orient="portrait"/>
          <w:cols w:equalWidth="0" w:num="1">
            <w:col w:w="11420"/>
          </w:cols>
          <w:pgMar w:left="240" w:top="229" w:right="239" w:bottom="0" w:gutter="0" w:footer="0" w:header="0"/>
        </w:sectPr>
      </w:pPr>
    </w:p>
    <w:bookmarkStart w:id="1" w:name="page2"/>
    <w:bookmarkEnd w:id="1"/>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DEREGISTRATION OF UNSOLD SECURITIES</w:t>
      </w:r>
    </w:p>
    <w:p>
      <w:pPr>
        <w:spacing w:after="0" w:line="229" w:lineRule="exact"/>
        <w:rPr>
          <w:sz w:val="20"/>
          <w:szCs w:val="20"/>
          <w:color w:val="auto"/>
        </w:rPr>
      </w:pPr>
    </w:p>
    <w:p>
      <w:pPr>
        <w:ind w:right="380" w:firstLine="456"/>
        <w:spacing w:after="0" w:line="312" w:lineRule="auto"/>
        <w:rPr>
          <w:sz w:val="20"/>
          <w:szCs w:val="20"/>
          <w:color w:val="auto"/>
        </w:rPr>
      </w:pPr>
      <w:r>
        <w:rPr>
          <w:rFonts w:ascii="Arial" w:cs="Arial" w:eastAsia="Arial" w:hAnsi="Arial"/>
          <w:sz w:val="16"/>
          <w:szCs w:val="16"/>
          <w:color w:val="auto"/>
        </w:rPr>
        <w:t>This Post-Effective Amendment No. 1 to Form S-3 relates to the Registration Statement on Form S-3 (File No. 333-129834) initially filed with the Securities and Exchange Commission (the “Commission”) on November 18, 2005 (the “Registration Statement”) by Marvell Technology Group Ltd., a Bermuda corporation (the “Company”). The Registration Statement registered the sale of up to 980,499 shares of common stock of the Company.</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shares number in the preceding paragraph reflect the shares as registered and has not been adjusted for subsequent stock splits.</w:t>
      </w:r>
    </w:p>
    <w:p>
      <w:pPr>
        <w:spacing w:after="0" w:line="225" w:lineRule="exact"/>
        <w:rPr>
          <w:sz w:val="20"/>
          <w:szCs w:val="20"/>
          <w:color w:val="auto"/>
        </w:rPr>
      </w:pPr>
    </w:p>
    <w:p>
      <w:pPr>
        <w:ind w:firstLine="456"/>
        <w:spacing w:after="0" w:line="302" w:lineRule="auto"/>
        <w:rPr>
          <w:sz w:val="20"/>
          <w:szCs w:val="20"/>
          <w:color w:val="auto"/>
        </w:rPr>
      </w:pPr>
      <w:r>
        <w:rPr>
          <w:rFonts w:ascii="Arial" w:cs="Arial" w:eastAsia="Arial" w:hAnsi="Arial"/>
          <w:sz w:val="16"/>
          <w:szCs w:val="16"/>
          <w:color w:val="auto"/>
        </w:rPr>
        <w:t>Pursuant to the terms of the Registration Rights Agreement between the Company and the selling shareholder, the Company’s obligations to maintain the effectiveness of the Registration Statement under the Registration Rights Agreement has expired. As such, in accordance with undertakings made by the Company in the Registration Statement to remove from registration, by means of a post-effective amendment, any of the securities which remain unsold at the termination of the offering, the Company hereby removes from registration the securities registered but unsold under the Registration Statement.</w:t>
      </w:r>
    </w:p>
    <w:p>
      <w:pPr>
        <w:sectPr>
          <w:pgSz w:w="11900" w:h="16838" w:orient="portrait"/>
          <w:cols w:equalWidth="0" w:num="1">
            <w:col w:w="11420"/>
          </w:cols>
          <w:pgMar w:left="240" w:top="270" w:right="239" w:bottom="1440" w:gutter="0" w:footer="0" w:header="0"/>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140" w:firstLine="456"/>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S-3, and has duly caused this Post-Effective Amendment No. 1 to be signed on its behalf by the undersigned, thereunto duly authorized, in the City of Santa Clara, State of California, on July 28, 2014.</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6860" w:type="dxa"/>
        <w:tblCellMar>
          <w:top w:w="0" w:type="dxa"/>
          <w:left w:w="0" w:type="dxa"/>
          <w:bottom w:w="0" w:type="dxa"/>
          <w:right w:w="0" w:type="dxa"/>
        </w:tblCellMar>
      </w:tblPr>
      <w:tr>
        <w:trPr>
          <w:trHeight w:val="230"/>
        </w:trPr>
        <w:tc>
          <w:tcPr>
            <w:tcW w:w="280" w:type="dxa"/>
            <w:vAlign w:val="bottom"/>
          </w:tcPr>
          <w:p>
            <w:pPr>
              <w:spacing w:after="0"/>
              <w:rPr>
                <w:sz w:val="20"/>
                <w:szCs w:val="20"/>
                <w:color w:val="auto"/>
              </w:rPr>
            </w:pPr>
            <w:r>
              <w:rPr>
                <w:rFonts w:ascii="Arial" w:cs="Arial" w:eastAsia="Arial" w:hAnsi="Arial"/>
                <w:sz w:val="18"/>
                <w:szCs w:val="18"/>
                <w:color w:val="auto"/>
              </w:rPr>
              <w:t>By</w:t>
            </w:r>
          </w:p>
        </w:tc>
        <w:tc>
          <w:tcPr>
            <w:tcW w:w="42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r>
      <w:tr>
        <w:trPr>
          <w:trHeight w:val="209"/>
        </w:trPr>
        <w:tc>
          <w:tcPr>
            <w:tcW w:w="280" w:type="dxa"/>
            <w:vAlign w:val="bottom"/>
          </w:tcPr>
          <w:p>
            <w:pPr>
              <w:spacing w:after="0"/>
              <w:rPr>
                <w:sz w:val="18"/>
                <w:szCs w:val="18"/>
                <w:color w:val="auto"/>
              </w:rPr>
            </w:pPr>
          </w:p>
        </w:tc>
        <w:tc>
          <w:tcPr>
            <w:tcW w:w="428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r>
      <w:tr>
        <w:trPr>
          <w:trHeight w:val="230"/>
        </w:trPr>
        <w:tc>
          <w:tcPr>
            <w:tcW w:w="280" w:type="dxa"/>
            <w:vAlign w:val="bottom"/>
          </w:tcPr>
          <w:p>
            <w:pPr>
              <w:spacing w:after="0"/>
              <w:rPr>
                <w:sz w:val="20"/>
                <w:szCs w:val="20"/>
                <w:color w:val="auto"/>
              </w:rPr>
            </w:pPr>
          </w:p>
        </w:tc>
        <w:tc>
          <w:tcPr>
            <w:tcW w:w="4280" w:type="dxa"/>
            <w:vAlign w:val="bottom"/>
          </w:tcPr>
          <w:p>
            <w:pPr>
              <w:jc w:val="center"/>
              <w:spacing w:after="0"/>
              <w:rPr>
                <w:sz w:val="20"/>
                <w:szCs w:val="20"/>
                <w:color w:val="auto"/>
              </w:rPr>
            </w:pPr>
            <w:r>
              <w:rPr>
                <w:rFonts w:ascii="Arial" w:cs="Arial" w:eastAsia="Arial" w:hAnsi="Arial"/>
                <w:sz w:val="18"/>
                <w:szCs w:val="18"/>
                <w:color w:val="auto"/>
                <w:w w:val="93"/>
              </w:rPr>
              <w:t>Chief Executive Officer</w:t>
            </w:r>
          </w:p>
        </w:tc>
      </w:tr>
    </w:tbl>
    <w:p>
      <w:pPr>
        <w:spacing w:after="0" w:line="200" w:lineRule="exact"/>
        <w:rPr>
          <w:sz w:val="20"/>
          <w:szCs w:val="20"/>
          <w:color w:val="auto"/>
        </w:rPr>
      </w:pP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right="120" w:firstLine="456"/>
        <w:spacing w:after="0" w:line="276" w:lineRule="auto"/>
        <w:rPr>
          <w:sz w:val="20"/>
          <w:szCs w:val="20"/>
          <w:color w:val="auto"/>
        </w:rPr>
      </w:pPr>
      <w:r>
        <w:rPr>
          <w:rFonts w:ascii="Arial" w:cs="Arial" w:eastAsia="Arial" w:hAnsi="Arial"/>
          <w:sz w:val="17"/>
          <w:szCs w:val="17"/>
          <w:color w:val="auto"/>
        </w:rPr>
        <w:t>KNOW ALL PERSONS BY THESE PRESENTS, that each person whose signature appears below hereby constitutes and appoints Dr. Sehat Sutardja and Michael Rashkin and each of them, acting individually, as his attorney-in-fact, with full power of substitution, for him and in any and all capacities, to sign any and all amendments to this registration statement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73"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Pursuant to the requirements of the Securities Act of 1933, this Post-Effective Amendment No. 1 has been signed below by the following persons in the capacities and on the dates indicated.</w:t>
      </w:r>
    </w:p>
    <w:p>
      <w:pPr>
        <w:spacing w:after="0" w:line="193" w:lineRule="exact"/>
        <w:rPr>
          <w:sz w:val="20"/>
          <w:szCs w:val="20"/>
          <w:color w:val="auto"/>
        </w:rPr>
      </w:pPr>
    </w:p>
    <w:tbl>
      <w:tblPr>
        <w:tblLayout w:type="fixed"/>
        <w:tblInd w:w="0" w:type="dxa"/>
        <w:tblCellMar>
          <w:top w:w="0" w:type="dxa"/>
          <w:left w:w="0" w:type="dxa"/>
          <w:bottom w:w="0" w:type="dxa"/>
          <w:right w:w="0" w:type="dxa"/>
        </w:tblCellMar>
      </w:tblPr>
      <w:tr>
        <w:trPr>
          <w:trHeight w:val="167"/>
        </w:trPr>
        <w:tc>
          <w:tcPr>
            <w:tcW w:w="1960" w:type="dxa"/>
            <w:vAlign w:val="bottom"/>
          </w:tcPr>
          <w:p>
            <w:pPr>
              <w:spacing w:after="0"/>
              <w:rPr>
                <w:sz w:val="14"/>
                <w:szCs w:val="14"/>
                <w:color w:val="auto"/>
              </w:rPr>
            </w:pPr>
          </w:p>
        </w:tc>
        <w:tc>
          <w:tcPr>
            <w:tcW w:w="36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6"/>
              </w:rPr>
              <w:t>Name</w:t>
            </w:r>
          </w:p>
        </w:tc>
        <w:tc>
          <w:tcPr>
            <w:tcW w:w="196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28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rPr>
              <w:t>Title</w:t>
            </w:r>
          </w:p>
        </w:tc>
        <w:tc>
          <w:tcPr>
            <w:tcW w:w="22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30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87"/>
              </w:rPr>
              <w:t>Date</w:t>
            </w:r>
          </w:p>
        </w:tc>
        <w:tc>
          <w:tcPr>
            <w:tcW w:w="340" w:type="dxa"/>
            <w:vAlign w:val="bottom"/>
          </w:tcPr>
          <w:p>
            <w:pPr>
              <w:spacing w:after="0"/>
              <w:rPr>
                <w:sz w:val="14"/>
                <w:szCs w:val="14"/>
                <w:color w:val="auto"/>
              </w:rPr>
            </w:pPr>
          </w:p>
        </w:tc>
      </w:tr>
      <w:tr>
        <w:trPr>
          <w:trHeight w:val="426"/>
        </w:trPr>
        <w:tc>
          <w:tcPr>
            <w:tcW w:w="42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8"/>
              </w:rPr>
              <w:t>/s/ Dr. Sehat Sutardja</w:t>
            </w:r>
          </w:p>
        </w:tc>
        <w:tc>
          <w:tcPr>
            <w:tcW w:w="5040" w:type="dxa"/>
            <w:vAlign w:val="bottom"/>
            <w:gridSpan w:val="3"/>
          </w:tcPr>
          <w:p>
            <w:pPr>
              <w:jc w:val="center"/>
              <w:ind w:left="170"/>
              <w:spacing w:after="0"/>
              <w:rPr>
                <w:sz w:val="20"/>
                <w:szCs w:val="20"/>
                <w:color w:val="auto"/>
              </w:rPr>
            </w:pPr>
            <w:r>
              <w:rPr>
                <w:rFonts w:ascii="Arial" w:cs="Arial" w:eastAsia="Arial" w:hAnsi="Arial"/>
                <w:sz w:val="18"/>
                <w:szCs w:val="18"/>
                <w:color w:val="auto"/>
                <w:w w:val="91"/>
              </w:rPr>
              <w:t>Chairman of the Board</w:t>
            </w:r>
          </w:p>
        </w:tc>
        <w:tc>
          <w:tcPr>
            <w:tcW w:w="1720" w:type="dxa"/>
            <w:vAlign w:val="bottom"/>
            <w:gridSpan w:val="3"/>
          </w:tcPr>
          <w:p>
            <w:pPr>
              <w:jc w:val="center"/>
              <w:ind w:left="650"/>
              <w:spacing w:after="0"/>
              <w:rPr>
                <w:sz w:val="20"/>
                <w:szCs w:val="20"/>
                <w:color w:val="auto"/>
              </w:rPr>
            </w:pPr>
            <w:r>
              <w:rPr>
                <w:rFonts w:ascii="Arial" w:cs="Arial" w:eastAsia="Arial" w:hAnsi="Arial"/>
                <w:sz w:val="18"/>
                <w:szCs w:val="18"/>
                <w:color w:val="auto"/>
                <w:w w:val="91"/>
              </w:rPr>
              <w:t>July 28, 2014</w:t>
            </w:r>
          </w:p>
        </w:tc>
      </w:tr>
      <w:tr>
        <w:trPr>
          <w:trHeight w:val="182"/>
        </w:trPr>
        <w:tc>
          <w:tcPr>
            <w:tcW w:w="4280" w:type="dxa"/>
            <w:vAlign w:val="bottom"/>
            <w:gridSpan w:val="3"/>
          </w:tcPr>
          <w:p>
            <w:pPr>
              <w:jc w:val="center"/>
              <w:spacing w:after="0" w:line="182" w:lineRule="exact"/>
              <w:rPr>
                <w:sz w:val="20"/>
                <w:szCs w:val="20"/>
                <w:color w:val="auto"/>
              </w:rPr>
            </w:pPr>
            <w:r>
              <w:rPr>
                <w:rFonts w:ascii="Arial" w:cs="Arial" w:eastAsia="Arial" w:hAnsi="Arial"/>
                <w:sz w:val="18"/>
                <w:szCs w:val="18"/>
                <w:color w:val="auto"/>
                <w:w w:val="89"/>
              </w:rPr>
              <w:t>Dr. Sehat Sutardja</w:t>
            </w:r>
          </w:p>
        </w:tc>
        <w:tc>
          <w:tcPr>
            <w:tcW w:w="5040" w:type="dxa"/>
            <w:vAlign w:val="bottom"/>
            <w:gridSpan w:val="3"/>
          </w:tcPr>
          <w:p>
            <w:pPr>
              <w:jc w:val="center"/>
              <w:ind w:left="150"/>
              <w:spacing w:after="0" w:line="182" w:lineRule="exact"/>
              <w:rPr>
                <w:sz w:val="20"/>
                <w:szCs w:val="20"/>
                <w:color w:val="auto"/>
              </w:rPr>
            </w:pPr>
            <w:r>
              <w:rPr>
                <w:rFonts w:ascii="Arial" w:cs="Arial" w:eastAsia="Arial" w:hAnsi="Arial"/>
                <w:sz w:val="18"/>
                <w:szCs w:val="18"/>
                <w:color w:val="auto"/>
                <w:w w:val="93"/>
              </w:rPr>
              <w:t>and Chief Executive Officer</w:t>
            </w:r>
          </w:p>
        </w:tc>
        <w:tc>
          <w:tcPr>
            <w:tcW w:w="10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340" w:type="dxa"/>
            <w:vAlign w:val="bottom"/>
          </w:tcPr>
          <w:p>
            <w:pPr>
              <w:spacing w:after="0"/>
              <w:rPr>
                <w:sz w:val="15"/>
                <w:szCs w:val="15"/>
                <w:color w:val="auto"/>
              </w:rPr>
            </w:pPr>
          </w:p>
        </w:tc>
      </w:tr>
      <w:tr>
        <w:trPr>
          <w:trHeight w:val="230"/>
        </w:trPr>
        <w:tc>
          <w:tcPr>
            <w:tcW w:w="19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5040" w:type="dxa"/>
            <w:vAlign w:val="bottom"/>
            <w:gridSpan w:val="3"/>
          </w:tcPr>
          <w:p>
            <w:pPr>
              <w:jc w:val="center"/>
              <w:ind w:left="170"/>
              <w:spacing w:after="0"/>
              <w:rPr>
                <w:sz w:val="20"/>
                <w:szCs w:val="20"/>
                <w:color w:val="auto"/>
              </w:rPr>
            </w:pPr>
            <w:r>
              <w:rPr>
                <w:rFonts w:ascii="Arial" w:cs="Arial" w:eastAsia="Arial" w:hAnsi="Arial"/>
                <w:sz w:val="18"/>
                <w:szCs w:val="18"/>
                <w:i w:val="1"/>
                <w:iCs w:val="1"/>
                <w:color w:val="auto"/>
                <w:w w:val="94"/>
              </w:rPr>
              <w:t>(Principal Executive Officer)</w:t>
            </w:r>
          </w:p>
        </w:tc>
        <w:tc>
          <w:tcPr>
            <w:tcW w:w="10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r>
        <w:trPr>
          <w:trHeight w:val="446"/>
        </w:trPr>
        <w:tc>
          <w:tcPr>
            <w:tcW w:w="42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2"/>
              </w:rPr>
              <w:t>/s/ Michael Rashkin</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4"/>
              </w:rPr>
              <w:t>Chief Financial Officer</w:t>
            </w:r>
          </w:p>
        </w:tc>
        <w:tc>
          <w:tcPr>
            <w:tcW w:w="1720" w:type="dxa"/>
            <w:vAlign w:val="bottom"/>
            <w:gridSpan w:val="3"/>
          </w:tcPr>
          <w:p>
            <w:pPr>
              <w:jc w:val="center"/>
              <w:ind w:left="650"/>
              <w:spacing w:after="0"/>
              <w:rPr>
                <w:sz w:val="20"/>
                <w:szCs w:val="20"/>
                <w:color w:val="auto"/>
              </w:rPr>
            </w:pPr>
            <w:r>
              <w:rPr>
                <w:rFonts w:ascii="Arial" w:cs="Arial" w:eastAsia="Arial" w:hAnsi="Arial"/>
                <w:sz w:val="18"/>
                <w:szCs w:val="18"/>
                <w:color w:val="auto"/>
                <w:w w:val="91"/>
              </w:rPr>
              <w:t>July 28, 2014</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3"/>
              </w:rPr>
              <w:t>Michael Rashkin</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i w:val="1"/>
                <w:iCs w:val="1"/>
                <w:color w:val="auto"/>
                <w:w w:val="95"/>
              </w:rPr>
              <w:t>(Principal Financial and Accounting Officer)</w:t>
            </w: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40" w:type="dxa"/>
            <w:vAlign w:val="bottom"/>
          </w:tcPr>
          <w:p>
            <w:pPr>
              <w:spacing w:after="0"/>
              <w:rPr>
                <w:sz w:val="19"/>
                <w:szCs w:val="19"/>
                <w:color w:val="auto"/>
              </w:rPr>
            </w:pPr>
          </w:p>
        </w:tc>
      </w:tr>
      <w:tr>
        <w:trPr>
          <w:trHeight w:val="431"/>
        </w:trPr>
        <w:tc>
          <w:tcPr>
            <w:tcW w:w="42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9"/>
              </w:rPr>
              <w:t>/s/ Dr. Juergen Gromer</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5"/>
              </w:rPr>
              <w:t>Director</w:t>
            </w:r>
          </w:p>
        </w:tc>
        <w:tc>
          <w:tcPr>
            <w:tcW w:w="1720" w:type="dxa"/>
            <w:vAlign w:val="bottom"/>
            <w:gridSpan w:val="3"/>
          </w:tcPr>
          <w:p>
            <w:pPr>
              <w:jc w:val="center"/>
              <w:ind w:left="650"/>
              <w:spacing w:after="0"/>
              <w:rPr>
                <w:sz w:val="20"/>
                <w:szCs w:val="20"/>
                <w:color w:val="auto"/>
              </w:rPr>
            </w:pPr>
            <w:r>
              <w:rPr>
                <w:rFonts w:ascii="Arial" w:cs="Arial" w:eastAsia="Arial" w:hAnsi="Arial"/>
                <w:sz w:val="18"/>
                <w:szCs w:val="18"/>
                <w:color w:val="auto"/>
                <w:w w:val="91"/>
              </w:rPr>
              <w:t>July 28, 2014</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9"/>
              </w:rPr>
              <w:t>Dr. Juergen Gromer</w:t>
            </w:r>
          </w:p>
        </w:tc>
        <w:tc>
          <w:tcPr>
            <w:tcW w:w="25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40" w:type="dxa"/>
            <w:vAlign w:val="bottom"/>
          </w:tcPr>
          <w:p>
            <w:pPr>
              <w:spacing w:after="0"/>
              <w:rPr>
                <w:sz w:val="19"/>
                <w:szCs w:val="19"/>
                <w:color w:val="auto"/>
              </w:rPr>
            </w:pPr>
          </w:p>
        </w:tc>
      </w:tr>
      <w:tr>
        <w:trPr>
          <w:trHeight w:val="431"/>
        </w:trPr>
        <w:tc>
          <w:tcPr>
            <w:tcW w:w="42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0"/>
              </w:rPr>
              <w:t>/s/ Dr. John G. Kassakian</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5"/>
              </w:rPr>
              <w:t>Director</w:t>
            </w:r>
          </w:p>
        </w:tc>
        <w:tc>
          <w:tcPr>
            <w:tcW w:w="1720" w:type="dxa"/>
            <w:vAlign w:val="bottom"/>
            <w:gridSpan w:val="3"/>
          </w:tcPr>
          <w:p>
            <w:pPr>
              <w:jc w:val="center"/>
              <w:ind w:left="650"/>
              <w:spacing w:after="0"/>
              <w:rPr>
                <w:sz w:val="20"/>
                <w:szCs w:val="20"/>
                <w:color w:val="auto"/>
              </w:rPr>
            </w:pPr>
            <w:r>
              <w:rPr>
                <w:rFonts w:ascii="Arial" w:cs="Arial" w:eastAsia="Arial" w:hAnsi="Arial"/>
                <w:sz w:val="18"/>
                <w:szCs w:val="18"/>
                <w:color w:val="auto"/>
                <w:w w:val="91"/>
              </w:rPr>
              <w:t>July 28, 2014</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8"/>
              </w:rPr>
              <w:t>Dr. John G. Kassakian</w:t>
            </w:r>
          </w:p>
        </w:tc>
        <w:tc>
          <w:tcPr>
            <w:tcW w:w="25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40" w:type="dxa"/>
            <w:vAlign w:val="bottom"/>
          </w:tcPr>
          <w:p>
            <w:pPr>
              <w:spacing w:after="0"/>
              <w:rPr>
                <w:sz w:val="19"/>
                <w:szCs w:val="19"/>
                <w:color w:val="auto"/>
              </w:rPr>
            </w:pPr>
          </w:p>
        </w:tc>
      </w:tr>
      <w:tr>
        <w:trPr>
          <w:trHeight w:val="431"/>
        </w:trPr>
        <w:tc>
          <w:tcPr>
            <w:tcW w:w="42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2"/>
              </w:rPr>
              <w:t>/s/ Arturo Krueger</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5"/>
              </w:rPr>
              <w:t>Director</w:t>
            </w:r>
          </w:p>
        </w:tc>
        <w:tc>
          <w:tcPr>
            <w:tcW w:w="1720" w:type="dxa"/>
            <w:vAlign w:val="bottom"/>
            <w:gridSpan w:val="3"/>
          </w:tcPr>
          <w:p>
            <w:pPr>
              <w:jc w:val="center"/>
              <w:ind w:left="650"/>
              <w:spacing w:after="0"/>
              <w:rPr>
                <w:sz w:val="20"/>
                <w:szCs w:val="20"/>
                <w:color w:val="auto"/>
              </w:rPr>
            </w:pPr>
            <w:r>
              <w:rPr>
                <w:rFonts w:ascii="Arial" w:cs="Arial" w:eastAsia="Arial" w:hAnsi="Arial"/>
                <w:sz w:val="18"/>
                <w:szCs w:val="18"/>
                <w:color w:val="auto"/>
                <w:w w:val="91"/>
              </w:rPr>
              <w:t>July 28, 2014</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4"/>
              </w:rPr>
              <w:t>Arturo Krueger</w:t>
            </w:r>
          </w:p>
        </w:tc>
        <w:tc>
          <w:tcPr>
            <w:tcW w:w="25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40" w:type="dxa"/>
            <w:vAlign w:val="bottom"/>
          </w:tcPr>
          <w:p>
            <w:pPr>
              <w:spacing w:after="0"/>
              <w:rPr>
                <w:sz w:val="19"/>
                <w:szCs w:val="19"/>
                <w:color w:val="auto"/>
              </w:rPr>
            </w:pPr>
          </w:p>
        </w:tc>
      </w:tr>
      <w:tr>
        <w:trPr>
          <w:trHeight w:val="431"/>
        </w:trPr>
        <w:tc>
          <w:tcPr>
            <w:tcW w:w="42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2"/>
              </w:rPr>
              <w:t>/s/ Dr. Randhir Thakur</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5"/>
              </w:rPr>
              <w:t>Director</w:t>
            </w:r>
          </w:p>
        </w:tc>
        <w:tc>
          <w:tcPr>
            <w:tcW w:w="1720" w:type="dxa"/>
            <w:vAlign w:val="bottom"/>
            <w:gridSpan w:val="3"/>
          </w:tcPr>
          <w:p>
            <w:pPr>
              <w:jc w:val="center"/>
              <w:ind w:left="650"/>
              <w:spacing w:after="0"/>
              <w:rPr>
                <w:sz w:val="20"/>
                <w:szCs w:val="20"/>
                <w:color w:val="auto"/>
              </w:rPr>
            </w:pPr>
            <w:r>
              <w:rPr>
                <w:rFonts w:ascii="Arial" w:cs="Arial" w:eastAsia="Arial" w:hAnsi="Arial"/>
                <w:sz w:val="18"/>
                <w:szCs w:val="18"/>
                <w:color w:val="auto"/>
                <w:w w:val="91"/>
              </w:rPr>
              <w:t>July 28, 2014</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1"/>
              </w:rPr>
              <w:t>Dr. Randhir Thakur</w:t>
            </w:r>
          </w:p>
        </w:tc>
        <w:tc>
          <w:tcPr>
            <w:tcW w:w="25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40" w:type="dxa"/>
            <w:vAlign w:val="bottom"/>
          </w:tcPr>
          <w:p>
            <w:pPr>
              <w:spacing w:after="0"/>
              <w:rPr>
                <w:sz w:val="19"/>
                <w:szCs w:val="19"/>
                <w:color w:val="auto"/>
              </w:rPr>
            </w:pPr>
          </w:p>
        </w:tc>
      </w:tr>
    </w:tbl>
    <w:p>
      <w:pPr>
        <w:spacing w:after="0" w:line="1" w:lineRule="exact"/>
        <w:rPr>
          <w:sz w:val="20"/>
          <w:szCs w:val="20"/>
          <w:color w:val="auto"/>
        </w:rPr>
      </w:pP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2019-12-06T19:05:24Z</dcterms:created>
  <dcterms:modified xsi:type="dcterms:W3CDTF">2019-12-06T19:05:24Z</dcterms:modified>
</cp:coreProperties>
</file>