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205740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231140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7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10-Q</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60"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20" w:lineRule="exact"/>
        <w:rPr>
          <w:sz w:val="24"/>
          <w:szCs w:val="24"/>
          <w:color w:val="auto"/>
        </w:rPr>
      </w:pPr>
    </w:p>
    <w:p>
      <w:pPr>
        <w:ind w:left="460" w:right="460" w:hanging="452"/>
        <w:spacing w:after="0" w:line="237" w:lineRule="auto"/>
        <w:tabs>
          <w:tab w:leader="none" w:pos="460" w:val="left"/>
        </w:tabs>
        <w:numPr>
          <w:ilvl w:val="0"/>
          <w:numId w:val="1"/>
        </w:numPr>
        <w:rPr>
          <w:rFonts w:ascii="MS PGothic" w:cs="MS PGothic" w:eastAsia="MS PGothic" w:hAnsi="MS PGothic"/>
          <w:sz w:val="22"/>
          <w:szCs w:val="22"/>
          <w:color w:val="auto"/>
        </w:rPr>
      </w:pPr>
      <w:r>
        <w:rPr>
          <w:rFonts w:ascii="Arial" w:cs="Arial" w:eastAsia="Arial" w:hAnsi="Arial"/>
          <w:sz w:val="22"/>
          <w:szCs w:val="22"/>
          <w:b w:val="1"/>
          <w:bCs w:val="1"/>
          <w:color w:val="auto"/>
        </w:rPr>
        <w:t>QUARTERLY REPORT PURSUANT TO SECTION 13 OR 15(d) OF THE SECURITIES EXCHANGE ACT OF 1934</w:t>
      </w:r>
    </w:p>
    <w:p>
      <w:pPr>
        <w:spacing w:after="0" w:line="138"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For the quarterly period ended May 3, 2014</w:t>
      </w:r>
    </w:p>
    <w:p>
      <w:pPr>
        <w:spacing w:after="0" w:line="171"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or</w:t>
      </w:r>
    </w:p>
    <w:p>
      <w:pPr>
        <w:spacing w:after="0" w:line="199"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21"/>
          <w:szCs w:val="21"/>
          <w:color w:val="auto"/>
        </w:rPr>
      </w:pPr>
      <w:r>
        <w:rPr>
          <w:rFonts w:ascii="Arial" w:cs="Arial" w:eastAsia="Arial" w:hAnsi="Arial"/>
          <w:sz w:val="21"/>
          <w:szCs w:val="21"/>
          <w:b w:val="1"/>
          <w:bCs w:val="1"/>
          <w:color w:val="auto"/>
        </w:rPr>
        <w:t>TRANSITION REPORT PURSUANT TO SECTION 13 or 15(d) OF THE SECURITIES EXCHANGE ACT OF 1934</w:t>
      </w:r>
    </w:p>
    <w:p>
      <w:pPr>
        <w:spacing w:after="0" w:line="190" w:lineRule="exact"/>
        <w:rPr>
          <w:sz w:val="24"/>
          <w:szCs w:val="24"/>
          <w:color w:val="auto"/>
        </w:rPr>
      </w:pPr>
    </w:p>
    <w:p>
      <w:pPr>
        <w:ind w:left="3920"/>
        <w:spacing w:after="0"/>
        <w:tabs>
          <w:tab w:leader="none" w:pos="678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4"/>
          <w:szCs w:val="14"/>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3954145</wp:posOffset>
            </wp:positionH>
            <wp:positionV relativeFrom="paragraph">
              <wp:posOffset>-10160</wp:posOffset>
            </wp:positionV>
            <wp:extent cx="81724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817245" cy="8890"/>
                    </a:xfrm>
                    <a:prstGeom prst="rect">
                      <a:avLst/>
                    </a:prstGeom>
                    <a:noFill/>
                  </pic:spPr>
                </pic:pic>
              </a:graphicData>
            </a:graphic>
          </wp:anchor>
        </w:drawing>
      </w:r>
    </w:p>
    <w:p>
      <w:pPr>
        <w:spacing w:after="0" w:line="151"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Commission file number: 000-30877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118110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7"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191135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09" w:lineRule="exact"/>
        <w:rPr>
          <w:sz w:val="24"/>
          <w:szCs w:val="24"/>
          <w:color w:val="auto"/>
        </w:rPr>
      </w:pPr>
    </w:p>
    <w:tbl>
      <w:tblPr>
        <w:tblLayout w:type="fixed"/>
        <w:tblInd w:w="2020" w:type="dxa"/>
        <w:tblCellMar>
          <w:top w:w="0" w:type="dxa"/>
          <w:left w:w="0" w:type="dxa"/>
          <w:bottom w:w="0" w:type="dxa"/>
          <w:right w:w="0" w:type="dxa"/>
        </w:tblCellMar>
      </w:tblPr>
      <w:tr>
        <w:trPr>
          <w:trHeight w:val="218"/>
        </w:trPr>
        <w:tc>
          <w:tcPr>
            <w:tcW w:w="3920" w:type="dxa"/>
            <w:vAlign w:val="bottom"/>
          </w:tcPr>
          <w:p>
            <w:pPr>
              <w:jc w:val="center"/>
              <w:ind w:right="2106"/>
              <w:spacing w:after="0"/>
              <w:rPr>
                <w:sz w:val="20"/>
                <w:szCs w:val="20"/>
                <w:color w:val="auto"/>
              </w:rPr>
            </w:pPr>
            <w:r>
              <w:rPr>
                <w:rFonts w:ascii="Arial" w:cs="Arial" w:eastAsia="Arial" w:hAnsi="Arial"/>
                <w:sz w:val="18"/>
                <w:szCs w:val="18"/>
                <w:b w:val="1"/>
                <w:bCs w:val="1"/>
                <w:color w:val="auto"/>
                <w:w w:val="89"/>
              </w:rPr>
              <w:t>Bermuda</w:t>
            </w:r>
          </w:p>
        </w:tc>
        <w:tc>
          <w:tcPr>
            <w:tcW w:w="3240" w:type="dxa"/>
            <w:vAlign w:val="bottom"/>
          </w:tcPr>
          <w:p>
            <w:pPr>
              <w:jc w:val="center"/>
              <w:ind w:left="2106"/>
              <w:spacing w:after="0"/>
              <w:rPr>
                <w:sz w:val="20"/>
                <w:szCs w:val="20"/>
                <w:color w:val="auto"/>
              </w:rPr>
            </w:pPr>
            <w:r>
              <w:rPr>
                <w:rFonts w:ascii="Arial" w:cs="Arial" w:eastAsia="Arial" w:hAnsi="Arial"/>
                <w:sz w:val="18"/>
                <w:szCs w:val="18"/>
                <w:b w:val="1"/>
                <w:bCs w:val="1"/>
                <w:color w:val="auto"/>
                <w:w w:val="89"/>
              </w:rPr>
              <w:t>77-0481679</w:t>
            </w:r>
          </w:p>
        </w:tc>
      </w:tr>
      <w:tr>
        <w:trPr>
          <w:trHeight w:val="149"/>
        </w:trPr>
        <w:tc>
          <w:tcPr>
            <w:tcW w:w="3920" w:type="dxa"/>
            <w:vAlign w:val="bottom"/>
          </w:tcPr>
          <w:p>
            <w:pPr>
              <w:jc w:val="center"/>
              <w:ind w:right="2106"/>
              <w:spacing w:after="0" w:line="149" w:lineRule="exact"/>
              <w:rPr>
                <w:sz w:val="20"/>
                <w:szCs w:val="20"/>
                <w:color w:val="auto"/>
              </w:rPr>
            </w:pPr>
            <w:r>
              <w:rPr>
                <w:rFonts w:ascii="Arial" w:cs="Arial" w:eastAsia="Arial" w:hAnsi="Arial"/>
                <w:sz w:val="14"/>
                <w:szCs w:val="14"/>
                <w:b w:val="1"/>
                <w:bCs w:val="1"/>
                <w:color w:val="auto"/>
                <w:w w:val="88"/>
              </w:rPr>
              <w:t>(State or other jurisdiction of</w:t>
            </w:r>
          </w:p>
        </w:tc>
        <w:tc>
          <w:tcPr>
            <w:tcW w:w="3240" w:type="dxa"/>
            <w:vAlign w:val="bottom"/>
          </w:tcPr>
          <w:p>
            <w:pPr>
              <w:jc w:val="center"/>
              <w:ind w:left="2106"/>
              <w:spacing w:after="0" w:line="149" w:lineRule="exact"/>
              <w:rPr>
                <w:sz w:val="20"/>
                <w:szCs w:val="20"/>
                <w:color w:val="auto"/>
              </w:rPr>
            </w:pPr>
            <w:r>
              <w:rPr>
                <w:rFonts w:ascii="Arial" w:cs="Arial" w:eastAsia="Arial" w:hAnsi="Arial"/>
                <w:sz w:val="14"/>
                <w:szCs w:val="14"/>
                <w:b w:val="1"/>
                <w:bCs w:val="1"/>
                <w:color w:val="auto"/>
                <w:w w:val="91"/>
              </w:rPr>
              <w:t>(I.R.S. Employer</w:t>
            </w:r>
          </w:p>
        </w:tc>
      </w:tr>
      <w:tr>
        <w:trPr>
          <w:trHeight w:val="174"/>
        </w:trPr>
        <w:tc>
          <w:tcPr>
            <w:tcW w:w="3920" w:type="dxa"/>
            <w:vAlign w:val="bottom"/>
          </w:tcPr>
          <w:p>
            <w:pPr>
              <w:jc w:val="center"/>
              <w:ind w:right="2086"/>
              <w:spacing w:after="0"/>
              <w:rPr>
                <w:sz w:val="20"/>
                <w:szCs w:val="20"/>
                <w:color w:val="auto"/>
              </w:rPr>
            </w:pPr>
            <w:r>
              <w:rPr>
                <w:rFonts w:ascii="Arial" w:cs="Arial" w:eastAsia="Arial" w:hAnsi="Arial"/>
                <w:sz w:val="14"/>
                <w:szCs w:val="14"/>
                <w:b w:val="1"/>
                <w:bCs w:val="1"/>
                <w:color w:val="auto"/>
                <w:w w:val="88"/>
              </w:rPr>
              <w:t>incorporation or organization)</w:t>
            </w:r>
          </w:p>
        </w:tc>
        <w:tc>
          <w:tcPr>
            <w:tcW w:w="3240" w:type="dxa"/>
            <w:vAlign w:val="bottom"/>
          </w:tcPr>
          <w:p>
            <w:pPr>
              <w:jc w:val="center"/>
              <w:ind w:left="2106"/>
              <w:spacing w:after="0"/>
              <w:rPr>
                <w:sz w:val="20"/>
                <w:szCs w:val="20"/>
                <w:color w:val="auto"/>
              </w:rPr>
            </w:pPr>
            <w:r>
              <w:rPr>
                <w:rFonts w:ascii="Arial" w:cs="Arial" w:eastAsia="Arial" w:hAnsi="Arial"/>
                <w:sz w:val="14"/>
                <w:szCs w:val="14"/>
                <w:b w:val="1"/>
                <w:bCs w:val="1"/>
                <w:color w:val="auto"/>
                <w:w w:val="89"/>
              </w:rPr>
              <w:t>Identification No.)</w:t>
            </w:r>
          </w:p>
        </w:tc>
      </w:tr>
    </w:tbl>
    <w:p>
      <w:pPr>
        <w:spacing w:after="0" w:line="148"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1"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(Address of principal executive offices, Zip Code and 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96520</wp:posOffset>
            </wp:positionV>
            <wp:extent cx="151765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8" w:lineRule="exact"/>
        <w:rPr>
          <w:sz w:val="24"/>
          <w:szCs w:val="24"/>
          <w:color w:val="auto"/>
        </w:rPr>
      </w:pPr>
    </w:p>
    <w:p>
      <w:pPr>
        <w:ind w:right="28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jc w:val="both"/>
        <w:ind w:right="6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ind w:right="220" w:firstLine="456"/>
        <w:spacing w:after="0" w:line="33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pacing w:after="0" w:line="93" w:lineRule="exact"/>
        <w:rPr>
          <w:sz w:val="24"/>
          <w:szCs w:val="24"/>
          <w:color w:val="auto"/>
        </w:rPr>
      </w:pPr>
    </w:p>
    <w:tbl>
      <w:tblPr>
        <w:tblLayout w:type="fixed"/>
        <w:tblInd w:w="0" w:type="dxa"/>
        <w:tblCellMar>
          <w:top w:w="0" w:type="dxa"/>
          <w:left w:w="0" w:type="dxa"/>
          <w:bottom w:w="0" w:type="dxa"/>
          <w:right w:w="0" w:type="dxa"/>
        </w:tblCellMar>
      </w:tblPr>
      <w:tr>
        <w:trPr>
          <w:trHeight w:val="275"/>
        </w:trPr>
        <w:tc>
          <w:tcPr>
            <w:tcW w:w="1760" w:type="dxa"/>
            <w:vAlign w:val="bottom"/>
          </w:tcPr>
          <w:p>
            <w:pPr>
              <w:spacing w:after="0"/>
              <w:rPr>
                <w:sz w:val="20"/>
                <w:szCs w:val="20"/>
                <w:color w:val="auto"/>
              </w:rPr>
            </w:pPr>
            <w:r>
              <w:rPr>
                <w:rFonts w:ascii="Arial" w:cs="Arial" w:eastAsia="Arial" w:hAnsi="Arial"/>
                <w:sz w:val="18"/>
                <w:szCs w:val="18"/>
                <w:color w:val="auto"/>
                <w:w w:val="97"/>
              </w:rPr>
              <w:t>Large accelerated filer</w:t>
            </w:r>
          </w:p>
        </w:tc>
        <w:tc>
          <w:tcPr>
            <w:tcW w:w="6800" w:type="dxa"/>
            <w:vAlign w:val="bottom"/>
          </w:tcPr>
          <w:p>
            <w:pPr>
              <w:ind w:left="160"/>
              <w:spacing w:after="0" w:line="181" w:lineRule="exact"/>
              <w:rPr>
                <w:sz w:val="20"/>
                <w:szCs w:val="20"/>
                <w:color w:val="auto"/>
              </w:rPr>
            </w:pPr>
            <w:r>
              <w:rPr>
                <w:rFonts w:ascii="MS PGothic" w:cs="MS PGothic" w:eastAsia="MS PGothic" w:hAnsi="MS PGothic"/>
                <w:sz w:val="18"/>
                <w:szCs w:val="18"/>
                <w:color w:val="auto"/>
              </w:rPr>
              <w:t>☒</w:t>
            </w:r>
          </w:p>
        </w:tc>
        <w:tc>
          <w:tcPr>
            <w:tcW w:w="2460" w:type="dxa"/>
            <w:vAlign w:val="bottom"/>
          </w:tcPr>
          <w:p>
            <w:pPr>
              <w:ind w:left="30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760" w:type="dxa"/>
            <w:vAlign w:val="bottom"/>
          </w:tcPr>
          <w:p>
            <w:pPr>
              <w:spacing w:after="0"/>
              <w:rPr>
                <w:sz w:val="20"/>
                <w:szCs w:val="20"/>
                <w:color w:val="auto"/>
              </w:rPr>
            </w:pPr>
            <w:r>
              <w:rPr>
                <w:rFonts w:ascii="Arial" w:cs="Arial" w:eastAsia="Arial" w:hAnsi="Arial"/>
                <w:sz w:val="18"/>
                <w:szCs w:val="18"/>
                <w:color w:val="auto"/>
              </w:rPr>
              <w:t>Non-accelerated filer</w:t>
            </w:r>
          </w:p>
        </w:tc>
        <w:tc>
          <w:tcPr>
            <w:tcW w:w="6800" w:type="dxa"/>
            <w:vAlign w:val="bottom"/>
          </w:tcPr>
          <w:p>
            <w:pPr>
              <w:ind w:left="16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(Do not check if a smaller reporting company)</w:t>
            </w:r>
          </w:p>
        </w:tc>
        <w:tc>
          <w:tcPr>
            <w:tcW w:w="2460" w:type="dxa"/>
            <w:vAlign w:val="bottom"/>
          </w:tcPr>
          <w:p>
            <w:pPr>
              <w:ind w:left="300"/>
              <w:spacing w:after="0"/>
              <w:rPr>
                <w:sz w:val="20"/>
                <w:szCs w:val="20"/>
                <w:color w:val="auto"/>
              </w:rPr>
            </w:pPr>
            <w:r>
              <w:rPr>
                <w:rFonts w:ascii="Arial" w:cs="Arial" w:eastAsia="Arial" w:hAnsi="Arial"/>
                <w:sz w:val="18"/>
                <w:szCs w:val="18"/>
                <w:color w:val="auto"/>
                <w:w w:val="99"/>
              </w:rPr>
              <w:t>Smaller reporting company</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78"/>
        </w:trPr>
        <w:tc>
          <w:tcPr>
            <w:tcW w:w="8560" w:type="dxa"/>
            <w:vAlign w:val="bottom"/>
            <w:gridSpan w:val="2"/>
          </w:tcPr>
          <w:p>
            <w:pPr>
              <w:ind w:left="460"/>
              <w:spacing w:after="0"/>
              <w:rPr>
                <w:sz w:val="20"/>
                <w:szCs w:val="20"/>
                <w:color w:val="auto"/>
              </w:rPr>
            </w:pPr>
            <w:r>
              <w:rPr>
                <w:rFonts w:ascii="Arial" w:cs="Arial" w:eastAsia="Arial" w:hAnsi="Arial"/>
                <w:sz w:val="18"/>
                <w:szCs w:val="18"/>
                <w:color w:val="auto"/>
                <w:w w:val="89"/>
              </w:rPr>
              <w:t>Indicate by check mark whether the registrant is a shell company (as defined in Rule 12b-2 of the Exchange Act).</w:t>
            </w:r>
          </w:p>
        </w:tc>
        <w:tc>
          <w:tcPr>
            <w:tcW w:w="2460" w:type="dxa"/>
            <w:vAlign w:val="bottom"/>
          </w:tcPr>
          <w:p>
            <w:pPr>
              <w:ind w:left="10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tc>
        <w:tc>
          <w:tcPr>
            <w:tcW w:w="400" w:type="dxa"/>
            <w:vAlign w:val="bottom"/>
          </w:tcPr>
          <w:p>
            <w:pPr>
              <w:spacing w:after="0"/>
              <w:rPr>
                <w:sz w:val="24"/>
                <w:szCs w:val="24"/>
                <w:color w:val="auto"/>
              </w:rPr>
            </w:pPr>
          </w:p>
        </w:tc>
      </w:tr>
      <w:tr>
        <w:trPr>
          <w:trHeight w:val="358"/>
        </w:trPr>
        <w:tc>
          <w:tcPr>
            <w:tcW w:w="8560" w:type="dxa"/>
            <w:vAlign w:val="bottom"/>
            <w:gridSpan w:val="2"/>
          </w:tcPr>
          <w:p>
            <w:pPr>
              <w:ind w:left="460"/>
              <w:spacing w:after="0"/>
              <w:rPr>
                <w:sz w:val="20"/>
                <w:szCs w:val="20"/>
                <w:color w:val="auto"/>
              </w:rPr>
            </w:pPr>
            <w:r>
              <w:rPr>
                <w:rFonts w:ascii="Arial" w:cs="Arial" w:eastAsia="Arial" w:hAnsi="Arial"/>
                <w:sz w:val="18"/>
                <w:szCs w:val="18"/>
                <w:color w:val="auto"/>
                <w:w w:val="95"/>
              </w:rPr>
              <w:t>The number of common shares of the registrant outstanding as of May 30, 2014 was 508.2 million shares.</w:t>
            </w:r>
          </w:p>
        </w:tc>
        <w:tc>
          <w:tcPr>
            <w:tcW w:w="246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124"/>
        </w:trPr>
        <w:tc>
          <w:tcPr>
            <w:tcW w:w="1760" w:type="dxa"/>
            <w:vAlign w:val="bottom"/>
            <w:tcBorders>
              <w:bottom w:val="single" w:sz="8" w:color="auto"/>
            </w:tcBorders>
          </w:tcPr>
          <w:p>
            <w:pPr>
              <w:spacing w:after="0"/>
              <w:rPr>
                <w:sz w:val="10"/>
                <w:szCs w:val="10"/>
                <w:color w:val="auto"/>
              </w:rPr>
            </w:pPr>
          </w:p>
        </w:tc>
        <w:tc>
          <w:tcPr>
            <w:tcW w:w="6800" w:type="dxa"/>
            <w:vAlign w:val="bottom"/>
            <w:tcBorders>
              <w:bottom w:val="single" w:sz="8" w:color="auto"/>
            </w:tcBorders>
          </w:tcPr>
          <w:p>
            <w:pPr>
              <w:spacing w:after="0"/>
              <w:rPr>
                <w:sz w:val="10"/>
                <w:szCs w:val="10"/>
                <w:color w:val="auto"/>
              </w:rPr>
            </w:pPr>
          </w:p>
        </w:tc>
        <w:tc>
          <w:tcPr>
            <w:tcW w:w="2460" w:type="dxa"/>
            <w:vAlign w:val="bottom"/>
            <w:tcBorders>
              <w:bottom w:val="single" w:sz="8" w:color="auto"/>
            </w:tcBorders>
          </w:tcPr>
          <w:p>
            <w:pPr>
              <w:spacing w:after="0"/>
              <w:rPr>
                <w:sz w:val="10"/>
                <w:szCs w:val="10"/>
                <w:color w:val="auto"/>
              </w:rPr>
            </w:pPr>
          </w:p>
        </w:tc>
        <w:tc>
          <w:tcPr>
            <w:tcW w:w="400" w:type="dxa"/>
            <w:vAlign w:val="bottom"/>
            <w:tcBorders>
              <w:bottom w:val="single" w:sz="8" w:color="auto"/>
            </w:tcBorders>
          </w:tcPr>
          <w:p>
            <w:pPr>
              <w:spacing w:after="0"/>
              <w:rPr>
                <w:sz w:val="10"/>
                <w:szCs w:val="10"/>
                <w:color w:val="auto"/>
              </w:rPr>
            </w:pPr>
          </w:p>
        </w:tc>
      </w:tr>
      <w:tr>
        <w:trPr>
          <w:trHeight w:val="21"/>
        </w:trPr>
        <w:tc>
          <w:tcPr>
            <w:tcW w:w="1760" w:type="dxa"/>
            <w:vAlign w:val="bottom"/>
            <w:tcBorders>
              <w:bottom w:val="single" w:sz="8" w:color="auto"/>
            </w:tcBorders>
          </w:tcPr>
          <w:p>
            <w:pPr>
              <w:spacing w:after="0" w:line="20" w:lineRule="exact"/>
              <w:rPr>
                <w:sz w:val="1"/>
                <w:szCs w:val="1"/>
                <w:color w:val="auto"/>
              </w:rPr>
            </w:pPr>
          </w:p>
        </w:tc>
        <w:tc>
          <w:tcPr>
            <w:tcW w:w="6800" w:type="dxa"/>
            <w:vAlign w:val="bottom"/>
            <w:tcBorders>
              <w:bottom w:val="single" w:sz="8" w:color="auto"/>
            </w:tcBorders>
          </w:tcPr>
          <w:p>
            <w:pPr>
              <w:spacing w:after="0" w:line="20" w:lineRule="exact"/>
              <w:rPr>
                <w:sz w:val="1"/>
                <w:szCs w:val="1"/>
                <w:color w:val="auto"/>
              </w:rPr>
            </w:pPr>
          </w:p>
        </w:tc>
        <w:tc>
          <w:tcPr>
            <w:tcW w:w="246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230" w:right="239" w:bottom="1440" w:gutter="0" w:footer="0" w:header="0"/>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TABLE OF CONTENTS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340" w:type="dxa"/>
            <w:vAlign w:val="bottom"/>
            <w:gridSpan w:val="13"/>
            <w:vMerge w:val="restart"/>
          </w:tcPr>
          <w:p>
            <w:pPr>
              <w:jc w:val="center"/>
              <w:ind w:right="2280"/>
              <w:spacing w:after="0"/>
              <w:rPr>
                <w:rFonts w:ascii="Arial" w:cs="Arial" w:eastAsia="Arial" w:hAnsi="Arial"/>
                <w:sz w:val="18"/>
                <w:szCs w:val="18"/>
                <w:b w:val="1"/>
                <w:bCs w:val="1"/>
                <w:color w:val="0000EE"/>
                <w:w w:val="99"/>
              </w:rPr>
            </w:pPr>
            <w:hyperlink w:anchor="page3">
              <w:r>
                <w:rPr>
                  <w:rFonts w:ascii="Arial" w:cs="Arial" w:eastAsia="Arial" w:hAnsi="Arial"/>
                  <w:sz w:val="18"/>
                  <w:szCs w:val="18"/>
                  <w:b w:val="1"/>
                  <w:bCs w:val="1"/>
                  <w:color w:val="0000EE"/>
                  <w:w w:val="99"/>
                </w:rPr>
                <w:t>PART I. FINANCIAL INFORMATION</w:t>
              </w:r>
            </w:hyperlink>
          </w:p>
        </w:tc>
        <w:tc>
          <w:tcPr>
            <w:tcW w:w="2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56"/>
        </w:trPr>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8340" w:type="dxa"/>
            <w:vAlign w:val="bottom"/>
            <w:gridSpan w:val="13"/>
            <w:vMerge w:val="continue"/>
          </w:tcPr>
          <w:p>
            <w:pPr>
              <w:spacing w:after="0"/>
              <w:rPr>
                <w:sz w:val="13"/>
                <w:szCs w:val="13"/>
                <w:color w:val="auto"/>
              </w:rPr>
            </w:pPr>
          </w:p>
        </w:tc>
        <w:tc>
          <w:tcPr>
            <w:tcW w:w="2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96"/>
        </w:trPr>
        <w:tc>
          <w:tcPr>
            <w:tcW w:w="840" w:type="dxa"/>
            <w:vAlign w:val="bottom"/>
            <w:gridSpan w:val="2"/>
          </w:tcPr>
          <w:p>
            <w:pPr>
              <w:spacing w:after="0" w:line="196" w:lineRule="exact"/>
              <w:rPr>
                <w:sz w:val="20"/>
                <w:szCs w:val="20"/>
                <w:color w:val="auto"/>
              </w:rPr>
            </w:pPr>
            <w:r>
              <w:rPr>
                <w:rFonts w:ascii="Arial" w:cs="Arial" w:eastAsia="Arial" w:hAnsi="Arial"/>
                <w:sz w:val="18"/>
                <w:szCs w:val="18"/>
                <w:color w:val="auto"/>
              </w:rPr>
              <w:t>Item 1.</w:t>
            </w:r>
          </w:p>
        </w:tc>
        <w:tc>
          <w:tcPr>
            <w:tcW w:w="3280" w:type="dxa"/>
            <w:vAlign w:val="bottom"/>
            <w:gridSpan w:val="7"/>
          </w:tcPr>
          <w:p>
            <w:pPr>
              <w:spacing w:after="0" w:line="196" w:lineRule="exact"/>
              <w:rPr>
                <w:rFonts w:ascii="Arial" w:cs="Arial" w:eastAsia="Arial" w:hAnsi="Arial"/>
                <w:sz w:val="18"/>
                <w:szCs w:val="18"/>
                <w:color w:val="0000EE"/>
              </w:rPr>
            </w:pPr>
            <w:hyperlink w:anchor="page3">
              <w:r>
                <w:rPr>
                  <w:rFonts w:ascii="Arial" w:cs="Arial" w:eastAsia="Arial" w:hAnsi="Arial"/>
                  <w:sz w:val="18"/>
                  <w:szCs w:val="18"/>
                  <w:color w:val="0000EE"/>
                </w:rPr>
                <w:t>Financial Statements:</w:t>
              </w:r>
            </w:hyperlink>
          </w:p>
        </w:tc>
        <w:tc>
          <w:tcPr>
            <w:tcW w:w="2980" w:type="dxa"/>
            <w:vAlign w:val="bottom"/>
            <w:tcBorders>
              <w:top w:val="single" w:sz="8" w:color="0000EE"/>
            </w:tcBorders>
            <w:gridSpan w:val="6"/>
          </w:tcPr>
          <w:p>
            <w:pPr>
              <w:spacing w:after="0"/>
              <w:rPr>
                <w:sz w:val="17"/>
                <w:szCs w:val="17"/>
                <w:color w:val="auto"/>
              </w:rPr>
            </w:pPr>
          </w:p>
        </w:tc>
        <w:tc>
          <w:tcPr>
            <w:tcW w:w="3820" w:type="dxa"/>
            <w:vAlign w:val="bottom"/>
            <w:gridSpan w:val="6"/>
          </w:tcPr>
          <w:p>
            <w:pPr>
              <w:spacing w:after="0"/>
              <w:rPr>
                <w:sz w:val="17"/>
                <w:szCs w:val="17"/>
                <w:color w:val="auto"/>
              </w:rPr>
            </w:pPr>
          </w:p>
        </w:tc>
        <w:tc>
          <w:tcPr>
            <w:tcW w:w="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80" w:type="dxa"/>
            <w:vAlign w:val="bottom"/>
            <w:gridSpan w:val="2"/>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7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80" w:type="dxa"/>
            <w:vAlign w:val="bottom"/>
            <w:gridSpan w:val="19"/>
          </w:tcPr>
          <w:p>
            <w:pPr>
              <w:spacing w:after="0" w:line="196" w:lineRule="exact"/>
              <w:rPr>
                <w:rFonts w:ascii="Arial" w:cs="Arial" w:eastAsia="Arial" w:hAnsi="Arial"/>
                <w:sz w:val="18"/>
                <w:szCs w:val="18"/>
                <w:color w:val="0000EE"/>
              </w:rPr>
            </w:pPr>
            <w:hyperlink w:anchor="page3">
              <w:r>
                <w:rPr>
                  <w:rFonts w:ascii="Arial" w:cs="Arial" w:eastAsia="Arial" w:hAnsi="Arial"/>
                  <w:sz w:val="18"/>
                  <w:szCs w:val="18"/>
                  <w:color w:val="0000EE"/>
                </w:rPr>
                <w:t>Unaudited Condensed Consolidated Balance Sheets as of May 3, 2014 and February 1, 2014</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680" w:type="dxa"/>
            <w:vAlign w:val="bottom"/>
            <w:gridSpan w:val="2"/>
            <w:shd w:val="clear" w:color="auto" w:fill="0000EE"/>
          </w:tcPr>
          <w:p>
            <w:pPr>
              <w:spacing w:after="0" w:line="20" w:lineRule="exact"/>
              <w:rPr>
                <w:sz w:val="1"/>
                <w:szCs w:val="1"/>
                <w:color w:val="auto"/>
              </w:rPr>
            </w:pPr>
          </w:p>
        </w:tc>
        <w:tc>
          <w:tcPr>
            <w:tcW w:w="8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440" w:type="dxa"/>
            <w:vAlign w:val="bottom"/>
            <w:shd w:val="clear" w:color="auto" w:fill="0000EE"/>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7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80" w:type="dxa"/>
            <w:vAlign w:val="bottom"/>
            <w:gridSpan w:val="19"/>
          </w:tcPr>
          <w:p>
            <w:pPr>
              <w:spacing w:after="0" w:line="196" w:lineRule="exact"/>
              <w:rPr>
                <w:rFonts w:ascii="Arial" w:cs="Arial" w:eastAsia="Arial" w:hAnsi="Arial"/>
                <w:sz w:val="18"/>
                <w:szCs w:val="18"/>
                <w:color w:val="0000EE"/>
              </w:rPr>
            </w:pPr>
            <w:hyperlink w:anchor="page4">
              <w:r>
                <w:rPr>
                  <w:rFonts w:ascii="Arial" w:cs="Arial" w:eastAsia="Arial" w:hAnsi="Arial"/>
                  <w:sz w:val="18"/>
                  <w:szCs w:val="18"/>
                  <w:color w:val="0000EE"/>
                </w:rPr>
                <w:t>Unaudited Condensed Consolidated Statements of Operations for the three months ended May 3, 2014 and May 4, 2013</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680" w:type="dxa"/>
            <w:vAlign w:val="bottom"/>
            <w:gridSpan w:val="2"/>
            <w:shd w:val="clear" w:color="auto" w:fill="0000EE"/>
          </w:tcPr>
          <w:p>
            <w:pPr>
              <w:spacing w:after="0" w:line="20" w:lineRule="exact"/>
              <w:rPr>
                <w:sz w:val="1"/>
                <w:szCs w:val="1"/>
                <w:color w:val="auto"/>
              </w:rPr>
            </w:pPr>
          </w:p>
        </w:tc>
        <w:tc>
          <w:tcPr>
            <w:tcW w:w="8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440" w:type="dxa"/>
            <w:vAlign w:val="bottom"/>
            <w:shd w:val="clear" w:color="auto" w:fill="0000EE"/>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140" w:type="dxa"/>
            <w:vAlign w:val="bottom"/>
            <w:gridSpan w:val="2"/>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7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80" w:type="dxa"/>
            <w:vAlign w:val="bottom"/>
            <w:gridSpan w:val="19"/>
          </w:tcPr>
          <w:p>
            <w:pPr>
              <w:spacing w:after="0" w:line="196" w:lineRule="exact"/>
              <w:rPr>
                <w:rFonts w:ascii="Arial" w:cs="Arial" w:eastAsia="Arial" w:hAnsi="Arial"/>
                <w:sz w:val="18"/>
                <w:szCs w:val="18"/>
                <w:color w:val="0000EE"/>
                <w:w w:val="94"/>
              </w:rPr>
            </w:pPr>
            <w:hyperlink w:anchor="page5">
              <w:r>
                <w:rPr>
                  <w:rFonts w:ascii="Arial" w:cs="Arial" w:eastAsia="Arial" w:hAnsi="Arial"/>
                  <w:sz w:val="18"/>
                  <w:szCs w:val="18"/>
                  <w:color w:val="0000EE"/>
                  <w:w w:val="94"/>
                </w:rPr>
                <w:t>Unaudited Condensed Consolidated Statements of Comprehensive Income for the three months ended May 3, 2014 and May 4, 2013</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340" w:type="dxa"/>
            <w:vAlign w:val="bottom"/>
            <w:tcBorders>
              <w:top w:val="single" w:sz="8" w:color="0000EE"/>
            </w:tcBorders>
            <w:gridSpan w:val="18"/>
          </w:tcPr>
          <w:p>
            <w:pPr>
              <w:spacing w:after="0" w:line="196" w:lineRule="exact"/>
              <w:rPr>
                <w:rFonts w:ascii="Arial" w:cs="Arial" w:eastAsia="Arial" w:hAnsi="Arial"/>
                <w:sz w:val="18"/>
                <w:szCs w:val="18"/>
                <w:color w:val="0000EE"/>
                <w:w w:val="96"/>
              </w:rPr>
            </w:pPr>
            <w:hyperlink w:anchor="page6">
              <w:r>
                <w:rPr>
                  <w:rFonts w:ascii="Arial" w:cs="Arial" w:eastAsia="Arial" w:hAnsi="Arial"/>
                  <w:sz w:val="18"/>
                  <w:szCs w:val="18"/>
                  <w:color w:val="0000EE"/>
                  <w:w w:val="96"/>
                </w:rPr>
                <w:t>Unaudited Condensed Consolidated Statements of Cash Flows for the three months ended May 3, 2014 and May 4, 2013</w:t>
              </w:r>
            </w:hyperlink>
          </w:p>
        </w:tc>
        <w:tc>
          <w:tcPr>
            <w:tcW w:w="740" w:type="dxa"/>
            <w:vAlign w:val="bottom"/>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4680" w:type="dxa"/>
            <w:vAlign w:val="bottom"/>
            <w:tcBorders>
              <w:top w:val="single" w:sz="8" w:color="0000EE"/>
              <w:bottom w:val="single" w:sz="8" w:color="0000EE"/>
            </w:tcBorders>
            <w:gridSpan w:val="11"/>
          </w:tcPr>
          <w:p>
            <w:pPr>
              <w:spacing w:after="0" w:line="196" w:lineRule="exact"/>
              <w:rPr>
                <w:rFonts w:ascii="Arial" w:cs="Arial" w:eastAsia="Arial" w:hAnsi="Arial"/>
                <w:sz w:val="18"/>
                <w:szCs w:val="18"/>
                <w:color w:val="0000EE"/>
                <w:w w:val="87"/>
              </w:rPr>
            </w:pPr>
            <w:hyperlink w:anchor="page7">
              <w:r>
                <w:rPr>
                  <w:rFonts w:ascii="Arial" w:cs="Arial" w:eastAsia="Arial" w:hAnsi="Arial"/>
                  <w:sz w:val="18"/>
                  <w:szCs w:val="18"/>
                  <w:color w:val="0000EE"/>
                  <w:w w:val="87"/>
                </w:rPr>
                <w:t>Notes to Unaudited Condensed Consolidated Financial Statements</w:t>
              </w:r>
            </w:hyperlink>
          </w:p>
        </w:tc>
        <w:tc>
          <w:tcPr>
            <w:tcW w:w="3820" w:type="dxa"/>
            <w:vAlign w:val="bottom"/>
            <w:tcBorders>
              <w:top w:val="single" w:sz="8" w:color="0000EE"/>
            </w:tcBorders>
            <w:gridSpan w:val="6"/>
          </w:tcPr>
          <w:p>
            <w:pPr>
              <w:spacing w:after="0"/>
              <w:rPr>
                <w:sz w:val="17"/>
                <w:szCs w:val="17"/>
                <w:color w:val="auto"/>
              </w:rPr>
            </w:pPr>
          </w:p>
        </w:tc>
        <w:tc>
          <w:tcPr>
            <w:tcW w:w="1580" w:type="dxa"/>
            <w:vAlign w:val="bottom"/>
            <w:gridSpan w:val="2"/>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196"/>
        </w:trPr>
        <w:tc>
          <w:tcPr>
            <w:tcW w:w="840" w:type="dxa"/>
            <w:vAlign w:val="bottom"/>
            <w:gridSpan w:val="2"/>
          </w:tcPr>
          <w:p>
            <w:pPr>
              <w:spacing w:after="0" w:line="196" w:lineRule="exact"/>
              <w:rPr>
                <w:sz w:val="20"/>
                <w:szCs w:val="20"/>
                <w:color w:val="auto"/>
              </w:rPr>
            </w:pPr>
            <w:r>
              <w:rPr>
                <w:rFonts w:ascii="Arial" w:cs="Arial" w:eastAsia="Arial" w:hAnsi="Arial"/>
                <w:sz w:val="18"/>
                <w:szCs w:val="18"/>
                <w:color w:val="auto"/>
              </w:rPr>
              <w:t>Item 2.</w:t>
            </w:r>
          </w:p>
        </w:tc>
        <w:tc>
          <w:tcPr>
            <w:tcW w:w="10080" w:type="dxa"/>
            <w:vAlign w:val="bottom"/>
            <w:gridSpan w:val="19"/>
          </w:tcPr>
          <w:p>
            <w:pPr>
              <w:spacing w:after="0" w:line="196" w:lineRule="exact"/>
              <w:rPr>
                <w:rFonts w:ascii="Arial" w:cs="Arial" w:eastAsia="Arial" w:hAnsi="Arial"/>
                <w:sz w:val="18"/>
                <w:szCs w:val="18"/>
                <w:color w:val="0000EE"/>
              </w:rPr>
            </w:pPr>
            <w:hyperlink w:anchor="page24">
              <w:r>
                <w:rPr>
                  <w:rFonts w:ascii="Arial" w:cs="Arial" w:eastAsia="Arial" w:hAnsi="Arial"/>
                  <w:sz w:val="18"/>
                  <w:szCs w:val="18"/>
                  <w:color w:val="0000EE"/>
                </w:rPr>
                <w:t>Management’s Discussion and Analysis of Financial Condition and Results of Operations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196"/>
        </w:trPr>
        <w:tc>
          <w:tcPr>
            <w:tcW w:w="840" w:type="dxa"/>
            <w:vAlign w:val="bottom"/>
            <w:gridSpan w:val="2"/>
          </w:tcPr>
          <w:p>
            <w:pPr>
              <w:spacing w:after="0" w:line="196" w:lineRule="exact"/>
              <w:rPr>
                <w:sz w:val="20"/>
                <w:szCs w:val="20"/>
                <w:color w:val="auto"/>
              </w:rPr>
            </w:pPr>
            <w:r>
              <w:rPr>
                <w:rFonts w:ascii="Arial" w:cs="Arial" w:eastAsia="Arial" w:hAnsi="Arial"/>
                <w:sz w:val="18"/>
                <w:szCs w:val="18"/>
                <w:color w:val="auto"/>
              </w:rPr>
              <w:t>Item 3.</w:t>
            </w:r>
          </w:p>
        </w:tc>
        <w:tc>
          <w:tcPr>
            <w:tcW w:w="4260" w:type="dxa"/>
            <w:vAlign w:val="bottom"/>
            <w:tcBorders>
              <w:top w:val="single" w:sz="8" w:color="0000EE"/>
              <w:bottom w:val="single" w:sz="8" w:color="0000EE"/>
            </w:tcBorders>
            <w:gridSpan w:val="10"/>
          </w:tcPr>
          <w:p>
            <w:pPr>
              <w:spacing w:after="0" w:line="196" w:lineRule="exact"/>
              <w:rPr>
                <w:rFonts w:ascii="Arial" w:cs="Arial" w:eastAsia="Arial" w:hAnsi="Arial"/>
                <w:sz w:val="18"/>
                <w:szCs w:val="18"/>
                <w:color w:val="0000EE"/>
                <w:w w:val="89"/>
              </w:rPr>
            </w:pPr>
            <w:hyperlink w:anchor="page32">
              <w:r>
                <w:rPr>
                  <w:rFonts w:ascii="Arial" w:cs="Arial" w:eastAsia="Arial" w:hAnsi="Arial"/>
                  <w:sz w:val="18"/>
                  <w:szCs w:val="18"/>
                  <w:color w:val="0000EE"/>
                  <w:w w:val="89"/>
                </w:rPr>
                <w:t>Quantitative and Qualitative Disclosures About Market Risk</w:t>
              </w:r>
            </w:hyperlink>
          </w:p>
        </w:tc>
        <w:tc>
          <w:tcPr>
            <w:tcW w:w="2040" w:type="dxa"/>
            <w:vAlign w:val="bottom"/>
            <w:tcBorders>
              <w:top w:val="single" w:sz="8" w:color="0000EE"/>
            </w:tcBorders>
            <w:gridSpan w:val="4"/>
          </w:tcPr>
          <w:p>
            <w:pPr>
              <w:spacing w:after="0"/>
              <w:rPr>
                <w:sz w:val="17"/>
                <w:szCs w:val="17"/>
                <w:color w:val="auto"/>
              </w:rPr>
            </w:pPr>
          </w:p>
        </w:tc>
        <w:tc>
          <w:tcPr>
            <w:tcW w:w="3780" w:type="dxa"/>
            <w:vAlign w:val="bottom"/>
            <w:gridSpan w:val="5"/>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196"/>
        </w:trPr>
        <w:tc>
          <w:tcPr>
            <w:tcW w:w="840" w:type="dxa"/>
            <w:vAlign w:val="bottom"/>
            <w:gridSpan w:val="2"/>
          </w:tcPr>
          <w:p>
            <w:pPr>
              <w:spacing w:after="0" w:line="196" w:lineRule="exact"/>
              <w:rPr>
                <w:sz w:val="20"/>
                <w:szCs w:val="20"/>
                <w:color w:val="auto"/>
              </w:rPr>
            </w:pPr>
            <w:r>
              <w:rPr>
                <w:rFonts w:ascii="Arial" w:cs="Arial" w:eastAsia="Arial" w:hAnsi="Arial"/>
                <w:sz w:val="18"/>
                <w:szCs w:val="18"/>
                <w:color w:val="auto"/>
              </w:rPr>
              <w:t>Item 4.</w:t>
            </w:r>
          </w:p>
        </w:tc>
        <w:tc>
          <w:tcPr>
            <w:tcW w:w="10080" w:type="dxa"/>
            <w:vAlign w:val="bottom"/>
            <w:gridSpan w:val="19"/>
          </w:tcPr>
          <w:p>
            <w:pPr>
              <w:spacing w:after="0" w:line="196" w:lineRule="exact"/>
              <w:rPr>
                <w:rFonts w:ascii="Arial" w:cs="Arial" w:eastAsia="Arial" w:hAnsi="Arial"/>
                <w:sz w:val="18"/>
                <w:szCs w:val="18"/>
                <w:color w:val="0000EE"/>
              </w:rPr>
            </w:pPr>
            <w:hyperlink w:anchor="page33">
              <w:r>
                <w:rPr>
                  <w:rFonts w:ascii="Arial" w:cs="Arial" w:eastAsia="Arial" w:hAnsi="Arial"/>
                  <w:sz w:val="18"/>
                  <w:szCs w:val="18"/>
                  <w:color w:val="0000EE"/>
                </w:rPr>
                <w:t>Controls and Procedures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32</w:t>
            </w: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0" w:type="dxa"/>
            <w:vAlign w:val="bottom"/>
            <w:tcBorders>
              <w:top w:val="single" w:sz="8" w:color="0000EE"/>
            </w:tcBorders>
          </w:tcPr>
          <w:p>
            <w:pPr>
              <w:spacing w:after="0"/>
              <w:rPr>
                <w:sz w:val="17"/>
                <w:szCs w:val="17"/>
                <w:color w:val="auto"/>
              </w:rPr>
            </w:pPr>
          </w:p>
        </w:tc>
        <w:tc>
          <w:tcPr>
            <w:tcW w:w="480" w:type="dxa"/>
            <w:vAlign w:val="bottom"/>
            <w:tcBorders>
              <w:top w:val="single" w:sz="8" w:color="0000EE"/>
            </w:tcBorders>
          </w:tcPr>
          <w:p>
            <w:pPr>
              <w:spacing w:after="0"/>
              <w:rPr>
                <w:sz w:val="17"/>
                <w:szCs w:val="17"/>
                <w:color w:val="auto"/>
              </w:rPr>
            </w:pPr>
          </w:p>
        </w:tc>
        <w:tc>
          <w:tcPr>
            <w:tcW w:w="280" w:type="dxa"/>
            <w:vAlign w:val="bottom"/>
            <w:tcBorders>
              <w:top w:val="single" w:sz="8" w:color="0000EE"/>
            </w:tcBorders>
          </w:tcPr>
          <w:p>
            <w:pPr>
              <w:spacing w:after="0"/>
              <w:rPr>
                <w:sz w:val="17"/>
                <w:szCs w:val="17"/>
                <w:color w:val="auto"/>
              </w:rPr>
            </w:pPr>
          </w:p>
        </w:tc>
        <w:tc>
          <w:tcPr>
            <w:tcW w:w="42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1540" w:type="dxa"/>
            <w:vAlign w:val="bottom"/>
          </w:tcPr>
          <w:p>
            <w:pPr>
              <w:spacing w:after="0"/>
              <w:rPr>
                <w:sz w:val="17"/>
                <w:szCs w:val="17"/>
                <w:color w:val="auto"/>
              </w:rPr>
            </w:pPr>
          </w:p>
        </w:tc>
        <w:tc>
          <w:tcPr>
            <w:tcW w:w="6800" w:type="dxa"/>
            <w:vAlign w:val="bottom"/>
            <w:gridSpan w:val="12"/>
          </w:tcPr>
          <w:p>
            <w:pPr>
              <w:jc w:val="center"/>
              <w:ind w:right="3820"/>
              <w:spacing w:after="0" w:line="196" w:lineRule="exact"/>
              <w:rPr>
                <w:rFonts w:ascii="Arial" w:cs="Arial" w:eastAsia="Arial" w:hAnsi="Arial"/>
                <w:sz w:val="18"/>
                <w:szCs w:val="18"/>
                <w:b w:val="1"/>
                <w:bCs w:val="1"/>
                <w:color w:val="0000EE"/>
              </w:rPr>
            </w:pPr>
            <w:hyperlink w:anchor="page34">
              <w:r>
                <w:rPr>
                  <w:rFonts w:ascii="Arial" w:cs="Arial" w:eastAsia="Arial" w:hAnsi="Arial"/>
                  <w:sz w:val="18"/>
                  <w:szCs w:val="18"/>
                  <w:b w:val="1"/>
                  <w:bCs w:val="1"/>
                  <w:color w:val="0000EE"/>
                </w:rPr>
                <w:t>PART II. OTHER INFORMATION</w:t>
              </w:r>
            </w:hyperlink>
          </w:p>
        </w:tc>
        <w:tc>
          <w:tcPr>
            <w:tcW w:w="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840" w:type="dxa"/>
            <w:vAlign w:val="bottom"/>
            <w:gridSpan w:val="2"/>
          </w:tcPr>
          <w:p>
            <w:pPr>
              <w:spacing w:after="0" w:line="196" w:lineRule="exact"/>
              <w:rPr>
                <w:sz w:val="20"/>
                <w:szCs w:val="20"/>
                <w:color w:val="auto"/>
              </w:rPr>
            </w:pPr>
            <w:r>
              <w:rPr>
                <w:rFonts w:ascii="Arial" w:cs="Arial" w:eastAsia="Arial" w:hAnsi="Arial"/>
                <w:sz w:val="18"/>
                <w:szCs w:val="18"/>
                <w:color w:val="auto"/>
              </w:rPr>
              <w:t>Item 1.</w:t>
            </w:r>
          </w:p>
        </w:tc>
        <w:tc>
          <w:tcPr>
            <w:tcW w:w="3420" w:type="dxa"/>
            <w:vAlign w:val="bottom"/>
            <w:gridSpan w:val="8"/>
          </w:tcPr>
          <w:p>
            <w:pPr>
              <w:spacing w:after="0" w:line="196" w:lineRule="exact"/>
              <w:rPr>
                <w:rFonts w:ascii="Arial" w:cs="Arial" w:eastAsia="Arial" w:hAnsi="Arial"/>
                <w:sz w:val="18"/>
                <w:szCs w:val="18"/>
                <w:color w:val="0000EE"/>
              </w:rPr>
            </w:pPr>
            <w:hyperlink w:anchor="page34">
              <w:r>
                <w:rPr>
                  <w:rFonts w:ascii="Arial" w:cs="Arial" w:eastAsia="Arial" w:hAnsi="Arial"/>
                  <w:sz w:val="18"/>
                  <w:szCs w:val="18"/>
                  <w:color w:val="0000EE"/>
                </w:rPr>
                <w:t>Legal Proceedings</w:t>
              </w:r>
            </w:hyperlink>
          </w:p>
        </w:tc>
        <w:tc>
          <w:tcPr>
            <w:tcW w:w="2700" w:type="dxa"/>
            <w:vAlign w:val="bottom"/>
            <w:tcBorders>
              <w:top w:val="single" w:sz="8" w:color="0000EE"/>
            </w:tcBorders>
            <w:gridSpan w:val="4"/>
          </w:tcPr>
          <w:p>
            <w:pPr>
              <w:spacing w:after="0"/>
              <w:rPr>
                <w:sz w:val="17"/>
                <w:szCs w:val="17"/>
                <w:color w:val="auto"/>
              </w:rPr>
            </w:pPr>
          </w:p>
        </w:tc>
        <w:tc>
          <w:tcPr>
            <w:tcW w:w="3960" w:type="dxa"/>
            <w:vAlign w:val="bottom"/>
            <w:gridSpan w:val="7"/>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33</w:t>
            </w:r>
          </w:p>
        </w:tc>
        <w:tc>
          <w:tcPr>
            <w:tcW w:w="0" w:type="dxa"/>
            <w:vAlign w:val="bottom"/>
          </w:tcPr>
          <w:p>
            <w:pPr>
              <w:spacing w:after="0"/>
              <w:rPr>
                <w:sz w:val="1"/>
                <w:szCs w:val="1"/>
                <w:color w:val="auto"/>
              </w:rPr>
            </w:pPr>
          </w:p>
        </w:tc>
      </w:tr>
      <w:tr>
        <w:trPr>
          <w:trHeight w:val="196"/>
        </w:trPr>
        <w:tc>
          <w:tcPr>
            <w:tcW w:w="840" w:type="dxa"/>
            <w:vAlign w:val="bottom"/>
            <w:gridSpan w:val="2"/>
          </w:tcPr>
          <w:p>
            <w:pPr>
              <w:spacing w:after="0" w:line="196" w:lineRule="exact"/>
              <w:rPr>
                <w:sz w:val="20"/>
                <w:szCs w:val="20"/>
                <w:color w:val="auto"/>
              </w:rPr>
            </w:pPr>
            <w:r>
              <w:rPr>
                <w:rFonts w:ascii="Arial" w:cs="Arial" w:eastAsia="Arial" w:hAnsi="Arial"/>
                <w:sz w:val="18"/>
                <w:szCs w:val="18"/>
                <w:color w:val="auto"/>
              </w:rPr>
              <w:t>Item 1A.</w:t>
            </w:r>
          </w:p>
        </w:tc>
        <w:tc>
          <w:tcPr>
            <w:tcW w:w="1300" w:type="dxa"/>
            <w:vAlign w:val="bottom"/>
            <w:tcBorders>
              <w:top w:val="single" w:sz="8" w:color="0000EE"/>
            </w:tcBorders>
            <w:gridSpan w:val="4"/>
          </w:tcPr>
          <w:p>
            <w:pPr>
              <w:spacing w:after="0" w:line="196" w:lineRule="exact"/>
              <w:rPr>
                <w:rFonts w:ascii="Arial" w:cs="Arial" w:eastAsia="Arial" w:hAnsi="Arial"/>
                <w:sz w:val="18"/>
                <w:szCs w:val="18"/>
                <w:color w:val="0000EE"/>
              </w:rPr>
            </w:pPr>
            <w:hyperlink w:anchor="page34">
              <w:r>
                <w:rPr>
                  <w:rFonts w:ascii="Arial" w:cs="Arial" w:eastAsia="Arial" w:hAnsi="Arial"/>
                  <w:sz w:val="18"/>
                  <w:szCs w:val="18"/>
                  <w:color w:val="0000EE"/>
                </w:rPr>
                <w:t>Risk Factors</w:t>
              </w:r>
            </w:hyperlink>
          </w:p>
        </w:tc>
        <w:tc>
          <w:tcPr>
            <w:tcW w:w="8780" w:type="dxa"/>
            <w:vAlign w:val="bottom"/>
            <w:gridSpan w:val="15"/>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33</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3360" w:type="dxa"/>
            <w:vAlign w:val="bottom"/>
            <w:gridSpan w:val="6"/>
          </w:tcPr>
          <w:p>
            <w:pPr>
              <w:spacing w:after="0" w:line="20" w:lineRule="exact"/>
              <w:rPr>
                <w:sz w:val="1"/>
                <w:szCs w:val="1"/>
                <w:color w:val="auto"/>
              </w:rPr>
            </w:pPr>
          </w:p>
        </w:tc>
        <w:tc>
          <w:tcPr>
            <w:tcW w:w="5840" w:type="dxa"/>
            <w:vAlign w:val="bottom"/>
            <w:gridSpan w:val="1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840" w:type="dxa"/>
            <w:vAlign w:val="bottom"/>
            <w:gridSpan w:val="2"/>
          </w:tcPr>
          <w:p>
            <w:pPr>
              <w:spacing w:after="0" w:line="196" w:lineRule="exact"/>
              <w:rPr>
                <w:sz w:val="20"/>
                <w:szCs w:val="20"/>
                <w:color w:val="auto"/>
              </w:rPr>
            </w:pPr>
            <w:r>
              <w:rPr>
                <w:rFonts w:ascii="Arial" w:cs="Arial" w:eastAsia="Arial" w:hAnsi="Arial"/>
                <w:sz w:val="18"/>
                <w:szCs w:val="18"/>
                <w:color w:val="auto"/>
              </w:rPr>
              <w:t>Item 2.</w:t>
            </w:r>
          </w:p>
        </w:tc>
        <w:tc>
          <w:tcPr>
            <w:tcW w:w="10080" w:type="dxa"/>
            <w:vAlign w:val="bottom"/>
            <w:gridSpan w:val="19"/>
          </w:tcPr>
          <w:p>
            <w:pPr>
              <w:spacing w:after="0" w:line="196" w:lineRule="exact"/>
              <w:rPr>
                <w:rFonts w:ascii="Arial" w:cs="Arial" w:eastAsia="Arial" w:hAnsi="Arial"/>
                <w:sz w:val="18"/>
                <w:szCs w:val="18"/>
                <w:color w:val="0000EE"/>
              </w:rPr>
            </w:pPr>
            <w:hyperlink w:anchor="page49">
              <w:r>
                <w:rPr>
                  <w:rFonts w:ascii="Arial" w:cs="Arial" w:eastAsia="Arial" w:hAnsi="Arial"/>
                  <w:sz w:val="18"/>
                  <w:szCs w:val="18"/>
                  <w:color w:val="0000EE"/>
                </w:rPr>
                <w:t>Unregistered Sales of Equity Securities and Use of Proceeds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48</w:t>
            </w:r>
          </w:p>
        </w:tc>
        <w:tc>
          <w:tcPr>
            <w:tcW w:w="0" w:type="dxa"/>
            <w:vAlign w:val="bottom"/>
          </w:tcPr>
          <w:p>
            <w:pPr>
              <w:spacing w:after="0"/>
              <w:rPr>
                <w:sz w:val="1"/>
                <w:szCs w:val="1"/>
                <w:color w:val="auto"/>
              </w:rPr>
            </w:pPr>
          </w:p>
        </w:tc>
      </w:tr>
      <w:tr>
        <w:trPr>
          <w:trHeight w:val="196"/>
        </w:trPr>
        <w:tc>
          <w:tcPr>
            <w:tcW w:w="840" w:type="dxa"/>
            <w:vAlign w:val="bottom"/>
            <w:gridSpan w:val="2"/>
          </w:tcPr>
          <w:p>
            <w:pPr>
              <w:spacing w:after="0" w:line="196" w:lineRule="exact"/>
              <w:rPr>
                <w:sz w:val="20"/>
                <w:szCs w:val="20"/>
                <w:color w:val="auto"/>
              </w:rPr>
            </w:pPr>
            <w:r>
              <w:rPr>
                <w:rFonts w:ascii="Arial" w:cs="Arial" w:eastAsia="Arial" w:hAnsi="Arial"/>
                <w:sz w:val="18"/>
                <w:szCs w:val="18"/>
                <w:color w:val="auto"/>
              </w:rPr>
              <w:t>Item 6.</w:t>
            </w:r>
          </w:p>
        </w:tc>
        <w:tc>
          <w:tcPr>
            <w:tcW w:w="4240" w:type="dxa"/>
            <w:vAlign w:val="bottom"/>
            <w:tcBorders>
              <w:top w:val="single" w:sz="8" w:color="0000EE"/>
            </w:tcBorders>
            <w:gridSpan w:val="9"/>
          </w:tcPr>
          <w:p>
            <w:pPr>
              <w:spacing w:after="0" w:line="196" w:lineRule="exact"/>
              <w:rPr>
                <w:rFonts w:ascii="Arial" w:cs="Arial" w:eastAsia="Arial" w:hAnsi="Arial"/>
                <w:sz w:val="18"/>
                <w:szCs w:val="18"/>
                <w:color w:val="0000EE"/>
              </w:rPr>
            </w:pPr>
            <w:hyperlink w:anchor="page49">
              <w:r>
                <w:rPr>
                  <w:rFonts w:ascii="Arial" w:cs="Arial" w:eastAsia="Arial" w:hAnsi="Arial"/>
                  <w:sz w:val="18"/>
                  <w:szCs w:val="18"/>
                  <w:color w:val="0000EE"/>
                </w:rPr>
                <w:t>Exhibits</w:t>
              </w:r>
            </w:hyperlink>
          </w:p>
        </w:tc>
        <w:tc>
          <w:tcPr>
            <w:tcW w:w="5840" w:type="dxa"/>
            <w:vAlign w:val="bottom"/>
            <w:gridSpan w:val="10"/>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48</w:t>
            </w:r>
          </w:p>
        </w:tc>
        <w:tc>
          <w:tcPr>
            <w:tcW w:w="0" w:type="dxa"/>
            <w:vAlign w:val="bottom"/>
          </w:tcPr>
          <w:p>
            <w:pPr>
              <w:spacing w:after="0"/>
              <w:rPr>
                <w:sz w:val="1"/>
                <w:szCs w:val="1"/>
                <w:color w:val="auto"/>
              </w:rPr>
            </w:pPr>
          </w:p>
        </w:tc>
      </w:tr>
      <w:tr>
        <w:trPr>
          <w:trHeight w:val="196"/>
        </w:trPr>
        <w:tc>
          <w:tcPr>
            <w:tcW w:w="840" w:type="dxa"/>
            <w:vAlign w:val="bottom"/>
            <w:gridSpan w:val="2"/>
          </w:tcPr>
          <w:p>
            <w:pPr>
              <w:spacing w:after="0" w:line="196" w:lineRule="exact"/>
              <w:rPr>
                <w:rFonts w:ascii="Arial" w:cs="Arial" w:eastAsia="Arial" w:hAnsi="Arial"/>
                <w:sz w:val="18"/>
                <w:szCs w:val="18"/>
                <w:color w:val="0000EE"/>
                <w:w w:val="95"/>
              </w:rPr>
            </w:pPr>
            <w:hyperlink w:anchor="page50">
              <w:r>
                <w:rPr>
                  <w:rFonts w:ascii="Arial" w:cs="Arial" w:eastAsia="Arial" w:hAnsi="Arial"/>
                  <w:sz w:val="18"/>
                  <w:szCs w:val="18"/>
                  <w:color w:val="0000EE"/>
                  <w:w w:val="95"/>
                </w:rPr>
                <w:t>Signatures</w:t>
              </w:r>
            </w:hyperlink>
          </w:p>
        </w:tc>
        <w:tc>
          <w:tcPr>
            <w:tcW w:w="120" w:type="dxa"/>
            <w:vAlign w:val="bottom"/>
            <w:tcBorders>
              <w:top w:val="single" w:sz="8" w:color="0000EE"/>
            </w:tcBorders>
          </w:tcPr>
          <w:p>
            <w:pPr>
              <w:spacing w:after="0"/>
              <w:rPr>
                <w:sz w:val="17"/>
                <w:szCs w:val="17"/>
                <w:color w:val="auto"/>
              </w:rPr>
            </w:pPr>
          </w:p>
        </w:tc>
        <w:tc>
          <w:tcPr>
            <w:tcW w:w="480" w:type="dxa"/>
            <w:vAlign w:val="bottom"/>
            <w:tcBorders>
              <w:top w:val="single" w:sz="8" w:color="0000EE"/>
            </w:tcBorders>
          </w:tcPr>
          <w:p>
            <w:pPr>
              <w:spacing w:after="0"/>
              <w:rPr>
                <w:sz w:val="17"/>
                <w:szCs w:val="17"/>
                <w:color w:val="auto"/>
              </w:rPr>
            </w:pPr>
          </w:p>
        </w:tc>
        <w:tc>
          <w:tcPr>
            <w:tcW w:w="28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5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9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49</w:t>
            </w:r>
          </w:p>
        </w:tc>
        <w:tc>
          <w:tcPr>
            <w:tcW w:w="0" w:type="dxa"/>
            <w:vAlign w:val="bottom"/>
          </w:tcPr>
          <w:p>
            <w:pPr>
              <w:spacing w:after="0"/>
              <w:rPr>
                <w:sz w:val="1"/>
                <w:szCs w:val="1"/>
                <w:color w:val="auto"/>
              </w:rPr>
            </w:pPr>
          </w:p>
        </w:tc>
      </w:tr>
      <w:tr>
        <w:trPr>
          <w:trHeight w:val="20"/>
        </w:trPr>
        <w:tc>
          <w:tcPr>
            <w:tcW w:w="740" w:type="dxa"/>
            <w:vAlign w:val="bottom"/>
            <w:shd w:val="clear" w:color="auto" w:fill="0000EE"/>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9960" w:type="dxa"/>
            <w:vAlign w:val="bottom"/>
            <w:gridSpan w:val="18"/>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920" w:type="dxa"/>
            <w:vAlign w:val="bottom"/>
            <w:gridSpan w:val="21"/>
          </w:tcPr>
          <w:p>
            <w:pPr>
              <w:spacing w:after="0" w:line="196" w:lineRule="exact"/>
              <w:rPr>
                <w:rFonts w:ascii="Arial" w:cs="Arial" w:eastAsia="Arial" w:hAnsi="Arial"/>
                <w:sz w:val="18"/>
                <w:szCs w:val="18"/>
                <w:color w:val="0000EE"/>
              </w:rPr>
            </w:pPr>
            <w:hyperlink w:anchor="page51">
              <w:r>
                <w:rPr>
                  <w:rFonts w:ascii="Arial" w:cs="Arial" w:eastAsia="Arial" w:hAnsi="Arial"/>
                  <w:sz w:val="18"/>
                  <w:szCs w:val="18"/>
                  <w:color w:val="0000EE"/>
                </w:rPr>
                <w:t>Exhibit Index</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50</w:t>
            </w:r>
          </w:p>
        </w:tc>
        <w:tc>
          <w:tcPr>
            <w:tcW w:w="0" w:type="dxa"/>
            <w:vAlign w:val="bottom"/>
          </w:tcPr>
          <w:p>
            <w:pPr>
              <w:spacing w:after="0"/>
              <w:rPr>
                <w:sz w:val="1"/>
                <w:szCs w:val="1"/>
                <w:color w:val="auto"/>
              </w:rPr>
            </w:pPr>
          </w:p>
        </w:tc>
      </w:tr>
      <w:tr>
        <w:trPr>
          <w:trHeight w:val="383"/>
        </w:trPr>
        <w:tc>
          <w:tcPr>
            <w:tcW w:w="74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120" w:type="dxa"/>
            <w:vAlign w:val="bottom"/>
            <w:tcBorders>
              <w:top w:val="single" w:sz="8" w:color="0000EE"/>
            </w:tcBorders>
          </w:tcPr>
          <w:p>
            <w:pPr>
              <w:spacing w:after="0"/>
              <w:rPr>
                <w:sz w:val="24"/>
                <w:szCs w:val="24"/>
                <w:color w:val="auto"/>
              </w:rPr>
            </w:pPr>
          </w:p>
        </w:tc>
        <w:tc>
          <w:tcPr>
            <w:tcW w:w="6000" w:type="dxa"/>
            <w:vAlign w:val="bottom"/>
            <w:gridSpan w:val="11"/>
          </w:tcPr>
          <w:p>
            <w:pPr>
              <w:jc w:val="right"/>
              <w:ind w:right="1200"/>
              <w:spacing w:after="0"/>
              <w:rPr>
                <w:sz w:val="20"/>
                <w:szCs w:val="20"/>
                <w:color w:val="auto"/>
              </w:rPr>
            </w:pPr>
            <w:r>
              <w:rPr>
                <w:rFonts w:ascii="Arial" w:cs="Arial" w:eastAsia="Arial" w:hAnsi="Arial"/>
                <w:sz w:val="18"/>
                <w:szCs w:val="18"/>
                <w:color w:val="auto"/>
              </w:rPr>
              <w:t>1</w:t>
            </w: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9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00"/>
          </w:cols>
          <w:pgMar w:left="240" w:top="459" w:right="45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 FINANCIAL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88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right"/>
              <w:ind w:right="114"/>
              <w:spacing w:after="0"/>
              <w:rPr>
                <w:sz w:val="20"/>
                <w:szCs w:val="20"/>
                <w:color w:val="auto"/>
              </w:rPr>
            </w:pPr>
            <w:r>
              <w:rPr>
                <w:rFonts w:ascii="Arial" w:cs="Arial" w:eastAsia="Arial" w:hAnsi="Arial"/>
                <w:sz w:val="14"/>
                <w:szCs w:val="14"/>
                <w:b w:val="1"/>
                <w:bCs w:val="1"/>
                <w:color w:val="auto"/>
              </w:rPr>
              <w:t>May 3,</w:t>
            </w:r>
          </w:p>
        </w:tc>
        <w:tc>
          <w:tcPr>
            <w:tcW w:w="300" w:type="dxa"/>
            <w:vAlign w:val="bottom"/>
          </w:tcPr>
          <w:p>
            <w:pPr>
              <w:spacing w:after="0"/>
              <w:rPr>
                <w:sz w:val="14"/>
                <w:szCs w:val="14"/>
                <w:color w:val="auto"/>
              </w:rPr>
            </w:pPr>
          </w:p>
        </w:tc>
        <w:tc>
          <w:tcPr>
            <w:tcW w:w="1020" w:type="dxa"/>
            <w:vAlign w:val="bottom"/>
            <w:gridSpan w:val="3"/>
          </w:tcPr>
          <w:p>
            <w:pPr>
              <w:jc w:val="right"/>
              <w:ind w:right="280"/>
              <w:spacing w:after="0"/>
              <w:rPr>
                <w:sz w:val="20"/>
                <w:szCs w:val="20"/>
                <w:color w:val="auto"/>
              </w:rPr>
            </w:pPr>
            <w:r>
              <w:rPr>
                <w:rFonts w:ascii="Arial" w:cs="Arial" w:eastAsia="Arial" w:hAnsi="Arial"/>
                <w:sz w:val="14"/>
                <w:szCs w:val="14"/>
                <w:b w:val="1"/>
                <w:bCs w:val="1"/>
                <w:color w:val="auto"/>
                <w:w w:val="95"/>
              </w:rPr>
              <w:t>February 1,</w:t>
            </w:r>
          </w:p>
        </w:tc>
        <w:tc>
          <w:tcPr>
            <w:tcW w:w="0" w:type="dxa"/>
            <w:vAlign w:val="bottom"/>
          </w:tcPr>
          <w:p>
            <w:pPr>
              <w:spacing w:after="0"/>
              <w:rPr>
                <w:sz w:val="1"/>
                <w:szCs w:val="1"/>
                <w:color w:val="auto"/>
              </w:rPr>
            </w:pPr>
          </w:p>
        </w:tc>
      </w:tr>
      <w:tr>
        <w:trPr>
          <w:trHeight w:val="161"/>
        </w:trPr>
        <w:tc>
          <w:tcPr>
            <w:tcW w:w="7880" w:type="dxa"/>
            <w:vAlign w:val="bottom"/>
            <w:tcBorders>
              <w:bottom w:val="single" w:sz="8" w:color="CCEEFF"/>
            </w:tcBorders>
          </w:tcPr>
          <w:p>
            <w:pPr>
              <w:spacing w:after="0"/>
              <w:rPr>
                <w:sz w:val="14"/>
                <w:szCs w:val="14"/>
                <w:color w:val="auto"/>
              </w:rPr>
            </w:pPr>
          </w:p>
        </w:tc>
        <w:tc>
          <w:tcPr>
            <w:tcW w:w="14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2014</w:t>
            </w: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2014</w:t>
            </w:r>
          </w:p>
        </w:tc>
        <w:tc>
          <w:tcPr>
            <w:tcW w:w="2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7880" w:type="dxa"/>
            <w:vAlign w:val="bottom"/>
            <w:shd w:val="clear" w:color="auto" w:fill="CCEEFF"/>
          </w:tcPr>
          <w:p>
            <w:pPr>
              <w:ind w:left="5280"/>
              <w:spacing w:after="0" w:line="196" w:lineRule="exact"/>
              <w:rPr>
                <w:sz w:val="20"/>
                <w:szCs w:val="20"/>
                <w:color w:val="auto"/>
              </w:rPr>
            </w:pPr>
            <w:r>
              <w:rPr>
                <w:rFonts w:ascii="Arial" w:cs="Arial" w:eastAsia="Arial" w:hAnsi="Arial"/>
                <w:sz w:val="18"/>
                <w:szCs w:val="18"/>
                <w:b w:val="1"/>
                <w:bCs w:val="1"/>
                <w:color w:val="auto"/>
              </w:rPr>
              <w:t>ASSETS</w:t>
            </w:r>
          </w:p>
        </w:tc>
        <w:tc>
          <w:tcPr>
            <w:tcW w:w="14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7880" w:type="dxa"/>
            <w:vAlign w:val="bottom"/>
          </w:tcPr>
          <w:p>
            <w:pPr>
              <w:spacing w:after="0"/>
              <w:rPr>
                <w:sz w:val="20"/>
                <w:szCs w:val="20"/>
                <w:color w:val="auto"/>
              </w:rPr>
            </w:pPr>
            <w:r>
              <w:rPr>
                <w:rFonts w:ascii="Arial" w:cs="Arial" w:eastAsia="Arial" w:hAnsi="Arial"/>
                <w:sz w:val="18"/>
                <w:szCs w:val="18"/>
                <w:color w:val="auto"/>
              </w:rPr>
              <w:t>Current assets: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Cash and cash equivalents</w:t>
            </w:r>
          </w:p>
        </w:tc>
        <w:tc>
          <w:tcPr>
            <w:tcW w:w="15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1,141,304</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965,750</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Short-term investments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1,005,141</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1,003,655</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Accounts receivable, net</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517,074</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453,496</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Inventories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350,649</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347,861</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Prepaid expenses and other current assets</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56,938</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56,952</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7880" w:type="dxa"/>
            <w:vAlign w:val="bottom"/>
          </w:tcPr>
          <w:p>
            <w:pPr>
              <w:ind w:left="440"/>
              <w:spacing w:after="0"/>
              <w:rPr>
                <w:sz w:val="20"/>
                <w:szCs w:val="20"/>
                <w:color w:val="auto"/>
              </w:rPr>
            </w:pPr>
            <w:r>
              <w:rPr>
                <w:rFonts w:ascii="Arial" w:cs="Arial" w:eastAsia="Arial" w:hAnsi="Arial"/>
                <w:sz w:val="18"/>
                <w:szCs w:val="18"/>
                <w:color w:val="auto"/>
              </w:rPr>
              <w:t>Deferred income taxes</w:t>
            </w:r>
          </w:p>
        </w:tc>
        <w:tc>
          <w:tcPr>
            <w:tcW w:w="14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15,877</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11,506</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current assets</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3,086,983</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2,839,220</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349,321</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356,165</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13,456</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16,279</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tcPr>
          <w:p>
            <w:pPr>
              <w:spacing w:after="0"/>
              <w:rPr>
                <w:sz w:val="20"/>
                <w:szCs w:val="20"/>
                <w:color w:val="auto"/>
              </w:rPr>
            </w:pPr>
            <w:r>
              <w:rPr>
                <w:rFonts w:ascii="Arial" w:cs="Arial" w:eastAsia="Arial" w:hAnsi="Arial"/>
                <w:sz w:val="18"/>
                <w:szCs w:val="18"/>
                <w:color w:val="auto"/>
              </w:rPr>
              <w:t>Goodwill</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2,029,945</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2,029,945</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spacing w:after="0"/>
              <w:rPr>
                <w:sz w:val="20"/>
                <w:szCs w:val="20"/>
                <w:color w:val="auto"/>
              </w:rPr>
            </w:pPr>
            <w:r>
              <w:rPr>
                <w:rFonts w:ascii="Arial" w:cs="Arial" w:eastAsia="Arial" w:hAnsi="Arial"/>
                <w:sz w:val="18"/>
                <w:szCs w:val="18"/>
                <w:color w:val="auto"/>
              </w:rPr>
              <w:t>Acquired intangible assets, net</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41,861</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49,035</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788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14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161,406</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160,366</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assets</w:t>
            </w:r>
          </w:p>
        </w:tc>
        <w:tc>
          <w:tcPr>
            <w:tcW w:w="15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5,682,972</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5,451,010</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880" w:type="dxa"/>
            <w:vAlign w:val="bottom"/>
            <w:vMerge w:val="restart"/>
          </w:tcPr>
          <w:p>
            <w:pPr>
              <w:ind w:left="2640"/>
              <w:spacing w:after="0"/>
              <w:rPr>
                <w:sz w:val="20"/>
                <w:szCs w:val="20"/>
                <w:color w:val="auto"/>
              </w:rPr>
            </w:pPr>
            <w:r>
              <w:rPr>
                <w:rFonts w:ascii="Arial" w:cs="Arial" w:eastAsia="Arial" w:hAnsi="Arial"/>
                <w:sz w:val="18"/>
                <w:szCs w:val="18"/>
                <w:b w:val="1"/>
                <w:bCs w:val="1"/>
                <w:color w:val="auto"/>
              </w:rPr>
              <w:t>LIABILITIES AND SHAREHOLDERS’ EQUITY</w:t>
            </w:r>
          </w:p>
        </w:tc>
        <w:tc>
          <w:tcPr>
            <w:tcW w:w="1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7880" w:type="dxa"/>
            <w:vAlign w:val="bottom"/>
            <w:vMerge w:val="continue"/>
          </w:tcPr>
          <w:p>
            <w:pPr>
              <w:spacing w:after="0"/>
              <w:rPr>
                <w:sz w:val="18"/>
                <w:szCs w:val="18"/>
                <w:color w:val="auto"/>
              </w:rPr>
            </w:pP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788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Accounts payable</w:t>
            </w:r>
          </w:p>
        </w:tc>
        <w:tc>
          <w:tcPr>
            <w:tcW w:w="15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409,005</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316,389</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Accrued liabilities</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146,667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161,762</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Accrued employee compensation</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141,409</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220"/>
              <w:spacing w:after="0"/>
              <w:rPr>
                <w:sz w:val="20"/>
                <w:szCs w:val="20"/>
                <w:color w:val="auto"/>
              </w:rPr>
            </w:pPr>
            <w:r>
              <w:rPr>
                <w:rFonts w:ascii="Arial" w:cs="Arial" w:eastAsia="Arial" w:hAnsi="Arial"/>
                <w:sz w:val="18"/>
                <w:szCs w:val="18"/>
                <w:color w:val="auto"/>
              </w:rPr>
              <w:t>111,408</w:t>
            </w: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Deferred income</w:t>
            </w:r>
          </w:p>
        </w:tc>
        <w:tc>
          <w:tcPr>
            <w:tcW w:w="1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92,679</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61,747</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7880" w:type="dxa"/>
            <w:vAlign w:val="bottom"/>
          </w:tcPr>
          <w:p>
            <w:pPr>
              <w:ind w:left="880"/>
              <w:spacing w:after="0"/>
              <w:rPr>
                <w:sz w:val="20"/>
                <w:szCs w:val="20"/>
                <w:color w:val="auto"/>
              </w:rPr>
            </w:pPr>
            <w:r>
              <w:rPr>
                <w:rFonts w:ascii="Arial" w:cs="Arial" w:eastAsia="Arial" w:hAnsi="Arial"/>
                <w:sz w:val="18"/>
                <w:szCs w:val="18"/>
                <w:color w:val="auto"/>
              </w:rPr>
              <w:t>Total current liabilities</w:t>
            </w:r>
          </w:p>
        </w:tc>
        <w:tc>
          <w:tcPr>
            <w:tcW w:w="14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789,760</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651,306</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7880" w:type="dxa"/>
            <w:vAlign w:val="bottom"/>
            <w:shd w:val="clear" w:color="auto" w:fill="CCEEFF"/>
          </w:tcPr>
          <w:p>
            <w:pPr>
              <w:spacing w:after="0"/>
              <w:rPr>
                <w:sz w:val="20"/>
                <w:szCs w:val="20"/>
                <w:color w:val="auto"/>
              </w:rPr>
            </w:pPr>
            <w:r>
              <w:rPr>
                <w:rFonts w:ascii="Arial" w:cs="Arial" w:eastAsia="Arial" w:hAnsi="Arial"/>
                <w:sz w:val="18"/>
                <w:szCs w:val="18"/>
                <w:color w:val="auto"/>
              </w:rPr>
              <w:t>Non-current income taxes payable</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78,136</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81,325</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7880" w:type="dxa"/>
            <w:vAlign w:val="bottom"/>
          </w:tcPr>
          <w:p>
            <w:pPr>
              <w:spacing w:after="0"/>
              <w:rPr>
                <w:sz w:val="20"/>
                <w:szCs w:val="20"/>
                <w:color w:val="auto"/>
              </w:rPr>
            </w:pPr>
            <w:r>
              <w:rPr>
                <w:rFonts w:ascii="Arial" w:cs="Arial" w:eastAsia="Arial" w:hAnsi="Arial"/>
                <w:sz w:val="18"/>
                <w:szCs w:val="18"/>
                <w:color w:val="auto"/>
              </w:rPr>
              <w:t>Other non-current liabilities</w:t>
            </w:r>
          </w:p>
        </w:tc>
        <w:tc>
          <w:tcPr>
            <w:tcW w:w="14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45,589</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42,469</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913,485</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775,100</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tcPr>
          <w:p>
            <w:pPr>
              <w:spacing w:after="0"/>
              <w:rPr>
                <w:sz w:val="20"/>
                <w:szCs w:val="20"/>
                <w:color w:val="auto"/>
              </w:rPr>
            </w:pPr>
            <w:r>
              <w:rPr>
                <w:rFonts w:ascii="Arial" w:cs="Arial" w:eastAsia="Arial" w:hAnsi="Arial"/>
                <w:sz w:val="18"/>
                <w:szCs w:val="18"/>
                <w:color w:val="auto"/>
              </w:rPr>
              <w:t>Commitments and contingencies (Note 10)</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Common shares, $0.002 par value</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1,016</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1,005</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Additional paid-in capital</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2,966,097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2,941,650</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Accumulated other comprehensive income</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409</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597</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Retained earnings</w:t>
            </w:r>
          </w:p>
        </w:tc>
        <w:tc>
          <w:tcPr>
            <w:tcW w:w="1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1,801,965</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1,732,658</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7880" w:type="dxa"/>
            <w:vAlign w:val="bottom"/>
          </w:tcPr>
          <w:p>
            <w:pPr>
              <w:ind w:left="880"/>
              <w:spacing w:after="0"/>
              <w:rPr>
                <w:sz w:val="20"/>
                <w:szCs w:val="20"/>
                <w:color w:val="auto"/>
              </w:rPr>
            </w:pPr>
            <w:r>
              <w:rPr>
                <w:rFonts w:ascii="Arial" w:cs="Arial" w:eastAsia="Arial" w:hAnsi="Arial"/>
                <w:sz w:val="18"/>
                <w:szCs w:val="18"/>
                <w:color w:val="auto"/>
              </w:rPr>
              <w:t>Total shareholders’ equity</w:t>
            </w:r>
          </w:p>
        </w:tc>
        <w:tc>
          <w:tcPr>
            <w:tcW w:w="14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4,769,487</w:t>
            </w:r>
          </w:p>
        </w:tc>
        <w:tc>
          <w:tcPr>
            <w:tcW w:w="30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4,675,910</w:t>
            </w: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 and shareholders’ equity</w:t>
            </w:r>
          </w:p>
        </w:tc>
        <w:tc>
          <w:tcPr>
            <w:tcW w:w="15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5,682,972</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5,451,010</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88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left="260" w:right="2520"/>
        <w:spacing w:after="0" w:line="262"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17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6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80" w:type="dxa"/>
            <w:vAlign w:val="bottom"/>
            <w:gridSpan w:val="7"/>
          </w:tcPr>
          <w:p>
            <w:pPr>
              <w:jc w:val="right"/>
              <w:ind w:right="340"/>
              <w:spacing w:after="0"/>
              <w:rPr>
                <w:sz w:val="20"/>
                <w:szCs w:val="20"/>
                <w:color w:val="auto"/>
              </w:rPr>
            </w:pPr>
            <w:r>
              <w:rPr>
                <w:rFonts w:ascii="Arial" w:cs="Arial" w:eastAsia="Arial" w:hAnsi="Arial"/>
                <w:sz w:val="14"/>
                <w:szCs w:val="14"/>
                <w:b w:val="1"/>
                <w:bCs w:val="1"/>
                <w:color w:val="auto"/>
                <w:w w:val="95"/>
              </w:rPr>
              <w:t>Three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96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760" w:type="dxa"/>
            <w:vAlign w:val="bottom"/>
            <w:tcBorders>
              <w:top w:val="single" w:sz="8" w:color="auto"/>
            </w:tcBorders>
            <w:gridSpan w:val="3"/>
          </w:tcPr>
          <w:p>
            <w:pPr>
              <w:jc w:val="right"/>
              <w:ind w:right="320"/>
              <w:spacing w:after="0" w:line="129" w:lineRule="exact"/>
              <w:rPr>
                <w:sz w:val="20"/>
                <w:szCs w:val="20"/>
                <w:color w:val="auto"/>
              </w:rPr>
            </w:pPr>
            <w:r>
              <w:rPr>
                <w:rFonts w:ascii="Arial" w:cs="Arial" w:eastAsia="Arial" w:hAnsi="Arial"/>
                <w:sz w:val="14"/>
                <w:szCs w:val="14"/>
                <w:b w:val="1"/>
                <w:bCs w:val="1"/>
                <w:color w:val="auto"/>
                <w:w w:val="98"/>
              </w:rPr>
              <w:t>May 3,</w:t>
            </w:r>
          </w:p>
        </w:tc>
        <w:tc>
          <w:tcPr>
            <w:tcW w:w="1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54"/>
              <w:spacing w:after="0" w:line="129" w:lineRule="exact"/>
              <w:rPr>
                <w:sz w:val="20"/>
                <w:szCs w:val="20"/>
                <w:color w:val="auto"/>
              </w:rPr>
            </w:pPr>
            <w:r>
              <w:rPr>
                <w:rFonts w:ascii="Arial" w:cs="Arial" w:eastAsia="Arial" w:hAnsi="Arial"/>
                <w:sz w:val="14"/>
                <w:szCs w:val="14"/>
                <w:b w:val="1"/>
                <w:bCs w:val="1"/>
                <w:color w:val="auto"/>
                <w:w w:val="98"/>
              </w:rPr>
              <w:t>May 4,</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6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2014</w:t>
            </w:r>
          </w:p>
        </w:tc>
        <w:tc>
          <w:tcPr>
            <w:tcW w:w="2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962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957,830</w:t>
            </w: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734,369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2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6"/>
              </w:rPr>
              <w:t>493,860</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6"/>
              </w:rPr>
              <w:t>335,438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2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w w:val="86"/>
              </w:rPr>
              <w:t>295,363</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w w:val="86"/>
              </w:rPr>
              <w:t>279,052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38,358</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39,989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2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30,573</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26,323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6,689</w:t>
            </w: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10,686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9620" w:type="dxa"/>
            <w:vAlign w:val="bottom"/>
          </w:tcPr>
          <w:p>
            <w:pPr>
              <w:ind w:left="860"/>
              <w:spacing w:after="0"/>
              <w:rPr>
                <w:sz w:val="20"/>
                <w:szCs w:val="20"/>
                <w:color w:val="auto"/>
              </w:rPr>
            </w:pPr>
            <w:r>
              <w:rPr>
                <w:rFonts w:ascii="Arial" w:cs="Arial" w:eastAsia="Arial" w:hAnsi="Arial"/>
                <w:sz w:val="18"/>
                <w:szCs w:val="18"/>
                <w:color w:val="auto"/>
              </w:rPr>
              <w:t>Total operating costs and expenses</w:t>
            </w:r>
          </w:p>
        </w:tc>
        <w:tc>
          <w:tcPr>
            <w:tcW w:w="2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864,843</w:t>
            </w:r>
          </w:p>
        </w:tc>
        <w:tc>
          <w:tcPr>
            <w:tcW w:w="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691,488</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2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92,987</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42,881</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2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1,925</w:t>
            </w:r>
          </w:p>
        </w:tc>
        <w:tc>
          <w:tcPr>
            <w:tcW w:w="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3,160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2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94,912</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46,041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20" w:type="dxa"/>
            <w:vAlign w:val="bottom"/>
          </w:tcPr>
          <w:p>
            <w:pPr>
              <w:spacing w:after="0"/>
              <w:rPr>
                <w:sz w:val="20"/>
                <w:szCs w:val="20"/>
                <w:color w:val="auto"/>
              </w:rPr>
            </w:pPr>
            <w:r>
              <w:rPr>
                <w:rFonts w:ascii="Arial" w:cs="Arial" w:eastAsia="Arial" w:hAnsi="Arial"/>
                <w:sz w:val="18"/>
                <w:szCs w:val="18"/>
                <w:color w:val="auto"/>
              </w:rPr>
              <w:t>Benefit for income taxes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gridSpan w:val="3"/>
          </w:tcPr>
          <w:p>
            <w:pPr>
              <w:jc w:val="right"/>
              <w:ind w:right="120"/>
              <w:spacing w:after="0"/>
              <w:rPr>
                <w:sz w:val="20"/>
                <w:szCs w:val="20"/>
                <w:color w:val="auto"/>
              </w:rPr>
            </w:pPr>
            <w:r>
              <w:rPr>
                <w:rFonts w:ascii="Arial" w:cs="Arial" w:eastAsia="Arial" w:hAnsi="Arial"/>
                <w:sz w:val="18"/>
                <w:szCs w:val="18"/>
                <w:color w:val="auto"/>
              </w:rPr>
              <w:t>(4,567)</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rPr>
              <w:t>(7,168)</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962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962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99,479</w:t>
            </w:r>
          </w:p>
        </w:tc>
        <w:tc>
          <w:tcPr>
            <w:tcW w:w="16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53,209</w:t>
            </w:r>
          </w:p>
        </w:tc>
        <w:tc>
          <w:tcPr>
            <w:tcW w:w="0" w:type="dxa"/>
            <w:vAlign w:val="bottom"/>
          </w:tcPr>
          <w:p>
            <w:pPr>
              <w:spacing w:after="0"/>
              <w:rPr>
                <w:sz w:val="1"/>
                <w:szCs w:val="1"/>
                <w:color w:val="auto"/>
              </w:rPr>
            </w:pPr>
          </w:p>
        </w:tc>
      </w:tr>
      <w:tr>
        <w:trPr>
          <w:trHeight w:val="20"/>
        </w:trPr>
        <w:tc>
          <w:tcPr>
            <w:tcW w:w="9640" w:type="dxa"/>
            <w:vAlign w:val="bottom"/>
            <w:gridSpan w:val="2"/>
            <w:vMerge w:val="restart"/>
          </w:tcPr>
          <w:p>
            <w:pPr>
              <w:spacing w:after="0"/>
              <w:rPr>
                <w:sz w:val="20"/>
                <w:szCs w:val="20"/>
                <w:color w:val="auto"/>
              </w:rPr>
            </w:pPr>
            <w:r>
              <w:rPr>
                <w:rFonts w:ascii="Arial" w:cs="Arial" w:eastAsia="Arial" w:hAnsi="Arial"/>
                <w:sz w:val="18"/>
                <w:szCs w:val="18"/>
                <w:color w:val="auto"/>
              </w:rPr>
              <w:t>Net income per share:</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640" w:type="dxa"/>
            <w:vAlign w:val="bottom"/>
            <w:gridSpan w:val="2"/>
            <w:vMerge w:val="continue"/>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96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Basic</w:t>
            </w:r>
          </w:p>
        </w:tc>
        <w:tc>
          <w:tcPr>
            <w:tcW w:w="100" w:type="dxa"/>
            <w:vAlign w:val="bottom"/>
            <w:gridSpan w:val="2"/>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0.20</w:t>
            </w:r>
          </w:p>
        </w:tc>
        <w:tc>
          <w:tcPr>
            <w:tcW w:w="160" w:type="dxa"/>
            <w:vAlign w:val="bottom"/>
            <w:shd w:val="clear" w:color="auto" w:fill="CCEEFF"/>
          </w:tcPr>
          <w:p>
            <w:pPr>
              <w:spacing w:after="0"/>
              <w:rPr>
                <w:sz w:val="18"/>
                <w:szCs w:val="18"/>
                <w:color w:val="auto"/>
              </w:rPr>
            </w:pP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0.11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620" w:type="dxa"/>
            <w:vAlign w:val="bottom"/>
            <w:vMerge w:val="restart"/>
          </w:tcPr>
          <w:p>
            <w:pPr>
              <w:ind w:left="420"/>
              <w:spacing w:after="0"/>
              <w:rPr>
                <w:sz w:val="20"/>
                <w:szCs w:val="20"/>
                <w:color w:val="auto"/>
              </w:rPr>
            </w:pPr>
            <w:r>
              <w:rPr>
                <w:rFonts w:ascii="Arial" w:cs="Arial" w:eastAsia="Arial" w:hAnsi="Arial"/>
                <w:sz w:val="18"/>
                <w:szCs w:val="18"/>
                <w:color w:val="auto"/>
              </w:rPr>
              <w:t>Diluted</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9620" w:type="dxa"/>
            <w:vAlign w:val="bottom"/>
            <w:vMerge w:val="continue"/>
          </w:tcPr>
          <w:p>
            <w:pPr>
              <w:spacing w:after="0"/>
              <w:rPr>
                <w:sz w:val="18"/>
                <w:szCs w:val="18"/>
                <w:color w:val="auto"/>
              </w:rPr>
            </w:pPr>
          </w:p>
        </w:tc>
        <w:tc>
          <w:tcPr>
            <w:tcW w:w="100" w:type="dxa"/>
            <w:vAlign w:val="bottom"/>
            <w:gridSpan w:val="2"/>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0.19</w:t>
            </w:r>
          </w:p>
        </w:tc>
        <w:tc>
          <w:tcPr>
            <w:tcW w:w="160" w:type="dxa"/>
            <w:vAlign w:val="bottom"/>
          </w:tcPr>
          <w:p>
            <w:pPr>
              <w:spacing w:after="0"/>
              <w:rPr>
                <w:sz w:val="18"/>
                <w:szCs w:val="18"/>
                <w:color w:val="auto"/>
              </w:rPr>
            </w:pP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0.11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6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962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20" w:type="dxa"/>
            <w:vAlign w:val="bottom"/>
          </w:tcPr>
          <w:p>
            <w:pPr>
              <w:ind w:left="420"/>
              <w:spacing w:after="0"/>
              <w:rPr>
                <w:sz w:val="20"/>
                <w:szCs w:val="20"/>
                <w:color w:val="auto"/>
              </w:rPr>
            </w:pPr>
            <w:r>
              <w:rPr>
                <w:rFonts w:ascii="Arial" w:cs="Arial" w:eastAsia="Arial" w:hAnsi="Arial"/>
                <w:sz w:val="18"/>
                <w:szCs w:val="18"/>
                <w:color w:val="auto"/>
              </w:rPr>
              <w:t>Basic</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w w:val="86"/>
              </w:rPr>
              <w:t>505,105</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w w:val="86"/>
              </w:rPr>
              <w:t>502,180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6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96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Diluted</w:t>
            </w: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520,751</w:t>
            </w: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505,387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640" w:type="dxa"/>
            <w:vAlign w:val="bottom"/>
            <w:gridSpan w:val="2"/>
            <w:vMerge w:val="restart"/>
          </w:tcPr>
          <w:p>
            <w:pPr>
              <w:spacing w:after="0"/>
              <w:rPr>
                <w:sz w:val="20"/>
                <w:szCs w:val="20"/>
                <w:color w:val="auto"/>
              </w:rPr>
            </w:pPr>
            <w:r>
              <w:rPr>
                <w:rFonts w:ascii="Arial" w:cs="Arial" w:eastAsia="Arial" w:hAnsi="Arial"/>
                <w:sz w:val="18"/>
                <w:szCs w:val="18"/>
                <w:color w:val="auto"/>
              </w:rPr>
              <w:t>Cash dividend declared per share</w:t>
            </w: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640" w:type="dxa"/>
            <w:vAlign w:val="bottom"/>
            <w:gridSpan w:val="2"/>
            <w:vMerge w:val="continue"/>
          </w:tcPr>
          <w:p>
            <w:pPr>
              <w:spacing w:after="0"/>
              <w:rPr>
                <w:sz w:val="18"/>
                <w:szCs w:val="18"/>
                <w:color w:val="auto"/>
              </w:rPr>
            </w:pPr>
          </w:p>
        </w:tc>
        <w:tc>
          <w:tcPr>
            <w:tcW w:w="100" w:type="dxa"/>
            <w:vAlign w:val="bottom"/>
            <w:gridSpan w:val="2"/>
          </w:tcPr>
          <w:p>
            <w:pPr>
              <w:jc w:val="right"/>
              <w:spacing w:after="0"/>
              <w:rPr>
                <w:sz w:val="20"/>
                <w:szCs w:val="20"/>
                <w:color w:val="auto"/>
              </w:rPr>
            </w:pPr>
            <w:r>
              <w:rPr>
                <w:rFonts w:ascii="Arial" w:cs="Arial" w:eastAsia="Arial" w:hAnsi="Arial"/>
                <w:sz w:val="15"/>
                <w:szCs w:val="15"/>
                <w:color w:val="auto"/>
                <w:w w:val="71"/>
              </w:rPr>
              <w:t>$</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0.06</w:t>
            </w:r>
          </w:p>
        </w:tc>
        <w:tc>
          <w:tcPr>
            <w:tcW w:w="160" w:type="dxa"/>
            <w:vAlign w:val="bottom"/>
          </w:tcPr>
          <w:p>
            <w:pPr>
              <w:spacing w:after="0"/>
              <w:rPr>
                <w:sz w:val="18"/>
                <w:szCs w:val="18"/>
                <w:color w:val="auto"/>
              </w:rPr>
            </w:pP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0.06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62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45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COMPREHENSIVE INCOME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800" w:type="dxa"/>
            <w:vAlign w:val="bottom"/>
          </w:tcPr>
          <w:p>
            <w:pPr>
              <w:spacing w:after="0"/>
              <w:rPr>
                <w:sz w:val="14"/>
                <w:szCs w:val="14"/>
                <w:color w:val="auto"/>
              </w:rPr>
            </w:pPr>
          </w:p>
        </w:tc>
        <w:tc>
          <w:tcPr>
            <w:tcW w:w="1600" w:type="dxa"/>
            <w:vAlign w:val="bottom"/>
            <w:gridSpan w:val="4"/>
          </w:tcPr>
          <w:p>
            <w:pPr>
              <w:jc w:val="right"/>
              <w:ind w:right="240"/>
              <w:spacing w:after="0"/>
              <w:rPr>
                <w:sz w:val="20"/>
                <w:szCs w:val="20"/>
                <w:color w:val="auto"/>
              </w:rPr>
            </w:pPr>
            <w:r>
              <w:rPr>
                <w:rFonts w:ascii="Arial" w:cs="Arial" w:eastAsia="Arial" w:hAnsi="Arial"/>
                <w:sz w:val="14"/>
                <w:szCs w:val="14"/>
                <w:b w:val="1"/>
                <w:bCs w:val="1"/>
                <w:color w:val="auto"/>
                <w:w w:val="96"/>
              </w:rPr>
              <w:t>Three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9800" w:type="dxa"/>
            <w:vAlign w:val="bottom"/>
          </w:tcPr>
          <w:p>
            <w:pPr>
              <w:spacing w:after="0"/>
              <w:rPr>
                <w:sz w:val="11"/>
                <w:szCs w:val="11"/>
                <w:color w:val="auto"/>
              </w:rPr>
            </w:pPr>
          </w:p>
        </w:tc>
        <w:tc>
          <w:tcPr>
            <w:tcW w:w="920" w:type="dxa"/>
            <w:vAlign w:val="bottom"/>
            <w:tcBorders>
              <w:top w:val="single" w:sz="8" w:color="auto"/>
            </w:tcBorders>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rPr>
              <w:t>May 3,</w:t>
            </w:r>
          </w:p>
        </w:tc>
        <w:tc>
          <w:tcPr>
            <w:tcW w:w="580" w:type="dxa"/>
            <w:vAlign w:val="bottom"/>
            <w:tcBorders>
              <w:top w:val="single" w:sz="8" w:color="auto"/>
            </w:tcBorders>
          </w:tcPr>
          <w:p>
            <w:pPr>
              <w:jc w:val="right"/>
              <w:ind w:right="17"/>
              <w:spacing w:after="0" w:line="129" w:lineRule="exact"/>
              <w:rPr>
                <w:sz w:val="20"/>
                <w:szCs w:val="20"/>
                <w:color w:val="auto"/>
              </w:rPr>
            </w:pPr>
            <w:r>
              <w:rPr>
                <w:rFonts w:ascii="Arial" w:cs="Arial" w:eastAsia="Arial" w:hAnsi="Arial"/>
                <w:sz w:val="14"/>
                <w:szCs w:val="14"/>
                <w:b w:val="1"/>
                <w:bCs w:val="1"/>
                <w:color w:val="auto"/>
              </w:rPr>
              <w:t>May 4,</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800" w:type="dxa"/>
            <w:vAlign w:val="bottom"/>
            <w:tcBorders>
              <w:bottom w:val="single" w:sz="8" w:color="CCEEFF"/>
            </w:tcBorders>
          </w:tcPr>
          <w:p>
            <w:pPr>
              <w:spacing w:after="0"/>
              <w:rPr>
                <w:sz w:val="14"/>
                <w:szCs w:val="14"/>
                <w:color w:val="auto"/>
              </w:rPr>
            </w:pPr>
          </w:p>
        </w:tc>
        <w:tc>
          <w:tcPr>
            <w:tcW w:w="580" w:type="dxa"/>
            <w:vAlign w:val="bottom"/>
            <w:tcBorders>
              <w:bottom w:val="single" w:sz="8" w:color="auto"/>
            </w:tcBorders>
          </w:tcPr>
          <w:p>
            <w:pPr>
              <w:jc w:val="right"/>
              <w:ind w:right="59"/>
              <w:spacing w:after="0"/>
              <w:rPr>
                <w:sz w:val="20"/>
                <w:szCs w:val="20"/>
                <w:color w:val="auto"/>
              </w:rPr>
            </w:pPr>
            <w:r>
              <w:rPr>
                <w:rFonts w:ascii="Arial" w:cs="Arial" w:eastAsia="Arial" w:hAnsi="Arial"/>
                <w:sz w:val="14"/>
                <w:szCs w:val="14"/>
                <w:b w:val="1"/>
                <w:bCs w:val="1"/>
                <w:color w:val="auto"/>
              </w:rPr>
              <w:t>2014</w:t>
            </w:r>
          </w:p>
        </w:tc>
        <w:tc>
          <w:tcPr>
            <w:tcW w:w="340" w:type="dxa"/>
            <w:vAlign w:val="bottom"/>
            <w:tcBorders>
              <w:bottom w:val="single" w:sz="8" w:color="CCEEFF"/>
            </w:tcBorders>
          </w:tcPr>
          <w:p>
            <w:pPr>
              <w:spacing w:after="0"/>
              <w:rPr>
                <w:sz w:val="14"/>
                <w:szCs w:val="14"/>
                <w:color w:val="auto"/>
              </w:rPr>
            </w:pPr>
          </w:p>
        </w:tc>
        <w:tc>
          <w:tcPr>
            <w:tcW w:w="580" w:type="dxa"/>
            <w:vAlign w:val="bottom"/>
            <w:tcBorders>
              <w:bottom w:val="single" w:sz="8" w:color="auto"/>
            </w:tcBorders>
          </w:tcPr>
          <w:p>
            <w:pPr>
              <w:jc w:val="right"/>
              <w:ind w:right="77"/>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98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income</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$99,479</w:t>
            </w:r>
          </w:p>
        </w:tc>
        <w:tc>
          <w:tcPr>
            <w:tcW w:w="34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$53,209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800" w:type="dxa"/>
            <w:vAlign w:val="bottom"/>
          </w:tcPr>
          <w:p>
            <w:pPr>
              <w:spacing w:after="0"/>
              <w:rPr>
                <w:sz w:val="20"/>
                <w:szCs w:val="20"/>
                <w:color w:val="auto"/>
              </w:rPr>
            </w:pPr>
            <w:r>
              <w:rPr>
                <w:rFonts w:ascii="Arial" w:cs="Arial" w:eastAsia="Arial" w:hAnsi="Arial"/>
                <w:sz w:val="18"/>
                <w:szCs w:val="18"/>
                <w:color w:val="auto"/>
              </w:rPr>
              <w:t>Other comprehensive income, net of tax:</w:t>
            </w: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change in unrealized gain/loss on marketable securities</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378</w:t>
            </w:r>
          </w:p>
        </w:tc>
        <w:tc>
          <w:tcPr>
            <w:tcW w:w="3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800" w:type="dxa"/>
            <w:vAlign w:val="bottom"/>
          </w:tcPr>
          <w:p>
            <w:pPr>
              <w:ind w:left="420"/>
              <w:spacing w:after="0"/>
              <w:rPr>
                <w:sz w:val="20"/>
                <w:szCs w:val="20"/>
                <w:color w:val="auto"/>
              </w:rPr>
            </w:pPr>
            <w:r>
              <w:rPr>
                <w:rFonts w:ascii="Arial" w:cs="Arial" w:eastAsia="Arial" w:hAnsi="Arial"/>
                <w:sz w:val="18"/>
                <w:szCs w:val="18"/>
                <w:color w:val="auto"/>
              </w:rPr>
              <w:t>Net change in unrealized gain/loss on auction rate securities</w:t>
            </w:r>
          </w:p>
        </w:tc>
        <w:tc>
          <w:tcPr>
            <w:tcW w:w="580" w:type="dxa"/>
            <w:vAlign w:val="bottom"/>
          </w:tcPr>
          <w:p>
            <w:pPr>
              <w:jc w:val="right"/>
              <w:spacing w:after="0"/>
              <w:rPr>
                <w:sz w:val="20"/>
                <w:szCs w:val="20"/>
                <w:color w:val="auto"/>
              </w:rPr>
            </w:pPr>
            <w:r>
              <w:rPr>
                <w:rFonts w:ascii="Arial" w:cs="Arial" w:eastAsia="Arial" w:hAnsi="Arial"/>
                <w:sz w:val="18"/>
                <w:szCs w:val="18"/>
                <w:color w:val="auto"/>
              </w:rPr>
              <w:t>177</w:t>
            </w:r>
          </w:p>
        </w:tc>
        <w:tc>
          <w:tcPr>
            <w:tcW w:w="34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81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change in unrealized gain/loss on cash flow hedges</w:t>
            </w: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(743)</w:t>
            </w:r>
          </w:p>
        </w:tc>
        <w:tc>
          <w:tcPr>
            <w:tcW w:w="6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800" w:type="dxa"/>
            <w:vAlign w:val="bottom"/>
            <w:vMerge w:val="restart"/>
          </w:tcPr>
          <w:p>
            <w:pPr>
              <w:ind w:left="860"/>
              <w:spacing w:after="0"/>
              <w:rPr>
                <w:sz w:val="20"/>
                <w:szCs w:val="20"/>
                <w:color w:val="auto"/>
              </w:rPr>
            </w:pPr>
            <w:r>
              <w:rPr>
                <w:rFonts w:ascii="Arial" w:cs="Arial" w:eastAsia="Arial" w:hAnsi="Arial"/>
                <w:sz w:val="18"/>
                <w:szCs w:val="18"/>
                <w:color w:val="auto"/>
              </w:rPr>
              <w:t>Other comprehensive income (loss), net</w:t>
            </w:r>
          </w:p>
        </w:tc>
        <w:tc>
          <w:tcPr>
            <w:tcW w:w="58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20" w:type="dxa"/>
            <w:vAlign w:val="bottom"/>
          </w:tcPr>
          <w:p>
            <w:pPr>
              <w:spacing w:after="0"/>
              <w:rPr>
                <w:sz w:val="20"/>
                <w:szCs w:val="20"/>
                <w:color w:val="auto"/>
              </w:rPr>
            </w:pPr>
          </w:p>
        </w:tc>
        <w:tc>
          <w:tcPr>
            <w:tcW w:w="9800" w:type="dxa"/>
            <w:vAlign w:val="bottom"/>
            <w:vMerge w:val="continue"/>
          </w:tcPr>
          <w:p>
            <w:pPr>
              <w:spacing w:after="0"/>
              <w:rPr>
                <w:sz w:val="20"/>
                <w:szCs w:val="20"/>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rPr>
              <w:t>(188)</w:t>
            </w: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1,028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800" w:type="dxa"/>
            <w:vAlign w:val="bottom"/>
            <w:shd w:val="clear" w:color="auto" w:fill="CCEEFF"/>
          </w:tcPr>
          <w:p>
            <w:pPr>
              <w:spacing w:after="0"/>
              <w:rPr>
                <w:sz w:val="20"/>
                <w:szCs w:val="20"/>
                <w:color w:val="auto"/>
              </w:rPr>
            </w:pPr>
            <w:r>
              <w:rPr>
                <w:rFonts w:ascii="Arial" w:cs="Arial" w:eastAsia="Arial" w:hAnsi="Arial"/>
                <w:sz w:val="18"/>
                <w:szCs w:val="18"/>
                <w:color w:val="auto"/>
              </w:rPr>
              <w:t>Comprehensive income</w:t>
            </w:r>
          </w:p>
        </w:tc>
        <w:tc>
          <w:tcPr>
            <w:tcW w:w="5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99,291</w:t>
            </w:r>
          </w:p>
        </w:tc>
        <w:tc>
          <w:tcPr>
            <w:tcW w:w="340" w:type="dxa"/>
            <w:vAlign w:val="bottom"/>
            <w:shd w:val="clear" w:color="auto" w:fill="CCEEFF"/>
          </w:tcPr>
          <w:p>
            <w:pPr>
              <w:spacing w:after="0"/>
              <w:rPr>
                <w:sz w:val="18"/>
                <w:szCs w:val="18"/>
                <w:color w:val="auto"/>
              </w:rPr>
            </w:pPr>
          </w:p>
        </w:tc>
        <w:tc>
          <w:tcPr>
            <w:tcW w:w="5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54,237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80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86"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45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line="270"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38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4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60" w:type="dxa"/>
            <w:vAlign w:val="bottom"/>
            <w:gridSpan w:val="6"/>
          </w:tcPr>
          <w:p>
            <w:pPr>
              <w:jc w:val="right"/>
              <w:ind w:right="42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946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880" w:type="dxa"/>
            <w:vAlign w:val="bottom"/>
            <w:tcBorders>
              <w:top w:val="single" w:sz="8" w:color="auto"/>
            </w:tcBorders>
            <w:gridSpan w:val="2"/>
          </w:tcPr>
          <w:p>
            <w:pPr>
              <w:jc w:val="right"/>
              <w:ind w:right="380"/>
              <w:spacing w:after="0" w:line="129" w:lineRule="exact"/>
              <w:rPr>
                <w:sz w:val="20"/>
                <w:szCs w:val="20"/>
                <w:color w:val="auto"/>
              </w:rPr>
            </w:pPr>
            <w:r>
              <w:rPr>
                <w:rFonts w:ascii="Arial" w:cs="Arial" w:eastAsia="Arial" w:hAnsi="Arial"/>
                <w:sz w:val="14"/>
                <w:szCs w:val="14"/>
                <w:b w:val="1"/>
                <w:bCs w:val="1"/>
                <w:color w:val="auto"/>
              </w:rPr>
              <w:t>May 3,</w:t>
            </w:r>
          </w:p>
        </w:tc>
        <w:tc>
          <w:tcPr>
            <w:tcW w:w="1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tcPr>
          <w:p>
            <w:pPr>
              <w:jc w:val="right"/>
              <w:ind w:right="93"/>
              <w:spacing w:after="0" w:line="129" w:lineRule="exact"/>
              <w:rPr>
                <w:sz w:val="20"/>
                <w:szCs w:val="20"/>
                <w:color w:val="auto"/>
              </w:rPr>
            </w:pPr>
            <w:r>
              <w:rPr>
                <w:rFonts w:ascii="Arial" w:cs="Arial" w:eastAsia="Arial" w:hAnsi="Arial"/>
                <w:sz w:val="14"/>
                <w:szCs w:val="14"/>
                <w:b w:val="1"/>
                <w:bCs w:val="1"/>
                <w:color w:val="auto"/>
              </w:rPr>
              <w:t>May 4,</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94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2014</w:t>
            </w:r>
          </w:p>
        </w:tc>
        <w:tc>
          <w:tcPr>
            <w:tcW w:w="1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3"/>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946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operating activities:</w:t>
            </w: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9460" w:type="dxa"/>
            <w:vAlign w:val="bottom"/>
          </w:tcPr>
          <w:p>
            <w:pPr>
              <w:ind w:left="440"/>
              <w:spacing w:after="0"/>
              <w:rPr>
                <w:sz w:val="20"/>
                <w:szCs w:val="20"/>
                <w:color w:val="auto"/>
              </w:rPr>
            </w:pPr>
            <w:r>
              <w:rPr>
                <w:rFonts w:ascii="Arial" w:cs="Arial" w:eastAsia="Arial" w:hAnsi="Arial"/>
                <w:sz w:val="18"/>
                <w:szCs w:val="18"/>
                <w:color w:val="auto"/>
              </w:rPr>
              <w:t>Net income</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99,479</w:t>
            </w:r>
          </w:p>
        </w:tc>
        <w:tc>
          <w:tcPr>
            <w:tcW w:w="180" w:type="dxa"/>
            <w:vAlign w:val="bottom"/>
          </w:tcPr>
          <w:p>
            <w:pPr>
              <w:spacing w:after="0"/>
              <w:rPr>
                <w:sz w:val="18"/>
                <w:szCs w:val="18"/>
                <w:color w:val="auto"/>
              </w:rPr>
            </w:pP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53,209</w:t>
            </w:r>
          </w:p>
        </w:tc>
        <w:tc>
          <w:tcPr>
            <w:tcW w:w="0" w:type="dxa"/>
            <w:vAlign w:val="bottom"/>
          </w:tcPr>
          <w:p>
            <w:pPr>
              <w:spacing w:after="0"/>
              <w:rPr>
                <w:sz w:val="1"/>
                <w:szCs w:val="1"/>
                <w:color w:val="auto"/>
              </w:rPr>
            </w:pPr>
          </w:p>
        </w:tc>
      </w:tr>
      <w:tr>
        <w:trPr>
          <w:trHeight w:val="216"/>
        </w:trPr>
        <w:tc>
          <w:tcPr>
            <w:tcW w:w="94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60" w:type="dxa"/>
            <w:vAlign w:val="bottom"/>
          </w:tcPr>
          <w:p>
            <w:pPr>
              <w:ind w:left="880"/>
              <w:spacing w:after="0"/>
              <w:rPr>
                <w:sz w:val="20"/>
                <w:szCs w:val="20"/>
                <w:color w:val="auto"/>
              </w:rPr>
            </w:pPr>
            <w:r>
              <w:rPr>
                <w:rFonts w:ascii="Arial" w:cs="Arial" w:eastAsia="Arial" w:hAnsi="Arial"/>
                <w:sz w:val="18"/>
                <w:szCs w:val="18"/>
                <w:color w:val="auto"/>
              </w:rPr>
              <w:t>Depreciation and amortization</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27,006</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24,966</w:t>
            </w:r>
          </w:p>
        </w:tc>
        <w:tc>
          <w:tcPr>
            <w:tcW w:w="0" w:type="dxa"/>
            <w:vAlign w:val="bottom"/>
          </w:tcPr>
          <w:p>
            <w:pPr>
              <w:spacing w:after="0"/>
              <w:rPr>
                <w:sz w:val="1"/>
                <w:szCs w:val="1"/>
                <w:color w:val="auto"/>
              </w:rPr>
            </w:pPr>
          </w:p>
        </w:tc>
      </w:tr>
      <w:tr>
        <w:trPr>
          <w:trHeight w:val="216"/>
        </w:trPr>
        <w:tc>
          <w:tcPr>
            <w:tcW w:w="9460" w:type="dxa"/>
            <w:vAlign w:val="bottom"/>
            <w:shd w:val="clear" w:color="auto" w:fill="CCEEFF"/>
          </w:tcPr>
          <w:p>
            <w:pPr>
              <w:ind w:left="880"/>
              <w:spacing w:after="0"/>
              <w:rPr>
                <w:sz w:val="20"/>
                <w:szCs w:val="20"/>
                <w:color w:val="auto"/>
              </w:rPr>
            </w:pPr>
            <w:r>
              <w:rPr>
                <w:rFonts w:ascii="Arial" w:cs="Arial" w:eastAsia="Arial" w:hAnsi="Arial"/>
                <w:sz w:val="18"/>
                <w:szCs w:val="18"/>
                <w:color w:val="auto"/>
              </w:rPr>
              <w:t>Share-based compensation</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29,969</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33,513</w:t>
            </w:r>
          </w:p>
        </w:tc>
        <w:tc>
          <w:tcPr>
            <w:tcW w:w="0" w:type="dxa"/>
            <w:vAlign w:val="bottom"/>
          </w:tcPr>
          <w:p>
            <w:pPr>
              <w:spacing w:after="0"/>
              <w:rPr>
                <w:sz w:val="1"/>
                <w:szCs w:val="1"/>
                <w:color w:val="auto"/>
              </w:rPr>
            </w:pPr>
          </w:p>
        </w:tc>
      </w:tr>
      <w:tr>
        <w:trPr>
          <w:trHeight w:val="216"/>
        </w:trPr>
        <w:tc>
          <w:tcPr>
            <w:tcW w:w="9460" w:type="dxa"/>
            <w:vAlign w:val="bottom"/>
          </w:tcPr>
          <w:p>
            <w:pPr>
              <w:ind w:left="880"/>
              <w:spacing w:after="0"/>
              <w:rPr>
                <w:sz w:val="20"/>
                <w:szCs w:val="20"/>
                <w:color w:val="auto"/>
              </w:rPr>
            </w:pPr>
            <w:r>
              <w:rPr>
                <w:rFonts w:ascii="Arial" w:cs="Arial" w:eastAsia="Arial" w:hAnsi="Arial"/>
                <w:sz w:val="18"/>
                <w:szCs w:val="18"/>
                <w:color w:val="auto"/>
              </w:rPr>
              <w:t>Amortization and write-off of acquired intangible assets</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7,174</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10,686</w:t>
            </w:r>
          </w:p>
        </w:tc>
        <w:tc>
          <w:tcPr>
            <w:tcW w:w="0" w:type="dxa"/>
            <w:vAlign w:val="bottom"/>
          </w:tcPr>
          <w:p>
            <w:pPr>
              <w:spacing w:after="0"/>
              <w:rPr>
                <w:sz w:val="1"/>
                <w:szCs w:val="1"/>
                <w:color w:val="auto"/>
              </w:rPr>
            </w:pPr>
          </w:p>
        </w:tc>
      </w:tr>
      <w:tr>
        <w:trPr>
          <w:trHeight w:val="216"/>
        </w:trPr>
        <w:tc>
          <w:tcPr>
            <w:tcW w:w="9460" w:type="dxa"/>
            <w:vAlign w:val="bottom"/>
            <w:shd w:val="clear" w:color="auto" w:fill="CCEEFF"/>
          </w:tcPr>
          <w:p>
            <w:pPr>
              <w:ind w:left="880"/>
              <w:spacing w:after="0"/>
              <w:rPr>
                <w:sz w:val="20"/>
                <w:szCs w:val="20"/>
                <w:color w:val="auto"/>
              </w:rPr>
            </w:pPr>
            <w:r>
              <w:rPr>
                <w:rFonts w:ascii="Arial" w:cs="Arial" w:eastAsia="Arial" w:hAnsi="Arial"/>
                <w:sz w:val="18"/>
                <w:szCs w:val="18"/>
                <w:color w:val="auto"/>
              </w:rPr>
              <w:t>Other expense, net</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1,470</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2,523</w:t>
            </w:r>
          </w:p>
        </w:tc>
        <w:tc>
          <w:tcPr>
            <w:tcW w:w="0" w:type="dxa"/>
            <w:vAlign w:val="bottom"/>
          </w:tcPr>
          <w:p>
            <w:pPr>
              <w:spacing w:after="0"/>
              <w:rPr>
                <w:sz w:val="1"/>
                <w:szCs w:val="1"/>
                <w:color w:val="auto"/>
              </w:rPr>
            </w:pPr>
          </w:p>
        </w:tc>
      </w:tr>
      <w:tr>
        <w:trPr>
          <w:trHeight w:val="216"/>
        </w:trPr>
        <w:tc>
          <w:tcPr>
            <w:tcW w:w="9460" w:type="dxa"/>
            <w:vAlign w:val="bottom"/>
          </w:tcPr>
          <w:p>
            <w:pPr>
              <w:ind w:left="880"/>
              <w:spacing w:after="0"/>
              <w:rPr>
                <w:sz w:val="20"/>
                <w:szCs w:val="20"/>
                <w:color w:val="auto"/>
              </w:rPr>
            </w:pPr>
            <w:r>
              <w:rPr>
                <w:rFonts w:ascii="Arial" w:cs="Arial" w:eastAsia="Arial" w:hAnsi="Arial"/>
                <w:sz w:val="18"/>
                <w:szCs w:val="18"/>
                <w:color w:val="auto"/>
              </w:rPr>
              <w:t>Excess tax benefits from share-based compensation</w:t>
            </w: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(44)</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216"/>
        </w:trPr>
        <w:tc>
          <w:tcPr>
            <w:tcW w:w="9460" w:type="dxa"/>
            <w:vAlign w:val="bottom"/>
            <w:shd w:val="clear" w:color="auto" w:fill="CCEEFF"/>
          </w:tcPr>
          <w:p>
            <w:pPr>
              <w:ind w:left="880"/>
              <w:spacing w:after="0"/>
              <w:rPr>
                <w:sz w:val="20"/>
                <w:szCs w:val="20"/>
                <w:color w:val="auto"/>
              </w:rPr>
            </w:pPr>
            <w:r>
              <w:rPr>
                <w:rFonts w:ascii="Arial" w:cs="Arial" w:eastAsia="Arial" w:hAnsi="Arial"/>
                <w:sz w:val="18"/>
                <w:szCs w:val="18"/>
                <w:color w:val="auto"/>
              </w:rPr>
              <w:t>Changes in assets and liabilities: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60" w:type="dxa"/>
            <w:vAlign w:val="bottom"/>
          </w:tcPr>
          <w:p>
            <w:pPr>
              <w:ind w:left="1300"/>
              <w:spacing w:after="0"/>
              <w:rPr>
                <w:sz w:val="20"/>
                <w:szCs w:val="20"/>
                <w:color w:val="auto"/>
              </w:rPr>
            </w:pPr>
            <w:r>
              <w:rPr>
                <w:rFonts w:ascii="Arial" w:cs="Arial" w:eastAsia="Arial" w:hAnsi="Arial"/>
                <w:sz w:val="18"/>
                <w:szCs w:val="18"/>
                <w:color w:val="auto"/>
              </w:rPr>
              <w:t>Accounts receivable</w:t>
            </w: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(63,578)</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(40,112)</w:t>
            </w:r>
          </w:p>
        </w:tc>
        <w:tc>
          <w:tcPr>
            <w:tcW w:w="0" w:type="dxa"/>
            <w:vAlign w:val="bottom"/>
          </w:tcPr>
          <w:p>
            <w:pPr>
              <w:spacing w:after="0"/>
              <w:rPr>
                <w:sz w:val="1"/>
                <w:szCs w:val="1"/>
                <w:color w:val="auto"/>
              </w:rPr>
            </w:pPr>
          </w:p>
        </w:tc>
      </w:tr>
      <w:tr>
        <w:trPr>
          <w:trHeight w:val="216"/>
        </w:trPr>
        <w:tc>
          <w:tcPr>
            <w:tcW w:w="946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Inventories</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(3,105)</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(20,123)</w:t>
            </w:r>
          </w:p>
        </w:tc>
        <w:tc>
          <w:tcPr>
            <w:tcW w:w="0" w:type="dxa"/>
            <w:vAlign w:val="bottom"/>
          </w:tcPr>
          <w:p>
            <w:pPr>
              <w:spacing w:after="0"/>
              <w:rPr>
                <w:sz w:val="1"/>
                <w:szCs w:val="1"/>
                <w:color w:val="auto"/>
              </w:rPr>
            </w:pPr>
          </w:p>
        </w:tc>
      </w:tr>
      <w:tr>
        <w:trPr>
          <w:trHeight w:val="216"/>
        </w:trPr>
        <w:tc>
          <w:tcPr>
            <w:tcW w:w="9460" w:type="dxa"/>
            <w:vAlign w:val="bottom"/>
          </w:tcPr>
          <w:p>
            <w:pPr>
              <w:ind w:left="1300"/>
              <w:spacing w:after="0"/>
              <w:rPr>
                <w:sz w:val="20"/>
                <w:szCs w:val="20"/>
                <w:color w:val="auto"/>
              </w:rPr>
            </w:pPr>
            <w:r>
              <w:rPr>
                <w:rFonts w:ascii="Arial" w:cs="Arial" w:eastAsia="Arial" w:hAnsi="Arial"/>
                <w:sz w:val="18"/>
                <w:szCs w:val="18"/>
                <w:color w:val="auto"/>
              </w:rPr>
              <w:t>Prepaid expenses and other assets</w:t>
            </w: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(2,161)</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6,802</w:t>
            </w:r>
          </w:p>
        </w:tc>
        <w:tc>
          <w:tcPr>
            <w:tcW w:w="0" w:type="dxa"/>
            <w:vAlign w:val="bottom"/>
          </w:tcPr>
          <w:p>
            <w:pPr>
              <w:spacing w:after="0"/>
              <w:rPr>
                <w:sz w:val="1"/>
                <w:szCs w:val="1"/>
                <w:color w:val="auto"/>
              </w:rPr>
            </w:pPr>
          </w:p>
        </w:tc>
      </w:tr>
      <w:tr>
        <w:trPr>
          <w:trHeight w:val="216"/>
        </w:trPr>
        <w:tc>
          <w:tcPr>
            <w:tcW w:w="946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Accounts payable</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85,128</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28,936</w:t>
            </w:r>
          </w:p>
        </w:tc>
        <w:tc>
          <w:tcPr>
            <w:tcW w:w="0" w:type="dxa"/>
            <w:vAlign w:val="bottom"/>
          </w:tcPr>
          <w:p>
            <w:pPr>
              <w:spacing w:after="0"/>
              <w:rPr>
                <w:sz w:val="1"/>
                <w:szCs w:val="1"/>
                <w:color w:val="auto"/>
              </w:rPr>
            </w:pPr>
          </w:p>
        </w:tc>
      </w:tr>
      <w:tr>
        <w:trPr>
          <w:trHeight w:val="216"/>
        </w:trPr>
        <w:tc>
          <w:tcPr>
            <w:tcW w:w="9460" w:type="dxa"/>
            <w:vAlign w:val="bottom"/>
          </w:tcPr>
          <w:p>
            <w:pPr>
              <w:ind w:left="1300"/>
              <w:spacing w:after="0"/>
              <w:rPr>
                <w:sz w:val="20"/>
                <w:szCs w:val="20"/>
                <w:color w:val="auto"/>
              </w:rPr>
            </w:pPr>
            <w:r>
              <w:rPr>
                <w:rFonts w:ascii="Arial" w:cs="Arial" w:eastAsia="Arial" w:hAnsi="Arial"/>
                <w:sz w:val="18"/>
                <w:szCs w:val="18"/>
                <w:color w:val="auto"/>
              </w:rPr>
              <w:t>Accrued liabilities and other non-current liabilities</w:t>
            </w: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(7,134)</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(20,081)</w:t>
            </w:r>
          </w:p>
        </w:tc>
        <w:tc>
          <w:tcPr>
            <w:tcW w:w="0" w:type="dxa"/>
            <w:vAlign w:val="bottom"/>
          </w:tcPr>
          <w:p>
            <w:pPr>
              <w:spacing w:after="0"/>
              <w:rPr>
                <w:sz w:val="1"/>
                <w:szCs w:val="1"/>
                <w:color w:val="auto"/>
              </w:rPr>
            </w:pPr>
          </w:p>
        </w:tc>
      </w:tr>
      <w:tr>
        <w:trPr>
          <w:trHeight w:val="216"/>
        </w:trPr>
        <w:tc>
          <w:tcPr>
            <w:tcW w:w="946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Accrued employee compensation</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30,001</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4,423</w:t>
            </w:r>
          </w:p>
        </w:tc>
        <w:tc>
          <w:tcPr>
            <w:tcW w:w="0" w:type="dxa"/>
            <w:vAlign w:val="bottom"/>
          </w:tcPr>
          <w:p>
            <w:pPr>
              <w:spacing w:after="0"/>
              <w:rPr>
                <w:sz w:val="1"/>
                <w:szCs w:val="1"/>
                <w:color w:val="auto"/>
              </w:rPr>
            </w:pPr>
          </w:p>
        </w:tc>
      </w:tr>
      <w:tr>
        <w:trPr>
          <w:trHeight w:val="223"/>
        </w:trPr>
        <w:tc>
          <w:tcPr>
            <w:tcW w:w="9460" w:type="dxa"/>
            <w:vAlign w:val="bottom"/>
          </w:tcPr>
          <w:p>
            <w:pPr>
              <w:ind w:left="1300"/>
              <w:spacing w:after="0"/>
              <w:rPr>
                <w:sz w:val="20"/>
                <w:szCs w:val="20"/>
                <w:color w:val="auto"/>
              </w:rPr>
            </w:pPr>
            <w:r>
              <w:rPr>
                <w:rFonts w:ascii="Arial" w:cs="Arial" w:eastAsia="Arial" w:hAnsi="Arial"/>
                <w:sz w:val="18"/>
                <w:szCs w:val="18"/>
                <w:color w:val="auto"/>
              </w:rPr>
              <w:t>Deferred income</w:t>
            </w: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30,932</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(880)</w:t>
            </w:r>
          </w:p>
        </w:tc>
        <w:tc>
          <w:tcPr>
            <w:tcW w:w="0" w:type="dxa"/>
            <w:vAlign w:val="bottom"/>
          </w:tcPr>
          <w:p>
            <w:pPr>
              <w:spacing w:after="0"/>
              <w:rPr>
                <w:sz w:val="1"/>
                <w:szCs w:val="1"/>
                <w:color w:val="auto"/>
              </w:rPr>
            </w:pPr>
          </w:p>
        </w:tc>
      </w:tr>
      <w:tr>
        <w:trPr>
          <w:trHeight w:val="216"/>
        </w:trPr>
        <w:tc>
          <w:tcPr>
            <w:tcW w:w="946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provided by operating activities</w:t>
            </w: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235,137</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83,855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460" w:type="dxa"/>
            <w:vAlign w:val="bottom"/>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94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Purchases of available-for-sale securities</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5"/>
              </w:rPr>
              <w:t>(181,889)</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8"/>
              </w:rPr>
              <w:t>(306,838)</w:t>
            </w:r>
          </w:p>
        </w:tc>
        <w:tc>
          <w:tcPr>
            <w:tcW w:w="0" w:type="dxa"/>
            <w:vAlign w:val="bottom"/>
          </w:tcPr>
          <w:p>
            <w:pPr>
              <w:spacing w:after="0"/>
              <w:rPr>
                <w:sz w:val="1"/>
                <w:szCs w:val="1"/>
                <w:color w:val="auto"/>
              </w:rPr>
            </w:pPr>
          </w:p>
        </w:tc>
      </w:tr>
      <w:tr>
        <w:trPr>
          <w:trHeight w:val="216"/>
        </w:trPr>
        <w:tc>
          <w:tcPr>
            <w:tcW w:w="9460" w:type="dxa"/>
            <w:vAlign w:val="bottom"/>
          </w:tcPr>
          <w:p>
            <w:pPr>
              <w:ind w:left="440"/>
              <w:spacing w:after="0"/>
              <w:rPr>
                <w:sz w:val="20"/>
                <w:szCs w:val="20"/>
                <w:color w:val="auto"/>
              </w:rPr>
            </w:pPr>
            <w:r>
              <w:rPr>
                <w:rFonts w:ascii="Arial" w:cs="Arial" w:eastAsia="Arial" w:hAnsi="Arial"/>
                <w:sz w:val="18"/>
                <w:szCs w:val="18"/>
                <w:color w:val="auto"/>
              </w:rPr>
              <w:t>Sales and maturities of available-for-sale securities</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182,311</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335,771</w:t>
            </w:r>
          </w:p>
        </w:tc>
        <w:tc>
          <w:tcPr>
            <w:tcW w:w="0" w:type="dxa"/>
            <w:vAlign w:val="bottom"/>
          </w:tcPr>
          <w:p>
            <w:pPr>
              <w:spacing w:after="0"/>
              <w:rPr>
                <w:sz w:val="1"/>
                <w:szCs w:val="1"/>
                <w:color w:val="auto"/>
              </w:rPr>
            </w:pPr>
          </w:p>
        </w:tc>
      </w:tr>
      <w:tr>
        <w:trPr>
          <w:trHeight w:val="216"/>
        </w:trPr>
        <w:tc>
          <w:tcPr>
            <w:tcW w:w="94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Investments in privately-held companies</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(441)</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460" w:type="dxa"/>
            <w:vAlign w:val="bottom"/>
          </w:tcPr>
          <w:p>
            <w:pPr>
              <w:ind w:left="440"/>
              <w:spacing w:after="0"/>
              <w:rPr>
                <w:sz w:val="20"/>
                <w:szCs w:val="20"/>
                <w:color w:val="auto"/>
              </w:rPr>
            </w:pPr>
            <w:r>
              <w:rPr>
                <w:rFonts w:ascii="Arial" w:cs="Arial" w:eastAsia="Arial" w:hAnsi="Arial"/>
                <w:sz w:val="18"/>
                <w:szCs w:val="18"/>
                <w:color w:val="auto"/>
              </w:rPr>
              <w:t>Cash paid for acquisition, net</w:t>
            </w:r>
          </w:p>
        </w:tc>
        <w:tc>
          <w:tcPr>
            <w:tcW w:w="100" w:type="dxa"/>
            <w:vAlign w:val="bottom"/>
          </w:tcPr>
          <w:p>
            <w:pPr>
              <w:spacing w:after="0"/>
              <w:rPr>
                <w:sz w:val="18"/>
                <w:szCs w:val="18"/>
                <w:color w:val="auto"/>
              </w:rPr>
            </w:pPr>
          </w:p>
        </w:tc>
        <w:tc>
          <w:tcPr>
            <w:tcW w:w="8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(2,551)</w:t>
            </w:r>
          </w:p>
        </w:tc>
        <w:tc>
          <w:tcPr>
            <w:tcW w:w="0" w:type="dxa"/>
            <w:vAlign w:val="bottom"/>
          </w:tcPr>
          <w:p>
            <w:pPr>
              <w:spacing w:after="0"/>
              <w:rPr>
                <w:sz w:val="1"/>
                <w:szCs w:val="1"/>
                <w:color w:val="auto"/>
              </w:rPr>
            </w:pPr>
          </w:p>
        </w:tc>
      </w:tr>
      <w:tr>
        <w:trPr>
          <w:trHeight w:val="216"/>
        </w:trPr>
        <w:tc>
          <w:tcPr>
            <w:tcW w:w="94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Purchases of technology licenses</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(8,111)</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(5,860)</w:t>
            </w:r>
          </w:p>
        </w:tc>
        <w:tc>
          <w:tcPr>
            <w:tcW w:w="0" w:type="dxa"/>
            <w:vAlign w:val="bottom"/>
          </w:tcPr>
          <w:p>
            <w:pPr>
              <w:spacing w:after="0"/>
              <w:rPr>
                <w:sz w:val="1"/>
                <w:szCs w:val="1"/>
                <w:color w:val="auto"/>
              </w:rPr>
            </w:pPr>
          </w:p>
        </w:tc>
      </w:tr>
      <w:tr>
        <w:trPr>
          <w:trHeight w:val="216"/>
        </w:trPr>
        <w:tc>
          <w:tcPr>
            <w:tcW w:w="9460" w:type="dxa"/>
            <w:vAlign w:val="bottom"/>
          </w:tcPr>
          <w:p>
            <w:pPr>
              <w:ind w:left="440"/>
              <w:spacing w:after="0"/>
              <w:rPr>
                <w:sz w:val="20"/>
                <w:szCs w:val="20"/>
                <w:color w:val="auto"/>
              </w:rPr>
            </w:pPr>
            <w:r>
              <w:rPr>
                <w:rFonts w:ascii="Arial" w:cs="Arial" w:eastAsia="Arial" w:hAnsi="Arial"/>
                <w:sz w:val="18"/>
                <w:szCs w:val="18"/>
                <w:color w:val="auto"/>
              </w:rPr>
              <w:t>Purchases of property and equipment</w:t>
            </w: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(16,131)</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(20,080)</w:t>
            </w:r>
          </w:p>
        </w:tc>
        <w:tc>
          <w:tcPr>
            <w:tcW w:w="0" w:type="dxa"/>
            <w:vAlign w:val="bottom"/>
          </w:tcPr>
          <w:p>
            <w:pPr>
              <w:spacing w:after="0"/>
              <w:rPr>
                <w:sz w:val="1"/>
                <w:szCs w:val="1"/>
                <w:color w:val="auto"/>
              </w:rPr>
            </w:pPr>
          </w:p>
        </w:tc>
      </w:tr>
      <w:tr>
        <w:trPr>
          <w:trHeight w:val="27"/>
        </w:trPr>
        <w:tc>
          <w:tcPr>
            <w:tcW w:w="94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946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provided (used in) by investing activities</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(24,261)</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442</w:t>
            </w:r>
          </w:p>
        </w:tc>
        <w:tc>
          <w:tcPr>
            <w:tcW w:w="0" w:type="dxa"/>
            <w:vAlign w:val="bottom"/>
          </w:tcPr>
          <w:p>
            <w:pPr>
              <w:spacing w:after="0"/>
              <w:rPr>
                <w:sz w:val="1"/>
                <w:szCs w:val="1"/>
                <w:color w:val="auto"/>
              </w:rPr>
            </w:pPr>
          </w:p>
        </w:tc>
      </w:tr>
      <w:tr>
        <w:trPr>
          <w:trHeight w:val="222"/>
        </w:trPr>
        <w:tc>
          <w:tcPr>
            <w:tcW w:w="9460" w:type="dxa"/>
            <w:vAlign w:val="bottom"/>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10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spacing w:after="0"/>
              <w:rPr>
                <w:sz w:val="19"/>
                <w:szCs w:val="19"/>
                <w:color w:val="auto"/>
              </w:rPr>
            </w:pP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94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Repurchase of common stock</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8"/>
              </w:rPr>
              <w:t>(216,694)</w:t>
            </w:r>
          </w:p>
        </w:tc>
        <w:tc>
          <w:tcPr>
            <w:tcW w:w="0" w:type="dxa"/>
            <w:vAlign w:val="bottom"/>
          </w:tcPr>
          <w:p>
            <w:pPr>
              <w:spacing w:after="0"/>
              <w:rPr>
                <w:sz w:val="1"/>
                <w:szCs w:val="1"/>
                <w:color w:val="auto"/>
              </w:rPr>
            </w:pPr>
          </w:p>
        </w:tc>
      </w:tr>
      <w:tr>
        <w:trPr>
          <w:trHeight w:val="216"/>
        </w:trPr>
        <w:tc>
          <w:tcPr>
            <w:tcW w:w="9460" w:type="dxa"/>
            <w:vAlign w:val="bottom"/>
          </w:tcPr>
          <w:p>
            <w:pPr>
              <w:ind w:left="440"/>
              <w:spacing w:after="0"/>
              <w:rPr>
                <w:sz w:val="20"/>
                <w:szCs w:val="20"/>
                <w:color w:val="auto"/>
              </w:rPr>
            </w:pPr>
            <w:r>
              <w:rPr>
                <w:rFonts w:ascii="Arial" w:cs="Arial" w:eastAsia="Arial" w:hAnsi="Arial"/>
                <w:sz w:val="18"/>
                <w:szCs w:val="18"/>
                <w:color w:val="auto"/>
              </w:rPr>
              <w:t>Proceeds from employee stock plans</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19,092</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19,805</w:t>
            </w:r>
          </w:p>
        </w:tc>
        <w:tc>
          <w:tcPr>
            <w:tcW w:w="0" w:type="dxa"/>
            <w:vAlign w:val="bottom"/>
          </w:tcPr>
          <w:p>
            <w:pPr>
              <w:spacing w:after="0"/>
              <w:rPr>
                <w:sz w:val="1"/>
                <w:szCs w:val="1"/>
                <w:color w:val="auto"/>
              </w:rPr>
            </w:pPr>
          </w:p>
        </w:tc>
      </w:tr>
      <w:tr>
        <w:trPr>
          <w:trHeight w:val="216"/>
        </w:trPr>
        <w:tc>
          <w:tcPr>
            <w:tcW w:w="94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(24,286)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(9,378)</w:t>
            </w:r>
          </w:p>
        </w:tc>
        <w:tc>
          <w:tcPr>
            <w:tcW w:w="0" w:type="dxa"/>
            <w:vAlign w:val="bottom"/>
          </w:tcPr>
          <w:p>
            <w:pPr>
              <w:spacing w:after="0"/>
              <w:rPr>
                <w:sz w:val="1"/>
                <w:szCs w:val="1"/>
                <w:color w:val="auto"/>
              </w:rPr>
            </w:pPr>
          </w:p>
        </w:tc>
      </w:tr>
      <w:tr>
        <w:trPr>
          <w:trHeight w:val="216"/>
        </w:trPr>
        <w:tc>
          <w:tcPr>
            <w:tcW w:w="9460" w:type="dxa"/>
            <w:vAlign w:val="bottom"/>
          </w:tcPr>
          <w:p>
            <w:pPr>
              <w:ind w:left="440"/>
              <w:spacing w:after="0"/>
              <w:rPr>
                <w:sz w:val="20"/>
                <w:szCs w:val="20"/>
                <w:color w:val="auto"/>
              </w:rPr>
            </w:pPr>
            <w:r>
              <w:rPr>
                <w:rFonts w:ascii="Arial" w:cs="Arial" w:eastAsia="Arial" w:hAnsi="Arial"/>
                <w:sz w:val="18"/>
                <w:szCs w:val="18"/>
                <w:color w:val="auto"/>
              </w:rPr>
              <w:t>Dividend payments to shareholders</w:t>
            </w: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(30,172)</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(30,253)</w:t>
            </w:r>
          </w:p>
        </w:tc>
        <w:tc>
          <w:tcPr>
            <w:tcW w:w="0" w:type="dxa"/>
            <w:vAlign w:val="bottom"/>
          </w:tcPr>
          <w:p>
            <w:pPr>
              <w:spacing w:after="0"/>
              <w:rPr>
                <w:sz w:val="1"/>
                <w:szCs w:val="1"/>
                <w:color w:val="auto"/>
              </w:rPr>
            </w:pPr>
          </w:p>
        </w:tc>
      </w:tr>
      <w:tr>
        <w:trPr>
          <w:trHeight w:val="216"/>
        </w:trPr>
        <w:tc>
          <w:tcPr>
            <w:tcW w:w="94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Payments on technology license obligations</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(5,317)</w:t>
            </w:r>
          </w:p>
        </w:tc>
        <w:tc>
          <w:tcPr>
            <w:tcW w:w="0" w:type="dxa"/>
            <w:vAlign w:val="bottom"/>
          </w:tcPr>
          <w:p>
            <w:pPr>
              <w:spacing w:after="0"/>
              <w:rPr>
                <w:sz w:val="1"/>
                <w:szCs w:val="1"/>
                <w:color w:val="auto"/>
              </w:rPr>
            </w:pPr>
          </w:p>
        </w:tc>
      </w:tr>
      <w:tr>
        <w:trPr>
          <w:trHeight w:val="223"/>
        </w:trPr>
        <w:tc>
          <w:tcPr>
            <w:tcW w:w="9460" w:type="dxa"/>
            <w:vAlign w:val="bottom"/>
          </w:tcPr>
          <w:p>
            <w:pPr>
              <w:ind w:left="440"/>
              <w:spacing w:after="0"/>
              <w:rPr>
                <w:sz w:val="20"/>
                <w:szCs w:val="20"/>
                <w:color w:val="auto"/>
              </w:rPr>
            </w:pPr>
            <w:r>
              <w:rPr>
                <w:rFonts w:ascii="Arial" w:cs="Arial" w:eastAsia="Arial" w:hAnsi="Arial"/>
                <w:sz w:val="18"/>
                <w:szCs w:val="18"/>
                <w:color w:val="auto"/>
              </w:rPr>
              <w:t>Excess tax benefits from share-based compensation</w:t>
            </w: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46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used in financing activities</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(35,322)</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8"/>
              </w:rPr>
              <w:t>(241,830)</w:t>
            </w:r>
          </w:p>
        </w:tc>
        <w:tc>
          <w:tcPr>
            <w:tcW w:w="0" w:type="dxa"/>
            <w:vAlign w:val="bottom"/>
          </w:tcPr>
          <w:p>
            <w:pPr>
              <w:spacing w:after="0"/>
              <w:rPr>
                <w:sz w:val="1"/>
                <w:szCs w:val="1"/>
                <w:color w:val="auto"/>
              </w:rPr>
            </w:pPr>
          </w:p>
        </w:tc>
      </w:tr>
      <w:tr>
        <w:trPr>
          <w:trHeight w:val="20"/>
        </w:trPr>
        <w:tc>
          <w:tcPr>
            <w:tcW w:w="9460" w:type="dxa"/>
            <w:vAlign w:val="bottom"/>
            <w:vMerge w:val="restart"/>
          </w:tcPr>
          <w:p>
            <w:pPr>
              <w:spacing w:after="0"/>
              <w:rPr>
                <w:sz w:val="20"/>
                <w:szCs w:val="20"/>
                <w:color w:val="auto"/>
              </w:rPr>
            </w:pPr>
            <w:r>
              <w:rPr>
                <w:rFonts w:ascii="Arial" w:cs="Arial" w:eastAsia="Arial" w:hAnsi="Arial"/>
                <w:sz w:val="18"/>
                <w:szCs w:val="18"/>
                <w:color w:val="auto"/>
              </w:rPr>
              <w:t>Net increase (decrease) in cash and cash equivalents</w:t>
            </w: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9460" w:type="dxa"/>
            <w:vAlign w:val="bottom"/>
            <w:vMerge w:val="continue"/>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175,554</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w w:val="88"/>
              </w:rPr>
              <w:t>(157,533)</w:t>
            </w:r>
          </w:p>
        </w:tc>
        <w:tc>
          <w:tcPr>
            <w:tcW w:w="0" w:type="dxa"/>
            <w:vAlign w:val="bottom"/>
          </w:tcPr>
          <w:p>
            <w:pPr>
              <w:spacing w:after="0"/>
              <w:rPr>
                <w:sz w:val="1"/>
                <w:szCs w:val="1"/>
                <w:color w:val="auto"/>
              </w:rPr>
            </w:pPr>
          </w:p>
        </w:tc>
      </w:tr>
      <w:tr>
        <w:trPr>
          <w:trHeight w:val="218"/>
        </w:trPr>
        <w:tc>
          <w:tcPr>
            <w:tcW w:w="946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965,750</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751,953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460" w:type="dxa"/>
            <w:vAlign w:val="bottom"/>
          </w:tcPr>
          <w:p>
            <w:pPr>
              <w:spacing w:after="0"/>
              <w:rPr>
                <w:sz w:val="20"/>
                <w:szCs w:val="20"/>
                <w:color w:val="auto"/>
              </w:rPr>
            </w:pPr>
            <w:r>
              <w:rPr>
                <w:rFonts w:ascii="Arial" w:cs="Arial" w:eastAsia="Arial" w:hAnsi="Arial"/>
                <w:sz w:val="18"/>
                <w:szCs w:val="18"/>
                <w:color w:val="auto"/>
              </w:rPr>
              <w:t>Cash and cash equivalents at end of period</w:t>
            </w: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1,141,304</w:t>
            </w:r>
          </w:p>
        </w:tc>
        <w:tc>
          <w:tcPr>
            <w:tcW w:w="180" w:type="dxa"/>
            <w:vAlign w:val="bottom"/>
          </w:tcPr>
          <w:p>
            <w:pPr>
              <w:spacing w:after="0"/>
              <w:rPr>
                <w:sz w:val="19"/>
                <w:szCs w:val="19"/>
                <w:color w:val="auto"/>
              </w:rPr>
            </w:pP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594,420</w:t>
            </w:r>
          </w:p>
        </w:tc>
        <w:tc>
          <w:tcPr>
            <w:tcW w:w="0" w:type="dxa"/>
            <w:vAlign w:val="bottom"/>
          </w:tcPr>
          <w:p>
            <w:pPr>
              <w:spacing w:after="0"/>
              <w:rPr>
                <w:sz w:val="1"/>
                <w:szCs w:val="1"/>
                <w:color w:val="auto"/>
              </w:rPr>
            </w:pPr>
          </w:p>
        </w:tc>
      </w:tr>
      <w:tr>
        <w:trPr>
          <w:trHeight w:val="20"/>
        </w:trPr>
        <w:tc>
          <w:tcPr>
            <w:tcW w:w="9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86"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45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1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The Company and Basis of Presentation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The Company</w:t>
      </w:r>
    </w:p>
    <w:p>
      <w:pPr>
        <w:spacing w:after="0" w:line="90"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Marvell Technology Group Ltd., a Bermuda company (the “Company”), is a leading global semiconductor provider of high-performance application-specific standard products. The Company’s core strength of expertise is the development of complex System-on-a-Chip devices leveraging its extensive technology portfolio of intellectual property in the areas of analog, mixed-signal, digital signal processing, and embedded and stand alone integrated circuits. The majority of the Company’s product portfolio leverages the ARM technology portfolio. The Company also develops platforms that it defines as integrated hardware along with software that incorporates digital computing technologies designed and configured to provide an optimized computing solution compared to individual components. The Company’s broad product portfolio includes devices for data storage, enterprise-class Ethernet data switching, Ethernet physical-layer transceivers, mobile handsets, connectivity and other consumer electronics.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90"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2015 and 2014 each have a 52-week period.</w:t>
      </w:r>
    </w:p>
    <w:p>
      <w:pPr>
        <w:spacing w:after="0" w:line="14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unaudited condensed consolidated financial statements have been prepared in accordance with accounting principles generally accepted in the United States (“GAAP”) for interim financial information and with the instructions to Form 10-Q and Article 10 of Regulation S-X. Accordingly, they do not include all of the information and notes required by GAAP for annual financial statements. In the opinion of management, all adjustments consisting of normal and recurring entries considered necessary for a fair statement of the results for the interim periods have been included in the Company’s balance sheet as of May 3, 2014, the results of its operations for the three months ended May 3, 2014 and May 4, 2013, its comprehensive income for the three months ended May 3, 2014 and May 4, 2013, and its cash flows for the three months ended May 3, 2014 and May 4, 2013. The February 1, 2014 condensed consolidated balance sheet data was derived from the audited consolidated financial statements included in the Company’s Annual Report on Form 10-K for the fiscal year ended February 1, 2014, but does not include all disclosures required for annual periods.</w:t>
      </w:r>
    </w:p>
    <w:p>
      <w:pPr>
        <w:spacing w:after="0" w:line="118" w:lineRule="exact"/>
        <w:rPr>
          <w:sz w:val="20"/>
          <w:szCs w:val="20"/>
          <w:color w:val="auto"/>
        </w:rPr>
      </w:pPr>
    </w:p>
    <w:p>
      <w:pPr>
        <w:jc w:val="both"/>
        <w:ind w:right="40" w:firstLine="456"/>
        <w:spacing w:after="0" w:line="256" w:lineRule="auto"/>
        <w:rPr>
          <w:sz w:val="20"/>
          <w:szCs w:val="20"/>
          <w:color w:val="auto"/>
        </w:rPr>
      </w:pPr>
      <w:r>
        <w:rPr>
          <w:rFonts w:ascii="Arial" w:cs="Arial" w:eastAsia="Arial" w:hAnsi="Arial"/>
          <w:sz w:val="18"/>
          <w:szCs w:val="18"/>
          <w:color w:val="auto"/>
        </w:rPr>
        <w:t>These condensed consolidated financial statements and related notes are unaudited and should be read in conjunction with the Company’s audited financial statements and related notes included in the Company’s Annual Report on Form 10-K for the fiscal year ended February 1, 2014 as filed on March 27, 2014 with the Securities and Exchange Commission. The results of operations for the three months ended May 3, 2014 are not necessarily indicative of the results that may be expected for any other interim period or for the full fiscal year.</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90" w:lineRule="exact"/>
        <w:rPr>
          <w:sz w:val="20"/>
          <w:szCs w:val="20"/>
          <w:color w:val="auto"/>
        </w:rPr>
      </w:pPr>
    </w:p>
    <w:p>
      <w:pPr>
        <w:ind w:right="40" w:firstLine="456"/>
        <w:spacing w:after="0" w:line="253" w:lineRule="auto"/>
        <w:rPr>
          <w:sz w:val="20"/>
          <w:szCs w:val="20"/>
          <w:color w:val="auto"/>
        </w:rPr>
      </w:pPr>
      <w:r>
        <w:rPr>
          <w:rFonts w:ascii="Arial" w:cs="Arial" w:eastAsia="Arial" w:hAnsi="Arial"/>
          <w:sz w:val="18"/>
          <w:szCs w:val="18"/>
          <w:color w:val="auto"/>
        </w:rPr>
        <w:t>The preparation of consolidated financial statements in conformity with GAAP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performance-based compensation, revenue recognition, provisions for sales returns and allowances, inventory excess and obsolescence, investment fair values, goodwill and other intangible assets, restructuring, income taxes, litigation and other contingencies. In addition, the Company uses assumptions when employing the Monte Carlo simulation and Black-Scholes valuation models to calculate the fair value of share-based awards that are granted. Actual results could differ from these estimates, and such differences could affect the results of operations reported in future periods.</w:t>
      </w:r>
    </w:p>
    <w:p>
      <w:pPr>
        <w:spacing w:after="0" w:line="22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90" w:lineRule="exact"/>
        <w:rPr>
          <w:sz w:val="20"/>
          <w:szCs w:val="20"/>
          <w:color w:val="auto"/>
        </w:rPr>
      </w:pPr>
    </w:p>
    <w:p>
      <w:pPr>
        <w:ind w:right="360" w:firstLine="456"/>
        <w:spacing w:after="0" w:line="332" w:lineRule="auto"/>
        <w:rPr>
          <w:sz w:val="20"/>
          <w:szCs w:val="20"/>
          <w:color w:val="auto"/>
        </w:rPr>
      </w:pPr>
      <w:r>
        <w:rPr>
          <w:rFonts w:ascii="Arial" w:cs="Arial" w:eastAsia="Arial" w:hAnsi="Arial"/>
          <w:sz w:val="16"/>
          <w:szCs w:val="16"/>
          <w:color w:val="auto"/>
        </w:rPr>
        <w:t>The unaudited condensed consolidated financial statements include the accounts of the Company and its wholly-owned subsidiaries. All intercompany accounts and transactions have been eliminated. The functional currency of the Company and its subsidiaries is the U.S. dollar.</w:t>
      </w:r>
    </w:p>
    <w:p>
      <w:pPr>
        <w:spacing w:after="0" w:line="7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459" w:right="25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Pronouncements Not Yet Effective</w:t>
      </w:r>
    </w:p>
    <w:p>
      <w:pPr>
        <w:spacing w:after="0" w:line="90" w:lineRule="exact"/>
        <w:rPr>
          <w:sz w:val="20"/>
          <w:szCs w:val="20"/>
          <w:color w:val="auto"/>
        </w:rPr>
      </w:pPr>
    </w:p>
    <w:p>
      <w:pPr>
        <w:ind w:right="80" w:firstLine="456"/>
        <w:spacing w:after="0" w:line="290" w:lineRule="auto"/>
        <w:rPr>
          <w:sz w:val="20"/>
          <w:szCs w:val="20"/>
          <w:color w:val="auto"/>
        </w:rPr>
      </w:pPr>
      <w:r>
        <w:rPr>
          <w:rFonts w:ascii="Arial" w:cs="Arial" w:eastAsia="Arial" w:hAnsi="Arial"/>
          <w:sz w:val="16"/>
          <w:szCs w:val="16"/>
          <w:color w:val="auto"/>
        </w:rPr>
        <w:t>In April 2014, the Financial Accounting Standards Board (“FASB”) issued an amendment to its guidance regarding the reporting requirements of discontinued operations. Under this amended guidance, a discontinued operation is defined as a disposal of a component or group of components that is disposed of or is classified as held for sale and represents a strategic shift that has (or will have) a major effect on an entity’s operations and financial results. In addition, this amendment requires an entity to present, for each comparative period, the assets and liabilities of a disposal group that includes a discontinued operation separately in the asset and liability sections, respectively, of the statement of financial position and additional disclosures about discontinued operations. This amended guidance is effective for annual and interim reporting periods beginning after December 15, 2014. The Company expects this guidance to have an impact on its financial statements only in the event of a future disposition which meets the criteria.</w:t>
      </w:r>
    </w:p>
    <w:p>
      <w:pPr>
        <w:spacing w:after="0" w:line="118"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In May 2014, the FASB issued a new standard on the recognition of revenue from contracts with customers, which includes a single set of rules and criteria for revenue recognition to be used across all industries. This standard is effective for annual and interim reporting periods beginning after December 15, 2016. The Company is currently evaluating the impact from the adoption of the standard on its financial statements.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Investments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12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120" w:type="dxa"/>
            <w:vAlign w:val="bottom"/>
            <w:tcBorders>
              <w:bottom w:val="single" w:sz="8" w:color="auto"/>
            </w:tcBorders>
            <w:gridSpan w:val="3"/>
          </w:tcPr>
          <w:p>
            <w:pPr>
              <w:ind w:left="400"/>
              <w:spacing w:after="0"/>
              <w:rPr>
                <w:sz w:val="20"/>
                <w:szCs w:val="20"/>
                <w:color w:val="auto"/>
              </w:rPr>
            </w:pPr>
            <w:r>
              <w:rPr>
                <w:rFonts w:ascii="Arial" w:cs="Arial" w:eastAsia="Arial" w:hAnsi="Arial"/>
                <w:sz w:val="14"/>
                <w:szCs w:val="14"/>
                <w:b w:val="1"/>
                <w:bCs w:val="1"/>
                <w:color w:val="auto"/>
                <w:w w:val="89"/>
              </w:rPr>
              <w:t>May 3, 2014</w:t>
            </w:r>
          </w:p>
        </w:tc>
        <w:tc>
          <w:tcPr>
            <w:tcW w:w="50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120" w:type="dxa"/>
            <w:vAlign w:val="bottom"/>
          </w:tcPr>
          <w:p>
            <w:pPr>
              <w:spacing w:after="0"/>
              <w:rPr>
                <w:sz w:val="11"/>
                <w:szCs w:val="11"/>
                <w:color w:val="auto"/>
              </w:rPr>
            </w:pPr>
          </w:p>
        </w:tc>
        <w:tc>
          <w:tcPr>
            <w:tcW w:w="19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jc w:val="right"/>
              <w:ind w:right="57"/>
              <w:spacing w:after="0" w:line="129" w:lineRule="exact"/>
              <w:rPr>
                <w:sz w:val="20"/>
                <w:szCs w:val="20"/>
                <w:color w:val="auto"/>
              </w:rPr>
            </w:pPr>
            <w:r>
              <w:rPr>
                <w:rFonts w:ascii="Arial" w:cs="Arial" w:eastAsia="Arial" w:hAnsi="Arial"/>
                <w:sz w:val="14"/>
                <w:szCs w:val="14"/>
                <w:b w:val="1"/>
                <w:bCs w:val="1"/>
                <w:color w:val="auto"/>
                <w:w w:val="83"/>
              </w:rPr>
              <w:t>Gross</w:t>
            </w: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80" w:type="dxa"/>
            <w:vAlign w:val="bottom"/>
            <w:gridSpan w:val="2"/>
          </w:tcPr>
          <w:p>
            <w:pPr>
              <w:ind w:left="20"/>
              <w:spacing w:after="0" w:line="129" w:lineRule="exact"/>
              <w:rPr>
                <w:sz w:val="20"/>
                <w:szCs w:val="20"/>
                <w:color w:val="auto"/>
              </w:rPr>
            </w:pPr>
            <w:r>
              <w:rPr>
                <w:rFonts w:ascii="Arial" w:cs="Arial" w:eastAsia="Arial" w:hAnsi="Arial"/>
                <w:sz w:val="14"/>
                <w:szCs w:val="14"/>
                <w:b w:val="1"/>
                <w:bCs w:val="1"/>
                <w:color w:val="auto"/>
              </w:rPr>
              <w:t>Gross</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12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Amortized</w:t>
            </w:r>
          </w:p>
        </w:tc>
        <w:tc>
          <w:tcPr>
            <w:tcW w:w="50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50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12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jc w:val="center"/>
              <w:spacing w:after="0"/>
              <w:rPr>
                <w:sz w:val="20"/>
                <w:szCs w:val="20"/>
                <w:color w:val="auto"/>
              </w:rPr>
            </w:pPr>
            <w:r>
              <w:rPr>
                <w:rFonts w:ascii="Arial" w:cs="Arial" w:eastAsia="Arial" w:hAnsi="Arial"/>
                <w:sz w:val="14"/>
                <w:szCs w:val="14"/>
                <w:b w:val="1"/>
                <w:bCs w:val="1"/>
                <w:color w:val="auto"/>
                <w:w w:val="83"/>
              </w:rPr>
              <w:t>Cost</w:t>
            </w: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jc w:val="right"/>
              <w:ind w:right="57"/>
              <w:spacing w:after="0"/>
              <w:rPr>
                <w:sz w:val="20"/>
                <w:szCs w:val="20"/>
                <w:color w:val="auto"/>
              </w:rPr>
            </w:pPr>
            <w:r>
              <w:rPr>
                <w:rFonts w:ascii="Arial" w:cs="Arial" w:eastAsia="Arial" w:hAnsi="Arial"/>
                <w:sz w:val="14"/>
                <w:szCs w:val="14"/>
                <w:b w:val="1"/>
                <w:bCs w:val="1"/>
                <w:color w:val="auto"/>
                <w:w w:val="87"/>
              </w:rPr>
              <w:t>Gains</w:t>
            </w: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gridSpan w:val="2"/>
          </w:tcPr>
          <w:p>
            <w:pPr>
              <w:spacing w:after="0"/>
              <w:rPr>
                <w:sz w:val="20"/>
                <w:szCs w:val="20"/>
                <w:color w:val="auto"/>
              </w:rPr>
            </w:pPr>
            <w:r>
              <w:rPr>
                <w:rFonts w:ascii="Arial" w:cs="Arial" w:eastAsia="Arial" w:hAnsi="Arial"/>
                <w:sz w:val="14"/>
                <w:szCs w:val="14"/>
                <w:b w:val="1"/>
                <w:bCs w:val="1"/>
                <w:color w:val="auto"/>
              </w:rPr>
              <w:t>Losses</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1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19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spacing w:after="0"/>
              <w:rPr>
                <w:sz w:val="20"/>
                <w:szCs w:val="20"/>
                <w:color w:val="auto"/>
              </w:rPr>
            </w:pPr>
            <w:r>
              <w:rPr>
                <w:rFonts w:ascii="Arial" w:cs="Arial" w:eastAsia="Arial" w:hAnsi="Arial"/>
                <w:sz w:val="18"/>
                <w:szCs w:val="18"/>
                <w:color w:val="auto"/>
              </w:rPr>
              <w:t>Available-for-sale:</w:t>
            </w:r>
          </w:p>
        </w:tc>
        <w:tc>
          <w:tcPr>
            <w:tcW w:w="1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2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596,691</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3,028</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(303)</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599,416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1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290,270</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129</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220"/>
              <w:spacing w:after="0"/>
              <w:rPr>
                <w:sz w:val="20"/>
                <w:szCs w:val="20"/>
                <w:color w:val="auto"/>
              </w:rPr>
            </w:pPr>
            <w:r>
              <w:rPr>
                <w:rFonts w:ascii="Arial" w:cs="Arial" w:eastAsia="Arial" w:hAnsi="Arial"/>
                <w:sz w:val="18"/>
                <w:szCs w:val="18"/>
                <w:color w:val="auto"/>
              </w:rPr>
              <w:t>(3)</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290,396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Asset backed securities</w:t>
            </w: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74,525</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(43)</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74,565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ind w:left="420"/>
              <w:spacing w:after="0"/>
              <w:rPr>
                <w:sz w:val="20"/>
                <w:szCs w:val="20"/>
                <w:color w:val="auto"/>
              </w:rPr>
            </w:pPr>
            <w:r>
              <w:rPr>
                <w:rFonts w:ascii="Arial" w:cs="Arial" w:eastAsia="Arial" w:hAnsi="Arial"/>
                <w:sz w:val="18"/>
                <w:szCs w:val="18"/>
                <w:color w:val="auto"/>
              </w:rPr>
              <w:t>Foreign government and agency debt</w:t>
            </w:r>
          </w:p>
        </w:tc>
        <w:tc>
          <w:tcPr>
            <w:tcW w:w="1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25,442</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25</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220"/>
              <w:spacing w:after="0"/>
              <w:rPr>
                <w:sz w:val="20"/>
                <w:szCs w:val="20"/>
                <w:color w:val="auto"/>
              </w:rPr>
            </w:pPr>
            <w:r>
              <w:rPr>
                <w:rFonts w:ascii="Arial" w:cs="Arial" w:eastAsia="Arial" w:hAnsi="Arial"/>
                <w:sz w:val="18"/>
                <w:szCs w:val="18"/>
                <w:color w:val="auto"/>
              </w:rPr>
              <w:t>(42)</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25,425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Municipal debt securities</w:t>
            </w: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15,301</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15,339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140" w:type="dxa"/>
            <w:vAlign w:val="bottom"/>
            <w:gridSpan w:val="2"/>
            <w:vMerge w:val="restart"/>
          </w:tcPr>
          <w:p>
            <w:pPr>
              <w:spacing w:after="0"/>
              <w:rPr>
                <w:sz w:val="20"/>
                <w:szCs w:val="20"/>
                <w:color w:val="auto"/>
              </w:rPr>
            </w:pPr>
            <w:r>
              <w:rPr>
                <w:rFonts w:ascii="Arial" w:cs="Arial" w:eastAsia="Arial" w:hAnsi="Arial"/>
                <w:sz w:val="18"/>
                <w:szCs w:val="18"/>
                <w:color w:val="auto"/>
              </w:rPr>
              <w:t>Total short-term investments</w:t>
            </w:r>
          </w:p>
        </w:tc>
        <w:tc>
          <w:tcPr>
            <w:tcW w:w="19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140" w:type="dxa"/>
            <w:vAlign w:val="bottom"/>
            <w:gridSpan w:val="2"/>
            <w:vMerge w:val="continue"/>
          </w:tcPr>
          <w:p>
            <w:pPr>
              <w:spacing w:after="0"/>
              <w:rPr>
                <w:sz w:val="19"/>
                <w:szCs w:val="19"/>
                <w:color w:val="auto"/>
              </w:rPr>
            </w:pPr>
          </w:p>
        </w:tc>
        <w:tc>
          <w:tcPr>
            <w:tcW w:w="19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1,002,229</w:t>
            </w:r>
          </w:p>
        </w:tc>
        <w:tc>
          <w:tcPr>
            <w:tcW w:w="5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3,307</w:t>
            </w:r>
          </w:p>
        </w:tc>
        <w:tc>
          <w:tcPr>
            <w:tcW w:w="5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80" w:type="dxa"/>
            <w:vAlign w:val="bottom"/>
            <w:gridSpan w:val="2"/>
          </w:tcPr>
          <w:p>
            <w:pPr>
              <w:jc w:val="right"/>
              <w:ind w:right="220"/>
              <w:spacing w:after="0"/>
              <w:rPr>
                <w:sz w:val="20"/>
                <w:szCs w:val="20"/>
                <w:color w:val="auto"/>
              </w:rPr>
            </w:pPr>
            <w:r>
              <w:rPr>
                <w:rFonts w:ascii="Arial" w:cs="Arial" w:eastAsia="Arial" w:hAnsi="Arial"/>
                <w:sz w:val="18"/>
                <w:szCs w:val="18"/>
                <w:color w:val="auto"/>
              </w:rPr>
              <w:t>(395)</w:t>
            </w: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1,005,141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1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spacing w:after="0"/>
              <w:rPr>
                <w:sz w:val="20"/>
                <w:szCs w:val="20"/>
                <w:color w:val="auto"/>
              </w:rPr>
            </w:pPr>
            <w:r>
              <w:rPr>
                <w:rFonts w:ascii="Arial" w:cs="Arial" w:eastAsia="Arial" w:hAnsi="Arial"/>
                <w:sz w:val="18"/>
                <w:szCs w:val="18"/>
                <w:color w:val="auto"/>
              </w:rPr>
              <w:t>Available-for-sale:</w:t>
            </w:r>
          </w:p>
        </w:tc>
        <w:tc>
          <w:tcPr>
            <w:tcW w:w="1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Auction rate securities</w:t>
            </w: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16,150</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4"/>
              </w:rPr>
              <w:t>(2,694)</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13,456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20" w:type="dxa"/>
            <w:vAlign w:val="bottom"/>
            <w:vMerge w:val="restart"/>
          </w:tcPr>
          <w:p>
            <w:pPr>
              <w:ind w:left="420"/>
              <w:spacing w:after="0"/>
              <w:rPr>
                <w:sz w:val="20"/>
                <w:szCs w:val="20"/>
                <w:color w:val="auto"/>
              </w:rPr>
            </w:pPr>
            <w:r>
              <w:rPr>
                <w:rFonts w:ascii="Arial" w:cs="Arial" w:eastAsia="Arial" w:hAnsi="Arial"/>
                <w:sz w:val="18"/>
                <w:szCs w:val="18"/>
                <w:color w:val="auto"/>
              </w:rPr>
              <w:t>Total long-term investments</w:t>
            </w:r>
          </w:p>
        </w:tc>
        <w:tc>
          <w:tcPr>
            <w:tcW w:w="19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4120" w:type="dxa"/>
            <w:vAlign w:val="bottom"/>
            <w:vMerge w:val="continue"/>
          </w:tcPr>
          <w:p>
            <w:pPr>
              <w:spacing w:after="0"/>
              <w:rPr>
                <w:sz w:val="19"/>
                <w:szCs w:val="19"/>
                <w:color w:val="auto"/>
              </w:rPr>
            </w:pPr>
          </w:p>
        </w:tc>
        <w:tc>
          <w:tcPr>
            <w:tcW w:w="19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16,150</w:t>
            </w:r>
          </w:p>
        </w:tc>
        <w:tc>
          <w:tcPr>
            <w:tcW w:w="5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80" w:type="dxa"/>
            <w:vAlign w:val="bottom"/>
            <w:gridSpan w:val="2"/>
          </w:tcPr>
          <w:p>
            <w:pPr>
              <w:jc w:val="right"/>
              <w:ind w:right="220"/>
              <w:spacing w:after="0"/>
              <w:rPr>
                <w:sz w:val="20"/>
                <w:szCs w:val="20"/>
                <w:color w:val="auto"/>
              </w:rPr>
            </w:pPr>
            <w:r>
              <w:rPr>
                <w:rFonts w:ascii="Arial" w:cs="Arial" w:eastAsia="Arial" w:hAnsi="Arial"/>
                <w:sz w:val="18"/>
                <w:szCs w:val="18"/>
                <w:color w:val="auto"/>
                <w:w w:val="94"/>
              </w:rPr>
              <w:t>(2,694)</w:t>
            </w: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13,456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120" w:type="dxa"/>
            <w:vAlign w:val="bottom"/>
          </w:tcPr>
          <w:p>
            <w:pPr>
              <w:spacing w:after="0"/>
              <w:rPr>
                <w:sz w:val="2"/>
                <w:szCs w:val="2"/>
                <w:color w:val="auto"/>
              </w:rPr>
            </w:pPr>
          </w:p>
        </w:tc>
        <w:tc>
          <w:tcPr>
            <w:tcW w:w="19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20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1,018,379</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3,307</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4"/>
              </w:rPr>
              <w:t>(3,089)</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1,018,597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2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gridSpan w:val="2"/>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5"/>
        </w:trPr>
        <w:tc>
          <w:tcPr>
            <w:tcW w:w="20" w:type="dxa"/>
            <w:vAlign w:val="bottom"/>
          </w:tcPr>
          <w:p>
            <w:pPr>
              <w:spacing w:after="0"/>
              <w:rPr>
                <w:sz w:val="24"/>
                <w:szCs w:val="24"/>
                <w:color w:val="auto"/>
              </w:rPr>
            </w:pPr>
          </w:p>
        </w:tc>
        <w:tc>
          <w:tcPr>
            <w:tcW w:w="4120" w:type="dxa"/>
            <w:vAlign w:val="bottom"/>
          </w:tcPr>
          <w:p>
            <w:pPr>
              <w:spacing w:after="0"/>
              <w:rPr>
                <w:sz w:val="24"/>
                <w:szCs w:val="24"/>
                <w:color w:val="auto"/>
              </w:rPr>
            </w:pPr>
          </w:p>
        </w:tc>
        <w:tc>
          <w:tcPr>
            <w:tcW w:w="1940" w:type="dxa"/>
            <w:vAlign w:val="bottom"/>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900" w:type="dxa"/>
            <w:vAlign w:val="bottom"/>
            <w:tcBorders>
              <w:bottom w:val="single" w:sz="8" w:color="auto"/>
            </w:tcBorders>
            <w:gridSpan w:val="5"/>
          </w:tcPr>
          <w:p>
            <w:pPr>
              <w:jc w:val="right"/>
              <w:ind w:right="640"/>
              <w:spacing w:after="0"/>
              <w:rPr>
                <w:sz w:val="20"/>
                <w:szCs w:val="20"/>
                <w:color w:val="auto"/>
              </w:rPr>
            </w:pPr>
            <w:r>
              <w:rPr>
                <w:rFonts w:ascii="Arial" w:cs="Arial" w:eastAsia="Arial" w:hAnsi="Arial"/>
                <w:sz w:val="14"/>
                <w:szCs w:val="14"/>
                <w:b w:val="1"/>
                <w:bCs w:val="1"/>
                <w:color w:val="auto"/>
              </w:rPr>
              <w:t>February 1, 2014</w:t>
            </w:r>
          </w:p>
        </w:tc>
        <w:tc>
          <w:tcPr>
            <w:tcW w:w="22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120" w:type="dxa"/>
            <w:vAlign w:val="bottom"/>
          </w:tcPr>
          <w:p>
            <w:pPr>
              <w:spacing w:after="0"/>
              <w:rPr>
                <w:sz w:val="11"/>
                <w:szCs w:val="11"/>
                <w:color w:val="auto"/>
              </w:rPr>
            </w:pPr>
          </w:p>
        </w:tc>
        <w:tc>
          <w:tcPr>
            <w:tcW w:w="19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jc w:val="right"/>
              <w:ind w:right="57"/>
              <w:spacing w:after="0" w:line="129" w:lineRule="exact"/>
              <w:rPr>
                <w:sz w:val="20"/>
                <w:szCs w:val="20"/>
                <w:color w:val="auto"/>
              </w:rPr>
            </w:pPr>
            <w:r>
              <w:rPr>
                <w:rFonts w:ascii="Arial" w:cs="Arial" w:eastAsia="Arial" w:hAnsi="Arial"/>
                <w:sz w:val="14"/>
                <w:szCs w:val="14"/>
                <w:b w:val="1"/>
                <w:bCs w:val="1"/>
                <w:color w:val="auto"/>
                <w:w w:val="83"/>
              </w:rPr>
              <w:t>Gross</w:t>
            </w: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80" w:type="dxa"/>
            <w:vAlign w:val="bottom"/>
            <w:gridSpan w:val="2"/>
          </w:tcPr>
          <w:p>
            <w:pPr>
              <w:ind w:left="20"/>
              <w:spacing w:after="0" w:line="129" w:lineRule="exact"/>
              <w:rPr>
                <w:sz w:val="20"/>
                <w:szCs w:val="20"/>
                <w:color w:val="auto"/>
              </w:rPr>
            </w:pPr>
            <w:r>
              <w:rPr>
                <w:rFonts w:ascii="Arial" w:cs="Arial" w:eastAsia="Arial" w:hAnsi="Arial"/>
                <w:sz w:val="14"/>
                <w:szCs w:val="14"/>
                <w:b w:val="1"/>
                <w:bCs w:val="1"/>
                <w:color w:val="auto"/>
              </w:rPr>
              <w:t>Gross</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12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Amortized</w:t>
            </w:r>
          </w:p>
        </w:tc>
        <w:tc>
          <w:tcPr>
            <w:tcW w:w="50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50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12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jc w:val="center"/>
              <w:spacing w:after="0"/>
              <w:rPr>
                <w:sz w:val="20"/>
                <w:szCs w:val="20"/>
                <w:color w:val="auto"/>
              </w:rPr>
            </w:pPr>
            <w:r>
              <w:rPr>
                <w:rFonts w:ascii="Arial" w:cs="Arial" w:eastAsia="Arial" w:hAnsi="Arial"/>
                <w:sz w:val="14"/>
                <w:szCs w:val="14"/>
                <w:b w:val="1"/>
                <w:bCs w:val="1"/>
                <w:color w:val="auto"/>
                <w:w w:val="83"/>
              </w:rPr>
              <w:t>Cost</w:t>
            </w: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jc w:val="right"/>
              <w:ind w:right="57"/>
              <w:spacing w:after="0"/>
              <w:rPr>
                <w:sz w:val="20"/>
                <w:szCs w:val="20"/>
                <w:color w:val="auto"/>
              </w:rPr>
            </w:pPr>
            <w:r>
              <w:rPr>
                <w:rFonts w:ascii="Arial" w:cs="Arial" w:eastAsia="Arial" w:hAnsi="Arial"/>
                <w:sz w:val="14"/>
                <w:szCs w:val="14"/>
                <w:b w:val="1"/>
                <w:bCs w:val="1"/>
                <w:color w:val="auto"/>
                <w:w w:val="87"/>
              </w:rPr>
              <w:t>Gains</w:t>
            </w: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gridSpan w:val="2"/>
          </w:tcPr>
          <w:p>
            <w:pPr>
              <w:spacing w:after="0"/>
              <w:rPr>
                <w:sz w:val="20"/>
                <w:szCs w:val="20"/>
                <w:color w:val="auto"/>
              </w:rPr>
            </w:pPr>
            <w:r>
              <w:rPr>
                <w:rFonts w:ascii="Arial" w:cs="Arial" w:eastAsia="Arial" w:hAnsi="Arial"/>
                <w:sz w:val="14"/>
                <w:szCs w:val="14"/>
                <w:b w:val="1"/>
                <w:bCs w:val="1"/>
                <w:color w:val="auto"/>
              </w:rPr>
              <w:t>Losses</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1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19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spacing w:after="0"/>
              <w:rPr>
                <w:sz w:val="20"/>
                <w:szCs w:val="20"/>
                <w:color w:val="auto"/>
              </w:rPr>
            </w:pPr>
            <w:r>
              <w:rPr>
                <w:rFonts w:ascii="Arial" w:cs="Arial" w:eastAsia="Arial" w:hAnsi="Arial"/>
                <w:sz w:val="18"/>
                <w:szCs w:val="18"/>
                <w:color w:val="auto"/>
              </w:rPr>
              <w:t>Available-for-sale:</w:t>
            </w:r>
          </w:p>
        </w:tc>
        <w:tc>
          <w:tcPr>
            <w:tcW w:w="1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2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587,095</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2,789</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(370)</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589,514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1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301,423</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128</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220"/>
              <w:spacing w:after="0"/>
              <w:rPr>
                <w:sz w:val="20"/>
                <w:szCs w:val="20"/>
                <w:color w:val="auto"/>
              </w:rPr>
            </w:pPr>
            <w:r>
              <w:rPr>
                <w:rFonts w:ascii="Arial" w:cs="Arial" w:eastAsia="Arial" w:hAnsi="Arial"/>
                <w:sz w:val="18"/>
                <w:szCs w:val="18"/>
                <w:color w:val="auto"/>
              </w:rPr>
              <w:t>(72)</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301,479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Asset backed securities</w:t>
            </w: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76,220</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(38)</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76,271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ind w:left="420"/>
              <w:spacing w:after="0"/>
              <w:rPr>
                <w:sz w:val="20"/>
                <w:szCs w:val="20"/>
                <w:color w:val="auto"/>
              </w:rPr>
            </w:pPr>
            <w:r>
              <w:rPr>
                <w:rFonts w:ascii="Arial" w:cs="Arial" w:eastAsia="Arial" w:hAnsi="Arial"/>
                <w:sz w:val="18"/>
                <w:szCs w:val="18"/>
                <w:color w:val="auto"/>
              </w:rPr>
              <w:t>Foreign government and agency debt</w:t>
            </w:r>
          </w:p>
        </w:tc>
        <w:tc>
          <w:tcPr>
            <w:tcW w:w="1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20,324</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12</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220"/>
              <w:spacing w:after="0"/>
              <w:rPr>
                <w:sz w:val="20"/>
                <w:szCs w:val="20"/>
                <w:color w:val="auto"/>
              </w:rPr>
            </w:pPr>
            <w:r>
              <w:rPr>
                <w:rFonts w:ascii="Arial" w:cs="Arial" w:eastAsia="Arial" w:hAnsi="Arial"/>
                <w:sz w:val="18"/>
                <w:szCs w:val="18"/>
                <w:color w:val="auto"/>
              </w:rPr>
              <w:t>(44)</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20,292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Municipal debt securities</w:t>
            </w: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16,059</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16,099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140" w:type="dxa"/>
            <w:vAlign w:val="bottom"/>
            <w:gridSpan w:val="2"/>
            <w:vMerge w:val="restart"/>
          </w:tcPr>
          <w:p>
            <w:pPr>
              <w:spacing w:after="0"/>
              <w:rPr>
                <w:sz w:val="20"/>
                <w:szCs w:val="20"/>
                <w:color w:val="auto"/>
              </w:rPr>
            </w:pPr>
            <w:r>
              <w:rPr>
                <w:rFonts w:ascii="Arial" w:cs="Arial" w:eastAsia="Arial" w:hAnsi="Arial"/>
                <w:sz w:val="18"/>
                <w:szCs w:val="18"/>
                <w:color w:val="auto"/>
              </w:rPr>
              <w:t>Total short-term investments</w:t>
            </w:r>
          </w:p>
        </w:tc>
        <w:tc>
          <w:tcPr>
            <w:tcW w:w="19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140" w:type="dxa"/>
            <w:vAlign w:val="bottom"/>
            <w:gridSpan w:val="2"/>
            <w:vMerge w:val="continue"/>
          </w:tcPr>
          <w:p>
            <w:pPr>
              <w:spacing w:after="0"/>
              <w:rPr>
                <w:sz w:val="19"/>
                <w:szCs w:val="19"/>
                <w:color w:val="auto"/>
              </w:rPr>
            </w:pPr>
          </w:p>
        </w:tc>
        <w:tc>
          <w:tcPr>
            <w:tcW w:w="19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1,001,121</w:t>
            </w:r>
          </w:p>
        </w:tc>
        <w:tc>
          <w:tcPr>
            <w:tcW w:w="5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3,062</w:t>
            </w:r>
          </w:p>
        </w:tc>
        <w:tc>
          <w:tcPr>
            <w:tcW w:w="5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80" w:type="dxa"/>
            <w:vAlign w:val="bottom"/>
            <w:gridSpan w:val="2"/>
          </w:tcPr>
          <w:p>
            <w:pPr>
              <w:jc w:val="right"/>
              <w:ind w:right="220"/>
              <w:spacing w:after="0"/>
              <w:rPr>
                <w:sz w:val="20"/>
                <w:szCs w:val="20"/>
                <w:color w:val="auto"/>
              </w:rPr>
            </w:pPr>
            <w:r>
              <w:rPr>
                <w:rFonts w:ascii="Arial" w:cs="Arial" w:eastAsia="Arial" w:hAnsi="Arial"/>
                <w:sz w:val="18"/>
                <w:szCs w:val="18"/>
                <w:color w:val="auto"/>
              </w:rPr>
              <w:t>(528)</w:t>
            </w: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1,003,655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1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spacing w:after="0"/>
              <w:rPr>
                <w:sz w:val="20"/>
                <w:szCs w:val="20"/>
                <w:color w:val="auto"/>
              </w:rPr>
            </w:pPr>
            <w:r>
              <w:rPr>
                <w:rFonts w:ascii="Arial" w:cs="Arial" w:eastAsia="Arial" w:hAnsi="Arial"/>
                <w:sz w:val="18"/>
                <w:szCs w:val="18"/>
                <w:color w:val="auto"/>
              </w:rPr>
              <w:t>Available-for-sale:</w:t>
            </w:r>
          </w:p>
        </w:tc>
        <w:tc>
          <w:tcPr>
            <w:tcW w:w="1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Auction rate securities</w:t>
            </w: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19,150</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4"/>
              </w:rPr>
              <w:t>(2,871)</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16,279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20" w:type="dxa"/>
            <w:vAlign w:val="bottom"/>
            <w:vMerge w:val="restart"/>
          </w:tcPr>
          <w:p>
            <w:pPr>
              <w:ind w:left="420"/>
              <w:spacing w:after="0"/>
              <w:rPr>
                <w:sz w:val="20"/>
                <w:szCs w:val="20"/>
                <w:color w:val="auto"/>
              </w:rPr>
            </w:pPr>
            <w:r>
              <w:rPr>
                <w:rFonts w:ascii="Arial" w:cs="Arial" w:eastAsia="Arial" w:hAnsi="Arial"/>
                <w:sz w:val="18"/>
                <w:szCs w:val="18"/>
                <w:color w:val="auto"/>
              </w:rPr>
              <w:t>Total long-term investments</w:t>
            </w:r>
          </w:p>
        </w:tc>
        <w:tc>
          <w:tcPr>
            <w:tcW w:w="19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4120" w:type="dxa"/>
            <w:vAlign w:val="bottom"/>
            <w:vMerge w:val="continue"/>
          </w:tcPr>
          <w:p>
            <w:pPr>
              <w:spacing w:after="0"/>
              <w:rPr>
                <w:sz w:val="19"/>
                <w:szCs w:val="19"/>
                <w:color w:val="auto"/>
              </w:rPr>
            </w:pPr>
          </w:p>
        </w:tc>
        <w:tc>
          <w:tcPr>
            <w:tcW w:w="19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19,150</w:t>
            </w:r>
          </w:p>
        </w:tc>
        <w:tc>
          <w:tcPr>
            <w:tcW w:w="5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80" w:type="dxa"/>
            <w:vAlign w:val="bottom"/>
            <w:gridSpan w:val="2"/>
          </w:tcPr>
          <w:p>
            <w:pPr>
              <w:jc w:val="right"/>
              <w:ind w:right="220"/>
              <w:spacing w:after="0"/>
              <w:rPr>
                <w:sz w:val="20"/>
                <w:szCs w:val="20"/>
                <w:color w:val="auto"/>
              </w:rPr>
            </w:pPr>
            <w:r>
              <w:rPr>
                <w:rFonts w:ascii="Arial" w:cs="Arial" w:eastAsia="Arial" w:hAnsi="Arial"/>
                <w:sz w:val="18"/>
                <w:szCs w:val="18"/>
                <w:color w:val="auto"/>
                <w:w w:val="94"/>
              </w:rPr>
              <w:t>(2,871)</w:t>
            </w: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16,279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120" w:type="dxa"/>
            <w:vAlign w:val="bottom"/>
          </w:tcPr>
          <w:p>
            <w:pPr>
              <w:spacing w:after="0"/>
              <w:rPr>
                <w:sz w:val="2"/>
                <w:szCs w:val="2"/>
                <w:color w:val="auto"/>
              </w:rPr>
            </w:pPr>
          </w:p>
        </w:tc>
        <w:tc>
          <w:tcPr>
            <w:tcW w:w="19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20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1,020,271</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3,062</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4"/>
              </w:rPr>
              <w:t>(3,399)</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1,019,934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20" w:type="dxa"/>
            <w:vAlign w:val="bottom"/>
          </w:tcPr>
          <w:p>
            <w:pPr>
              <w:spacing w:after="0" w:line="20" w:lineRule="exact"/>
              <w:rPr>
                <w:sz w:val="1"/>
                <w:szCs w:val="1"/>
                <w:color w:val="auto"/>
              </w:rPr>
            </w:pPr>
          </w:p>
        </w:tc>
        <w:tc>
          <w:tcPr>
            <w:tcW w:w="1940" w:type="dxa"/>
            <w:vAlign w:val="bottom"/>
            <w:vMerge w:val="restart"/>
          </w:tcPr>
          <w:p>
            <w:pPr>
              <w:jc w:val="right"/>
              <w:ind w:right="692"/>
              <w:spacing w:after="0"/>
              <w:rPr>
                <w:sz w:val="20"/>
                <w:szCs w:val="20"/>
                <w:color w:val="auto"/>
              </w:rPr>
            </w:pPr>
            <w:r>
              <w:rPr>
                <w:rFonts w:ascii="Arial" w:cs="Arial" w:eastAsia="Arial" w:hAnsi="Arial"/>
                <w:sz w:val="18"/>
                <w:szCs w:val="18"/>
                <w:color w:val="auto"/>
              </w:rPr>
              <w:t>7</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120" w:type="dxa"/>
            <w:vAlign w:val="bottom"/>
          </w:tcPr>
          <w:p>
            <w:pPr>
              <w:spacing w:after="0"/>
              <w:rPr>
                <w:sz w:val="24"/>
                <w:szCs w:val="24"/>
                <w:color w:val="auto"/>
              </w:rPr>
            </w:pPr>
          </w:p>
        </w:tc>
        <w:tc>
          <w:tcPr>
            <w:tcW w:w="194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00"/>
          </w:cols>
          <w:pgMar w:left="240" w:top="459" w:right="25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40" w:firstLine="456"/>
        <w:spacing w:after="0" w:line="309" w:lineRule="auto"/>
        <w:rPr>
          <w:sz w:val="20"/>
          <w:szCs w:val="20"/>
          <w:color w:val="auto"/>
        </w:rPr>
      </w:pPr>
      <w:r>
        <w:rPr>
          <w:rFonts w:ascii="Arial" w:cs="Arial" w:eastAsia="Arial" w:hAnsi="Arial"/>
          <w:sz w:val="15"/>
          <w:szCs w:val="15"/>
          <w:color w:val="auto"/>
        </w:rPr>
        <w:t>As of May 3, 2014, the Company’s investment portfolio included auction rate securities with an aggregate par value of $16.2 million. Although these securities have continued to pay interest and show an improvement in the underlying collateralization, there is currently limited trading volume. To estimate the fair value of the auction rate securities, the Company uses a discounted cash flow model based on estimated timing and amount of future interest and principal payments. In developing the cash flow model, the Company considers the credit quality and liquidity of the underlying securities and related issuer, the collateralization of underlying security investments and other considerations. The fair value of the auction rate securities as of May 3, 2014 was $2.7 million less than the par value and was recorded in long-term investments. Based on the Company’s balance of approximately $2.1 billion in cash, cash equivalents and short-term investments, and the fact that the Company continues to generate positive cash flow from operations on a quarterly basis, the Company does not anticipate having to sell these securities below par value and does not have the intent to sell these auction rate securities until recovery. Since the Company considers the impairment to be temporary, the Company recorded the unrealized loss to accumulated other comprehensive income, a component of shareholders’ equity.</w:t>
      </w:r>
    </w:p>
    <w:p>
      <w:pPr>
        <w:spacing w:after="0" w:line="108" w:lineRule="exact"/>
        <w:rPr>
          <w:sz w:val="20"/>
          <w:szCs w:val="20"/>
          <w:color w:val="auto"/>
        </w:rPr>
      </w:pPr>
    </w:p>
    <w:p>
      <w:pPr>
        <w:ind w:left="460"/>
        <w:spacing w:after="0"/>
        <w:rPr>
          <w:sz w:val="20"/>
          <w:szCs w:val="20"/>
          <w:color w:val="auto"/>
        </w:rPr>
      </w:pPr>
      <w:r>
        <w:rPr>
          <w:rFonts w:ascii="Arial" w:cs="Arial" w:eastAsia="Arial" w:hAnsi="Arial"/>
          <w:sz w:val="16"/>
          <w:szCs w:val="16"/>
          <w:color w:val="auto"/>
        </w:rPr>
        <w:t>Gross realized gains and gross realized losses on sales of available-for-sales securities are presented in the following tables (in thousands):</w:t>
      </w:r>
    </w:p>
    <w:p>
      <w:pPr>
        <w:spacing w:after="0" w:line="230"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220" w:type="dxa"/>
            <w:vAlign w:val="bottom"/>
          </w:tcPr>
          <w:p>
            <w:pPr>
              <w:spacing w:after="0"/>
              <w:rPr>
                <w:sz w:val="14"/>
                <w:szCs w:val="14"/>
                <w:color w:val="auto"/>
              </w:rPr>
            </w:pPr>
          </w:p>
        </w:tc>
        <w:tc>
          <w:tcPr>
            <w:tcW w:w="26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740" w:type="dxa"/>
            <w:vAlign w:val="bottom"/>
            <w:gridSpan w:val="6"/>
          </w:tcPr>
          <w:p>
            <w:pPr>
              <w:jc w:val="right"/>
              <w:ind w:right="360"/>
              <w:spacing w:after="0"/>
              <w:rPr>
                <w:sz w:val="20"/>
                <w:szCs w:val="20"/>
                <w:color w:val="auto"/>
              </w:rPr>
            </w:pPr>
            <w:r>
              <w:rPr>
                <w:rFonts w:ascii="Arial" w:cs="Arial" w:eastAsia="Arial" w:hAnsi="Arial"/>
                <w:sz w:val="14"/>
                <w:szCs w:val="14"/>
                <w:b w:val="1"/>
                <w:bCs w:val="1"/>
                <w:color w:val="auto"/>
                <w:w w:val="98"/>
              </w:rPr>
              <w:t>Three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2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860" w:type="dxa"/>
            <w:vAlign w:val="bottom"/>
            <w:tcBorders>
              <w:top w:val="single" w:sz="8" w:color="auto"/>
            </w:tcBorders>
            <w:gridSpan w:val="3"/>
          </w:tcPr>
          <w:p>
            <w:pPr>
              <w:jc w:val="right"/>
              <w:ind w:right="420"/>
              <w:spacing w:after="0" w:line="129" w:lineRule="exact"/>
              <w:rPr>
                <w:sz w:val="20"/>
                <w:szCs w:val="20"/>
                <w:color w:val="auto"/>
              </w:rPr>
            </w:pPr>
            <w:r>
              <w:rPr>
                <w:rFonts w:ascii="Arial" w:cs="Arial" w:eastAsia="Arial" w:hAnsi="Arial"/>
                <w:sz w:val="14"/>
                <w:szCs w:val="14"/>
                <w:b w:val="1"/>
                <w:bCs w:val="1"/>
                <w:color w:val="auto"/>
                <w:w w:val="98"/>
              </w:rPr>
              <w:t>May 3,</w:t>
            </w:r>
          </w:p>
        </w:tc>
        <w:tc>
          <w:tcPr>
            <w:tcW w:w="30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rPr>
              <w:t>May 4,</w:t>
            </w: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220" w:type="dxa"/>
            <w:vAlign w:val="bottom"/>
            <w:tcBorders>
              <w:bottom w:val="single" w:sz="8" w:color="CCEEFF"/>
            </w:tcBorders>
          </w:tcPr>
          <w:p>
            <w:pPr>
              <w:spacing w:after="0"/>
              <w:rPr>
                <w:sz w:val="14"/>
                <w:szCs w:val="14"/>
                <w:color w:val="auto"/>
              </w:rPr>
            </w:pPr>
          </w:p>
        </w:tc>
        <w:tc>
          <w:tcPr>
            <w:tcW w:w="26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jc w:val="right"/>
              <w:ind w:right="40"/>
              <w:spacing w:after="0"/>
              <w:rPr>
                <w:sz w:val="20"/>
                <w:szCs w:val="20"/>
                <w:color w:val="auto"/>
              </w:rPr>
            </w:pPr>
            <w:r>
              <w:rPr>
                <w:rFonts w:ascii="Arial" w:cs="Arial" w:eastAsia="Arial" w:hAnsi="Arial"/>
                <w:sz w:val="14"/>
                <w:szCs w:val="14"/>
                <w:b w:val="1"/>
                <w:bCs w:val="1"/>
                <w:color w:val="auto"/>
                <w:w w:val="89"/>
              </w:rPr>
              <w:t>2014</w:t>
            </w:r>
          </w:p>
        </w:tc>
        <w:tc>
          <w:tcPr>
            <w:tcW w:w="36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jc w:val="right"/>
              <w:ind w:right="57"/>
              <w:spacing w:after="0"/>
              <w:rPr>
                <w:sz w:val="20"/>
                <w:szCs w:val="20"/>
                <w:color w:val="auto"/>
              </w:rPr>
            </w:pPr>
            <w:r>
              <w:rPr>
                <w:rFonts w:ascii="Arial" w:cs="Arial" w:eastAsia="Arial" w:hAnsi="Arial"/>
                <w:sz w:val="14"/>
                <w:szCs w:val="14"/>
                <w:b w:val="1"/>
                <w:bCs w:val="1"/>
                <w:color w:val="auto"/>
                <w:w w:val="83"/>
              </w:rPr>
              <w:t>2013</w:t>
            </w:r>
          </w:p>
        </w:tc>
        <w:tc>
          <w:tcPr>
            <w:tcW w:w="1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22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Gross realized gains</w:t>
            </w:r>
          </w:p>
        </w:tc>
        <w:tc>
          <w:tcPr>
            <w:tcW w:w="26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472</w:t>
            </w:r>
          </w:p>
        </w:tc>
        <w:tc>
          <w:tcPr>
            <w:tcW w:w="3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220" w:type="dxa"/>
            <w:vAlign w:val="bottom"/>
          </w:tcPr>
          <w:p>
            <w:pPr>
              <w:spacing w:after="0"/>
              <w:rPr>
                <w:sz w:val="20"/>
                <w:szCs w:val="20"/>
                <w:color w:val="auto"/>
              </w:rPr>
            </w:pPr>
            <w:r>
              <w:rPr>
                <w:rFonts w:ascii="Arial" w:cs="Arial" w:eastAsia="Arial" w:hAnsi="Arial"/>
                <w:sz w:val="18"/>
                <w:szCs w:val="18"/>
                <w:color w:val="auto"/>
              </w:rPr>
              <w:t>Gross realized losses</w:t>
            </w:r>
          </w:p>
        </w:tc>
        <w:tc>
          <w:tcPr>
            <w:tcW w:w="27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2"/>
          </w:tcPr>
          <w:p>
            <w:pPr>
              <w:jc w:val="right"/>
              <w:ind w:right="320"/>
              <w:spacing w:after="0"/>
              <w:rPr>
                <w:sz w:val="20"/>
                <w:szCs w:val="20"/>
                <w:color w:val="auto"/>
              </w:rPr>
            </w:pPr>
            <w:r>
              <w:rPr>
                <w:rFonts w:ascii="Arial" w:cs="Arial" w:eastAsia="Arial" w:hAnsi="Arial"/>
                <w:sz w:val="18"/>
                <w:szCs w:val="18"/>
                <w:color w:val="auto"/>
              </w:rPr>
              <w:t>(25)</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40" w:type="dxa"/>
            <w:vAlign w:val="bottom"/>
            <w:gridSpan w:val="2"/>
          </w:tcPr>
          <w:p>
            <w:pPr>
              <w:jc w:val="right"/>
              <w:ind w:right="60"/>
              <w:spacing w:after="0"/>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220" w:type="dxa"/>
            <w:vAlign w:val="bottom"/>
          </w:tcPr>
          <w:p>
            <w:pPr>
              <w:spacing w:after="0"/>
              <w:rPr>
                <w:sz w:val="2"/>
                <w:szCs w:val="2"/>
                <w:color w:val="auto"/>
              </w:rPr>
            </w:pPr>
          </w:p>
        </w:tc>
        <w:tc>
          <w:tcPr>
            <w:tcW w:w="26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42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42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220" w:type="dxa"/>
            <w:vAlign w:val="bottom"/>
            <w:shd w:val="clear" w:color="auto" w:fill="CCEEFF"/>
          </w:tcPr>
          <w:p>
            <w:pPr>
              <w:spacing w:after="0"/>
              <w:rPr>
                <w:sz w:val="20"/>
                <w:szCs w:val="20"/>
                <w:color w:val="auto"/>
              </w:rPr>
            </w:pPr>
            <w:r>
              <w:rPr>
                <w:rFonts w:ascii="Arial" w:cs="Arial" w:eastAsia="Arial" w:hAnsi="Arial"/>
                <w:sz w:val="18"/>
                <w:szCs w:val="18"/>
                <w:color w:val="auto"/>
              </w:rPr>
              <w:t>Total net realized gains</w:t>
            </w:r>
          </w:p>
        </w:tc>
        <w:tc>
          <w:tcPr>
            <w:tcW w:w="2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447</w:t>
            </w:r>
          </w:p>
        </w:tc>
        <w:tc>
          <w:tcPr>
            <w:tcW w:w="360" w:type="dxa"/>
            <w:vAlign w:val="bottom"/>
            <w:shd w:val="clear" w:color="auto" w:fill="CCEEFF"/>
          </w:tcPr>
          <w:p>
            <w:pPr>
              <w:spacing w:after="0"/>
              <w:rPr>
                <w:sz w:val="18"/>
                <w:szCs w:val="18"/>
                <w:color w:val="auto"/>
              </w:rPr>
            </w:pP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220" w:type="dxa"/>
            <w:vAlign w:val="bottom"/>
          </w:tcPr>
          <w:p>
            <w:pPr>
              <w:spacing w:after="0" w:line="20" w:lineRule="exact"/>
              <w:rPr>
                <w:sz w:val="1"/>
                <w:szCs w:val="1"/>
                <w:color w:val="auto"/>
              </w:rPr>
            </w:pPr>
          </w:p>
        </w:tc>
        <w:tc>
          <w:tcPr>
            <w:tcW w:w="26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contractual maturities of available-for-sale securities are presented in the following table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0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100" w:type="dxa"/>
            <w:vAlign w:val="bottom"/>
            <w:gridSpan w:val="6"/>
          </w:tcPr>
          <w:p>
            <w:pPr>
              <w:jc w:val="right"/>
              <w:ind w:right="840"/>
              <w:spacing w:after="0"/>
              <w:rPr>
                <w:sz w:val="20"/>
                <w:szCs w:val="20"/>
                <w:color w:val="auto"/>
              </w:rPr>
            </w:pPr>
            <w:r>
              <w:rPr>
                <w:rFonts w:ascii="Arial" w:cs="Arial" w:eastAsia="Arial" w:hAnsi="Arial"/>
                <w:sz w:val="14"/>
                <w:szCs w:val="14"/>
                <w:b w:val="1"/>
                <w:bCs w:val="1"/>
                <w:color w:val="auto"/>
              </w:rPr>
              <w:t>May 3, 2014</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0" w:type="dxa"/>
            <w:vAlign w:val="bottom"/>
            <w:gridSpan w:val="5"/>
          </w:tcPr>
          <w:p>
            <w:pPr>
              <w:ind w:left="420"/>
              <w:spacing w:after="0"/>
              <w:rPr>
                <w:sz w:val="20"/>
                <w:szCs w:val="20"/>
                <w:color w:val="auto"/>
              </w:rPr>
            </w:pPr>
            <w:r>
              <w:rPr>
                <w:rFonts w:ascii="Arial" w:cs="Arial" w:eastAsia="Arial" w:hAnsi="Arial"/>
                <w:sz w:val="14"/>
                <w:szCs w:val="14"/>
                <w:b w:val="1"/>
                <w:bCs w:val="1"/>
                <w:color w:val="auto"/>
              </w:rPr>
              <w:t>February 1, 2014</w:t>
            </w:r>
          </w:p>
        </w:tc>
      </w:tr>
      <w:tr>
        <w:trPr>
          <w:trHeight w:val="129"/>
        </w:trPr>
        <w:tc>
          <w:tcPr>
            <w:tcW w:w="60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100" w:type="dxa"/>
            <w:vAlign w:val="bottom"/>
            <w:tcBorders>
              <w:top w:val="single" w:sz="8" w:color="auto"/>
            </w:tcBorders>
            <w:gridSpan w:val="3"/>
          </w:tcPr>
          <w:p>
            <w:pPr>
              <w:jc w:val="center"/>
              <w:ind w:right="500"/>
              <w:spacing w:after="0" w:line="129" w:lineRule="exact"/>
              <w:rPr>
                <w:sz w:val="20"/>
                <w:szCs w:val="20"/>
                <w:color w:val="auto"/>
              </w:rPr>
            </w:pPr>
            <w:r>
              <w:rPr>
                <w:rFonts w:ascii="Arial" w:cs="Arial" w:eastAsia="Arial" w:hAnsi="Arial"/>
                <w:sz w:val="14"/>
                <w:szCs w:val="14"/>
                <w:b w:val="1"/>
                <w:bCs w:val="1"/>
                <w:color w:val="auto"/>
                <w:w w:val="87"/>
              </w:rPr>
              <w:t>Amortized</w:t>
            </w: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16"/>
              <w:spacing w:after="0" w:line="129" w:lineRule="exact"/>
              <w:rPr>
                <w:sz w:val="20"/>
                <w:szCs w:val="20"/>
                <w:color w:val="auto"/>
              </w:rPr>
            </w:pPr>
            <w:r>
              <w:rPr>
                <w:rFonts w:ascii="Arial" w:cs="Arial" w:eastAsia="Arial" w:hAnsi="Arial"/>
                <w:sz w:val="14"/>
                <w:szCs w:val="14"/>
                <w:b w:val="1"/>
                <w:bCs w:val="1"/>
                <w:color w:val="auto"/>
                <w:w w:val="86"/>
              </w:rPr>
              <w:t>Estimated</w:t>
            </w:r>
          </w:p>
        </w:tc>
        <w:tc>
          <w:tcPr>
            <w:tcW w:w="2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1"/>
              <w:spacing w:after="0" w:line="129" w:lineRule="exact"/>
              <w:rPr>
                <w:sz w:val="20"/>
                <w:szCs w:val="20"/>
                <w:color w:val="auto"/>
              </w:rPr>
            </w:pPr>
            <w:r>
              <w:rPr>
                <w:rFonts w:ascii="Arial" w:cs="Arial" w:eastAsia="Arial" w:hAnsi="Arial"/>
                <w:sz w:val="14"/>
                <w:szCs w:val="14"/>
                <w:b w:val="1"/>
                <w:bCs w:val="1"/>
                <w:color w:val="auto"/>
                <w:w w:val="87"/>
              </w:rPr>
              <w:t>Amortized</w:t>
            </w:r>
          </w:p>
        </w:tc>
        <w:tc>
          <w:tcPr>
            <w:tcW w:w="4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16"/>
              <w:spacing w:after="0" w:line="129" w:lineRule="exact"/>
              <w:rPr>
                <w:sz w:val="20"/>
                <w:szCs w:val="20"/>
                <w:color w:val="auto"/>
              </w:rPr>
            </w:pPr>
            <w:r>
              <w:rPr>
                <w:rFonts w:ascii="Arial" w:cs="Arial" w:eastAsia="Arial" w:hAnsi="Arial"/>
                <w:sz w:val="14"/>
                <w:szCs w:val="14"/>
                <w:b w:val="1"/>
                <w:bCs w:val="1"/>
                <w:color w:val="auto"/>
                <w:w w:val="86"/>
              </w:rPr>
              <w:t>Estimated</w:t>
            </w:r>
          </w:p>
        </w:tc>
        <w:tc>
          <w:tcPr>
            <w:tcW w:w="100" w:type="dxa"/>
            <w:vAlign w:val="bottom"/>
          </w:tcPr>
          <w:p>
            <w:pPr>
              <w:spacing w:after="0"/>
              <w:rPr>
                <w:sz w:val="11"/>
                <w:szCs w:val="11"/>
                <w:color w:val="auto"/>
              </w:rPr>
            </w:pPr>
          </w:p>
        </w:tc>
      </w:tr>
      <w:tr>
        <w:trPr>
          <w:trHeight w:val="161"/>
        </w:trPr>
        <w:tc>
          <w:tcPr>
            <w:tcW w:w="60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gridSpan w:val="3"/>
          </w:tcPr>
          <w:p>
            <w:pPr>
              <w:jc w:val="center"/>
              <w:ind w:right="480"/>
              <w:spacing w:after="0"/>
              <w:rPr>
                <w:sz w:val="20"/>
                <w:szCs w:val="20"/>
                <w:color w:val="auto"/>
              </w:rPr>
            </w:pPr>
            <w:r>
              <w:rPr>
                <w:rFonts w:ascii="Arial" w:cs="Arial" w:eastAsia="Arial" w:hAnsi="Arial"/>
                <w:sz w:val="14"/>
                <w:szCs w:val="14"/>
                <w:b w:val="1"/>
                <w:bCs w:val="1"/>
                <w:color w:val="auto"/>
                <w:w w:val="83"/>
              </w:rPr>
              <w:t>Cost</w:t>
            </w:r>
          </w:p>
        </w:tc>
        <w:tc>
          <w:tcPr>
            <w:tcW w:w="1000" w:type="dxa"/>
            <w:vAlign w:val="bottom"/>
            <w:gridSpan w:val="3"/>
          </w:tcPr>
          <w:p>
            <w:pPr>
              <w:jc w:val="right"/>
              <w:ind w:right="280"/>
              <w:spacing w:after="0"/>
              <w:rPr>
                <w:sz w:val="20"/>
                <w:szCs w:val="20"/>
                <w:color w:val="auto"/>
              </w:rPr>
            </w:pPr>
            <w:r>
              <w:rPr>
                <w:rFonts w:ascii="Arial" w:cs="Arial" w:eastAsia="Arial" w:hAnsi="Arial"/>
                <w:sz w:val="14"/>
                <w:szCs w:val="14"/>
                <w:b w:val="1"/>
                <w:bCs w:val="1"/>
                <w:color w:val="auto"/>
              </w:rPr>
              <w:t>Fair Value</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right"/>
              <w:ind w:right="181"/>
              <w:spacing w:after="0"/>
              <w:rPr>
                <w:sz w:val="20"/>
                <w:szCs w:val="20"/>
                <w:color w:val="auto"/>
              </w:rPr>
            </w:pPr>
            <w:r>
              <w:rPr>
                <w:rFonts w:ascii="Arial" w:cs="Arial" w:eastAsia="Arial" w:hAnsi="Arial"/>
                <w:sz w:val="14"/>
                <w:szCs w:val="14"/>
                <w:b w:val="1"/>
                <w:bCs w:val="1"/>
                <w:color w:val="auto"/>
              </w:rPr>
              <w:t>Cost</w:t>
            </w:r>
          </w:p>
        </w:tc>
        <w:tc>
          <w:tcPr>
            <w:tcW w:w="400" w:type="dxa"/>
            <w:vAlign w:val="bottom"/>
          </w:tcPr>
          <w:p>
            <w:pPr>
              <w:spacing w:after="0"/>
              <w:rPr>
                <w:sz w:val="14"/>
                <w:szCs w:val="14"/>
                <w:color w:val="auto"/>
              </w:rPr>
            </w:pPr>
          </w:p>
        </w:tc>
        <w:tc>
          <w:tcPr>
            <w:tcW w:w="900" w:type="dxa"/>
            <w:vAlign w:val="bottom"/>
            <w:gridSpan w:val="3"/>
          </w:tcPr>
          <w:p>
            <w:pPr>
              <w:ind w:left="100"/>
              <w:spacing w:after="0"/>
              <w:rPr>
                <w:sz w:val="20"/>
                <w:szCs w:val="20"/>
                <w:color w:val="auto"/>
              </w:rPr>
            </w:pPr>
            <w:r>
              <w:rPr>
                <w:rFonts w:ascii="Arial" w:cs="Arial" w:eastAsia="Arial" w:hAnsi="Arial"/>
                <w:sz w:val="14"/>
                <w:szCs w:val="14"/>
                <w:b w:val="1"/>
                <w:bCs w:val="1"/>
                <w:color w:val="auto"/>
              </w:rPr>
              <w:t>Fair Value</w:t>
            </w:r>
          </w:p>
        </w:tc>
      </w:tr>
      <w:tr>
        <w:trPr>
          <w:trHeight w:val="210"/>
        </w:trPr>
        <w:tc>
          <w:tcPr>
            <w:tcW w:w="60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Due in one year or less</w:t>
            </w: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306,987</w:t>
            </w:r>
          </w:p>
        </w:tc>
        <w:tc>
          <w:tcPr>
            <w:tcW w:w="20" w:type="dxa"/>
            <w:vAlign w:val="bottom"/>
            <w:tcBorders>
              <w:top w:val="single" w:sz="8" w:color="CCEEFF"/>
            </w:tcBorders>
            <w:shd w:val="clear" w:color="auto" w:fill="CCEEFF"/>
          </w:tcPr>
          <w:p>
            <w:pPr>
              <w:spacing w:after="0"/>
              <w:rPr>
                <w:sz w:val="18"/>
                <w:szCs w:val="18"/>
                <w:color w:val="auto"/>
              </w:rPr>
            </w:pPr>
          </w:p>
        </w:tc>
        <w:tc>
          <w:tcPr>
            <w:tcW w:w="3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307,341</w:t>
            </w:r>
          </w:p>
        </w:tc>
        <w:tc>
          <w:tcPr>
            <w:tcW w:w="2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309,543</w:t>
            </w:r>
          </w:p>
        </w:tc>
        <w:tc>
          <w:tcPr>
            <w:tcW w:w="4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309,861</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600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100" w:type="dxa"/>
            <w:vAlign w:val="bottom"/>
          </w:tcPr>
          <w:p>
            <w:pPr>
              <w:spacing w:after="0"/>
              <w:rPr>
                <w:sz w:val="18"/>
                <w:szCs w:val="18"/>
                <w:color w:val="auto"/>
              </w:rPr>
            </w:pPr>
          </w:p>
        </w:tc>
        <w:tc>
          <w:tcPr>
            <w:tcW w:w="720" w:type="dxa"/>
            <w:vAlign w:val="bottom"/>
            <w:gridSpan w:val="2"/>
          </w:tcPr>
          <w:p>
            <w:pPr>
              <w:jc w:val="right"/>
              <w:ind w:right="20"/>
              <w:spacing w:after="0"/>
              <w:rPr>
                <w:sz w:val="20"/>
                <w:szCs w:val="20"/>
                <w:color w:val="auto"/>
              </w:rPr>
            </w:pPr>
            <w:r>
              <w:rPr>
                <w:rFonts w:ascii="Arial" w:cs="Arial" w:eastAsia="Arial" w:hAnsi="Arial"/>
                <w:sz w:val="18"/>
                <w:szCs w:val="18"/>
                <w:color w:val="auto"/>
              </w:rPr>
              <w:t>689,928</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692,499</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686,062</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688,280</w:t>
            </w:r>
          </w:p>
        </w:tc>
        <w:tc>
          <w:tcPr>
            <w:tcW w:w="100" w:type="dxa"/>
            <w:vAlign w:val="bottom"/>
          </w:tcPr>
          <w:p>
            <w:pPr>
              <w:spacing w:after="0"/>
              <w:rPr>
                <w:sz w:val="18"/>
                <w:szCs w:val="18"/>
                <w:color w:val="auto"/>
              </w:rPr>
            </w:pPr>
          </w:p>
        </w:tc>
      </w:tr>
      <w:tr>
        <w:trPr>
          <w:trHeight w:val="216"/>
        </w:trPr>
        <w:tc>
          <w:tcPr>
            <w:tcW w:w="600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21,464</w:t>
            </w:r>
          </w:p>
        </w:tc>
        <w:tc>
          <w:tcPr>
            <w:tcW w:w="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18,757</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24,666</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21,793</w:t>
            </w:r>
          </w:p>
        </w:tc>
        <w:tc>
          <w:tcPr>
            <w:tcW w:w="100" w:type="dxa"/>
            <w:vAlign w:val="bottom"/>
            <w:shd w:val="clear" w:color="auto" w:fill="CCEEFF"/>
          </w:tcPr>
          <w:p>
            <w:pPr>
              <w:spacing w:after="0"/>
              <w:rPr>
                <w:sz w:val="18"/>
                <w:szCs w:val="18"/>
                <w:color w:val="auto"/>
              </w:rPr>
            </w:pPr>
          </w:p>
        </w:tc>
      </w:tr>
      <w:tr>
        <w:trPr>
          <w:trHeight w:val="20"/>
        </w:trPr>
        <w:tc>
          <w:tcPr>
            <w:tcW w:w="60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22"/>
        </w:trPr>
        <w:tc>
          <w:tcPr>
            <w:tcW w:w="600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1,018,379</w:t>
            </w:r>
          </w:p>
        </w:tc>
        <w:tc>
          <w:tcPr>
            <w:tcW w:w="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w w:val="84"/>
              </w:rPr>
              <w:t>1,018,597</w:t>
            </w:r>
          </w:p>
        </w:tc>
        <w:tc>
          <w:tcPr>
            <w:tcW w:w="3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1,020,271</w:t>
            </w:r>
          </w:p>
        </w:tc>
        <w:tc>
          <w:tcPr>
            <w:tcW w:w="5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1,019,934</w:t>
            </w:r>
          </w:p>
        </w:tc>
        <w:tc>
          <w:tcPr>
            <w:tcW w:w="100" w:type="dxa"/>
            <w:vAlign w:val="bottom"/>
          </w:tcPr>
          <w:p>
            <w:pPr>
              <w:spacing w:after="0"/>
              <w:rPr>
                <w:sz w:val="19"/>
                <w:szCs w:val="19"/>
                <w:color w:val="auto"/>
              </w:rPr>
            </w:pPr>
          </w:p>
        </w:tc>
      </w:tr>
      <w:tr>
        <w:trPr>
          <w:trHeight w:val="20"/>
        </w:trPr>
        <w:tc>
          <w:tcPr>
            <w:tcW w:w="60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For individual securities that have been in a continuous unrealized loss position, the fair value and gross unrealized loss for these securities aggregated by investment category and length of time in an unrealized position are presented in the following tables (in thousands):</w:t>
      </w:r>
    </w:p>
    <w:p>
      <w:pPr>
        <w:spacing w:after="0" w:line="12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120" w:type="dxa"/>
            <w:vAlign w:val="bottom"/>
          </w:tcPr>
          <w:p>
            <w:pPr>
              <w:spacing w:after="0"/>
              <w:rPr>
                <w:sz w:val="14"/>
                <w:szCs w:val="14"/>
                <w:color w:val="auto"/>
              </w:rPr>
            </w:pPr>
          </w:p>
        </w:tc>
        <w:tc>
          <w:tcPr>
            <w:tcW w:w="17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620" w:type="dxa"/>
            <w:vAlign w:val="bottom"/>
            <w:tcBorders>
              <w:bottom w:val="single" w:sz="8" w:color="auto"/>
            </w:tcBorders>
            <w:gridSpan w:val="5"/>
          </w:tcPr>
          <w:p>
            <w:pPr>
              <w:jc w:val="center"/>
              <w:ind w:right="280"/>
              <w:spacing w:after="0"/>
              <w:rPr>
                <w:sz w:val="20"/>
                <w:szCs w:val="20"/>
                <w:color w:val="auto"/>
              </w:rPr>
            </w:pPr>
            <w:r>
              <w:rPr>
                <w:rFonts w:ascii="Arial" w:cs="Arial" w:eastAsia="Arial" w:hAnsi="Arial"/>
                <w:sz w:val="14"/>
                <w:szCs w:val="14"/>
                <w:b w:val="1"/>
                <w:bCs w:val="1"/>
                <w:color w:val="auto"/>
                <w:w w:val="89"/>
              </w:rPr>
              <w:t>May 3, 2014</w:t>
            </w:r>
          </w:p>
        </w:tc>
        <w:tc>
          <w:tcPr>
            <w:tcW w:w="1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4120" w:type="dxa"/>
            <w:vAlign w:val="bottom"/>
          </w:tcPr>
          <w:p>
            <w:pPr>
              <w:spacing w:after="0"/>
              <w:rPr>
                <w:sz w:val="12"/>
                <w:szCs w:val="12"/>
                <w:color w:val="auto"/>
              </w:rPr>
            </w:pPr>
          </w:p>
        </w:tc>
        <w:tc>
          <w:tcPr>
            <w:tcW w:w="17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840" w:type="dxa"/>
            <w:vAlign w:val="bottom"/>
            <w:gridSpan w:val="6"/>
          </w:tcPr>
          <w:p>
            <w:pPr>
              <w:ind w:left="120"/>
              <w:spacing w:after="0" w:line="142" w:lineRule="exact"/>
              <w:rPr>
                <w:sz w:val="20"/>
                <w:szCs w:val="20"/>
                <w:color w:val="auto"/>
              </w:rPr>
            </w:pPr>
            <w:r>
              <w:rPr>
                <w:rFonts w:ascii="Arial" w:cs="Arial" w:eastAsia="Arial" w:hAnsi="Arial"/>
                <w:sz w:val="14"/>
                <w:szCs w:val="14"/>
                <w:b w:val="1"/>
                <w:bCs w:val="1"/>
                <w:color w:val="auto"/>
              </w:rPr>
              <w:t>Less than 12 months</w:t>
            </w:r>
          </w:p>
        </w:tc>
        <w:tc>
          <w:tcPr>
            <w:tcW w:w="80" w:type="dxa"/>
            <w:vAlign w:val="bottom"/>
          </w:tcPr>
          <w:p>
            <w:pPr>
              <w:spacing w:after="0"/>
              <w:rPr>
                <w:sz w:val="12"/>
                <w:szCs w:val="12"/>
                <w:color w:val="auto"/>
              </w:rPr>
            </w:pPr>
          </w:p>
        </w:tc>
        <w:tc>
          <w:tcPr>
            <w:tcW w:w="1620" w:type="dxa"/>
            <w:vAlign w:val="bottom"/>
            <w:gridSpan w:val="5"/>
          </w:tcPr>
          <w:p>
            <w:pPr>
              <w:jc w:val="center"/>
              <w:ind w:right="260"/>
              <w:spacing w:after="0" w:line="142" w:lineRule="exact"/>
              <w:rPr>
                <w:sz w:val="20"/>
                <w:szCs w:val="20"/>
                <w:color w:val="auto"/>
              </w:rPr>
            </w:pPr>
            <w:r>
              <w:rPr>
                <w:rFonts w:ascii="Arial" w:cs="Arial" w:eastAsia="Arial" w:hAnsi="Arial"/>
                <w:sz w:val="14"/>
                <w:szCs w:val="14"/>
                <w:b w:val="1"/>
                <w:bCs w:val="1"/>
                <w:color w:val="auto"/>
                <w:w w:val="85"/>
              </w:rPr>
              <w:t>12 months or more</w:t>
            </w: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00" w:type="dxa"/>
            <w:vAlign w:val="bottom"/>
            <w:gridSpan w:val="2"/>
          </w:tcPr>
          <w:p>
            <w:pPr>
              <w:jc w:val="right"/>
              <w:ind w:right="40"/>
              <w:spacing w:after="0" w:line="142" w:lineRule="exact"/>
              <w:rPr>
                <w:sz w:val="20"/>
                <w:szCs w:val="20"/>
                <w:color w:val="auto"/>
              </w:rPr>
            </w:pPr>
            <w:r>
              <w:rPr>
                <w:rFonts w:ascii="Arial" w:cs="Arial" w:eastAsia="Arial" w:hAnsi="Arial"/>
                <w:sz w:val="14"/>
                <w:szCs w:val="14"/>
                <w:b w:val="1"/>
                <w:bCs w:val="1"/>
                <w:color w:val="auto"/>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120" w:type="dxa"/>
            <w:vAlign w:val="bottom"/>
          </w:tcPr>
          <w:p>
            <w:pPr>
              <w:spacing w:after="0"/>
              <w:rPr>
                <w:sz w:val="11"/>
                <w:szCs w:val="11"/>
                <w:color w:val="auto"/>
              </w:rPr>
            </w:pPr>
          </w:p>
        </w:tc>
        <w:tc>
          <w:tcPr>
            <w:tcW w:w="178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ind w:left="120"/>
              <w:spacing w:after="0" w:line="129" w:lineRule="exact"/>
              <w:rPr>
                <w:sz w:val="20"/>
                <w:szCs w:val="20"/>
                <w:color w:val="auto"/>
              </w:rPr>
            </w:pPr>
            <w:r>
              <w:rPr>
                <w:rFonts w:ascii="Arial" w:cs="Arial" w:eastAsia="Arial" w:hAnsi="Arial"/>
                <w:sz w:val="14"/>
                <w:szCs w:val="14"/>
                <w:b w:val="1"/>
                <w:bCs w:val="1"/>
                <w:color w:val="auto"/>
              </w:rPr>
              <w:t>Fair</w:t>
            </w:r>
          </w:p>
        </w:tc>
        <w:tc>
          <w:tcPr>
            <w:tcW w:w="14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3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gridSpan w:val="2"/>
          </w:tcPr>
          <w:p>
            <w:pPr>
              <w:jc w:val="center"/>
              <w:ind w:right="400"/>
              <w:spacing w:after="0" w:line="129" w:lineRule="exact"/>
              <w:rPr>
                <w:sz w:val="20"/>
                <w:szCs w:val="20"/>
                <w:color w:val="auto"/>
              </w:rPr>
            </w:pPr>
            <w:r>
              <w:rPr>
                <w:rFonts w:ascii="Arial" w:cs="Arial" w:eastAsia="Arial" w:hAnsi="Arial"/>
                <w:sz w:val="14"/>
                <w:szCs w:val="14"/>
                <w:b w:val="1"/>
                <w:bCs w:val="1"/>
                <w:color w:val="auto"/>
                <w:w w:val="93"/>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900" w:type="dxa"/>
            <w:vAlign w:val="bottom"/>
            <w:tcBorders>
              <w:top w:val="single" w:sz="8" w:color="auto"/>
            </w:tcBorders>
            <w:gridSpan w:val="2"/>
          </w:tcPr>
          <w:p>
            <w:pPr>
              <w:jc w:val="right"/>
              <w:ind w:right="52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120" w:type="dxa"/>
            <w:vAlign w:val="bottom"/>
          </w:tcPr>
          <w:p>
            <w:pPr>
              <w:spacing w:after="0"/>
              <w:rPr>
                <w:sz w:val="14"/>
                <w:szCs w:val="14"/>
                <w:color w:val="auto"/>
              </w:rPr>
            </w:pPr>
          </w:p>
        </w:tc>
        <w:tc>
          <w:tcPr>
            <w:tcW w:w="17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40" w:type="dxa"/>
            <w:vAlign w:val="bottom"/>
            <w:gridSpan w:val="2"/>
          </w:tcPr>
          <w:p>
            <w:pPr>
              <w:ind w:left="80"/>
              <w:spacing w:after="0"/>
              <w:rPr>
                <w:sz w:val="20"/>
                <w:szCs w:val="20"/>
                <w:color w:val="auto"/>
              </w:rPr>
            </w:pPr>
            <w:r>
              <w:rPr>
                <w:rFonts w:ascii="Arial" w:cs="Arial" w:eastAsia="Arial" w:hAnsi="Arial"/>
                <w:sz w:val="14"/>
                <w:szCs w:val="14"/>
                <w:b w:val="1"/>
                <w:bCs w:val="1"/>
                <w:color w:val="auto"/>
              </w:rPr>
              <w:t>Value</w:t>
            </w: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2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w w:val="91"/>
              </w:rPr>
              <w:t>Loss</w:t>
            </w:r>
          </w:p>
        </w:tc>
        <w:tc>
          <w:tcPr>
            <w:tcW w:w="80" w:type="dxa"/>
            <w:vAlign w:val="bottom"/>
          </w:tcPr>
          <w:p>
            <w:pPr>
              <w:spacing w:after="0"/>
              <w:rPr>
                <w:sz w:val="14"/>
                <w:szCs w:val="14"/>
                <w:color w:val="auto"/>
              </w:rPr>
            </w:pPr>
          </w:p>
        </w:tc>
        <w:tc>
          <w:tcPr>
            <w:tcW w:w="80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5"/>
              </w:rPr>
              <w:t>Value</w:t>
            </w:r>
          </w:p>
        </w:tc>
        <w:tc>
          <w:tcPr>
            <w:tcW w:w="140" w:type="dxa"/>
            <w:vAlign w:val="bottom"/>
          </w:tcPr>
          <w:p>
            <w:pPr>
              <w:spacing w:after="0"/>
              <w:rPr>
                <w:sz w:val="14"/>
                <w:szCs w:val="14"/>
                <w:color w:val="auto"/>
              </w:rPr>
            </w:pPr>
          </w:p>
        </w:tc>
        <w:tc>
          <w:tcPr>
            <w:tcW w:w="68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w w:val="91"/>
              </w:rPr>
              <w:t>Loss</w:t>
            </w: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0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rPr>
              <w:t>Value</w:t>
            </w:r>
          </w:p>
        </w:tc>
        <w:tc>
          <w:tcPr>
            <w:tcW w:w="140" w:type="dxa"/>
            <w:vAlign w:val="bottom"/>
          </w:tcPr>
          <w:p>
            <w:pPr>
              <w:spacing w:after="0"/>
              <w:rPr>
                <w:sz w:val="14"/>
                <w:szCs w:val="14"/>
                <w:color w:val="auto"/>
              </w:rPr>
            </w:pPr>
          </w:p>
        </w:tc>
        <w:tc>
          <w:tcPr>
            <w:tcW w:w="6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5"/>
              </w:rPr>
              <w:t>Loss</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1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17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77,768</w:t>
            </w:r>
          </w:p>
        </w:tc>
        <w:tc>
          <w:tcPr>
            <w:tcW w:w="1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(290)</w:t>
            </w:r>
          </w:p>
        </w:tc>
        <w:tc>
          <w:tcPr>
            <w:tcW w:w="3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4,796</w:t>
            </w:r>
          </w:p>
        </w:tc>
        <w:tc>
          <w:tcPr>
            <w:tcW w:w="3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1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82,564</w:t>
            </w:r>
          </w:p>
        </w:tc>
        <w:tc>
          <w:tcPr>
            <w:tcW w:w="3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(303)</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spacing w:after="0"/>
              <w:rPr>
                <w:sz w:val="20"/>
                <w:szCs w:val="20"/>
                <w:color w:val="auto"/>
              </w:rPr>
            </w:pPr>
            <w:r>
              <w:rPr>
                <w:rFonts w:ascii="Arial" w:cs="Arial" w:eastAsia="Arial" w:hAnsi="Arial"/>
                <w:sz w:val="18"/>
                <w:szCs w:val="18"/>
                <w:color w:val="auto"/>
              </w:rPr>
              <w:t>U.S. government and agency debt</w:t>
            </w:r>
          </w:p>
        </w:tc>
        <w:tc>
          <w:tcPr>
            <w:tcW w:w="1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rPr>
              <w:t>36,811</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(3)</w:t>
            </w:r>
          </w:p>
        </w:tc>
        <w:tc>
          <w:tcPr>
            <w:tcW w:w="80" w:type="dxa"/>
            <w:vAlign w:val="bottom"/>
          </w:tcPr>
          <w:p>
            <w:pPr>
              <w:spacing w:after="0"/>
              <w:rPr>
                <w:sz w:val="18"/>
                <w:szCs w:val="18"/>
                <w:color w:val="auto"/>
              </w:rPr>
            </w:pPr>
          </w:p>
        </w:tc>
        <w:tc>
          <w:tcPr>
            <w:tcW w:w="80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6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36,811</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Asset backed securities</w:t>
            </w:r>
          </w:p>
        </w:tc>
        <w:tc>
          <w:tcPr>
            <w:tcW w:w="1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10,196</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(21)</w:t>
            </w: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1,907</w:t>
            </w: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(22)</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12,103</w:t>
            </w: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spacing w:after="0"/>
              <w:rPr>
                <w:sz w:val="20"/>
                <w:szCs w:val="20"/>
                <w:color w:val="auto"/>
              </w:rPr>
            </w:pPr>
            <w:r>
              <w:rPr>
                <w:rFonts w:ascii="Arial" w:cs="Arial" w:eastAsia="Arial" w:hAnsi="Arial"/>
                <w:sz w:val="18"/>
                <w:szCs w:val="18"/>
                <w:color w:val="auto"/>
              </w:rPr>
              <w:t>Foreign government and agency debt</w:t>
            </w:r>
          </w:p>
        </w:tc>
        <w:tc>
          <w:tcPr>
            <w:tcW w:w="1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rPr>
              <w:t>19,417</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(42)</w:t>
            </w:r>
          </w:p>
        </w:tc>
        <w:tc>
          <w:tcPr>
            <w:tcW w:w="80" w:type="dxa"/>
            <w:vAlign w:val="bottom"/>
          </w:tcPr>
          <w:p>
            <w:pPr>
              <w:spacing w:after="0"/>
              <w:rPr>
                <w:sz w:val="18"/>
                <w:szCs w:val="18"/>
                <w:color w:val="auto"/>
              </w:rPr>
            </w:pPr>
          </w:p>
        </w:tc>
        <w:tc>
          <w:tcPr>
            <w:tcW w:w="80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6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19,417</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(42)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Municipal debt securities</w:t>
            </w:r>
          </w:p>
        </w:tc>
        <w:tc>
          <w:tcPr>
            <w:tcW w:w="17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446</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w:t>
            </w: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446</w:t>
            </w: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spacing w:after="0"/>
              <w:rPr>
                <w:sz w:val="20"/>
                <w:szCs w:val="20"/>
                <w:color w:val="auto"/>
              </w:rPr>
            </w:pPr>
            <w:r>
              <w:rPr>
                <w:rFonts w:ascii="Arial" w:cs="Arial" w:eastAsia="Arial" w:hAnsi="Arial"/>
                <w:sz w:val="18"/>
                <w:szCs w:val="18"/>
                <w:color w:val="auto"/>
              </w:rPr>
              <w:t>Auction rate securities</w:t>
            </w:r>
          </w:p>
        </w:tc>
        <w:tc>
          <w:tcPr>
            <w:tcW w:w="1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13,456</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gridSpan w:val="2"/>
          </w:tcPr>
          <w:p>
            <w:pPr>
              <w:jc w:val="right"/>
              <w:ind w:right="120"/>
              <w:spacing w:after="0"/>
              <w:rPr>
                <w:sz w:val="20"/>
                <w:szCs w:val="20"/>
                <w:color w:val="auto"/>
              </w:rPr>
            </w:pPr>
            <w:r>
              <w:rPr>
                <w:rFonts w:ascii="Arial" w:cs="Arial" w:eastAsia="Arial" w:hAnsi="Arial"/>
                <w:sz w:val="18"/>
                <w:szCs w:val="18"/>
                <w:color w:val="auto"/>
                <w:w w:val="94"/>
              </w:rPr>
              <w:t>(2,694)</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13,456</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(2,694)</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120" w:type="dxa"/>
            <w:vAlign w:val="bottom"/>
          </w:tcPr>
          <w:p>
            <w:pPr>
              <w:spacing w:after="0"/>
              <w:rPr>
                <w:sz w:val="2"/>
                <w:szCs w:val="2"/>
                <w:color w:val="auto"/>
              </w:rPr>
            </w:pPr>
          </w:p>
        </w:tc>
        <w:tc>
          <w:tcPr>
            <w:tcW w:w="17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Total securities</w:t>
            </w:r>
          </w:p>
        </w:tc>
        <w:tc>
          <w:tcPr>
            <w:tcW w:w="17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144,638</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(360)</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7"/>
              </w:rPr>
              <w:t>20,159</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4"/>
              </w:rPr>
              <w:t>(2,729)</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164,797</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(3,089)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20" w:type="dxa"/>
            <w:vAlign w:val="bottom"/>
          </w:tcPr>
          <w:p>
            <w:pPr>
              <w:spacing w:after="0" w:line="20" w:lineRule="exact"/>
              <w:rPr>
                <w:sz w:val="1"/>
                <w:szCs w:val="1"/>
                <w:color w:val="auto"/>
              </w:rPr>
            </w:pPr>
          </w:p>
        </w:tc>
        <w:tc>
          <w:tcPr>
            <w:tcW w:w="1780" w:type="dxa"/>
            <w:vAlign w:val="bottom"/>
            <w:vMerge w:val="restart"/>
          </w:tcPr>
          <w:p>
            <w:pPr>
              <w:jc w:val="right"/>
              <w:ind w:right="72"/>
              <w:spacing w:after="0"/>
              <w:rPr>
                <w:sz w:val="20"/>
                <w:szCs w:val="20"/>
                <w:color w:val="auto"/>
              </w:rPr>
            </w:pPr>
            <w:r>
              <w:rPr>
                <w:rFonts w:ascii="Arial" w:cs="Arial" w:eastAsia="Arial" w:hAnsi="Arial"/>
                <w:sz w:val="18"/>
                <w:szCs w:val="18"/>
                <w:color w:val="auto"/>
              </w:rPr>
              <w:t>8</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120" w:type="dxa"/>
            <w:vAlign w:val="bottom"/>
          </w:tcPr>
          <w:p>
            <w:pPr>
              <w:spacing w:after="0"/>
              <w:rPr>
                <w:sz w:val="24"/>
                <w:szCs w:val="24"/>
                <w:color w:val="auto"/>
              </w:rPr>
            </w:pPr>
          </w:p>
        </w:tc>
        <w:tc>
          <w:tcPr>
            <w:tcW w:w="178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90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620" w:type="dxa"/>
            <w:vAlign w:val="bottom"/>
            <w:tcBorders>
              <w:bottom w:val="single" w:sz="8" w:color="auto"/>
            </w:tcBorders>
            <w:gridSpan w:val="5"/>
          </w:tcPr>
          <w:p>
            <w:pPr>
              <w:jc w:val="right"/>
              <w:ind w:right="440"/>
              <w:spacing w:after="0"/>
              <w:rPr>
                <w:sz w:val="20"/>
                <w:szCs w:val="20"/>
                <w:color w:val="auto"/>
              </w:rPr>
            </w:pPr>
            <w:r>
              <w:rPr>
                <w:rFonts w:ascii="Arial" w:cs="Arial" w:eastAsia="Arial" w:hAnsi="Arial"/>
                <w:sz w:val="14"/>
                <w:szCs w:val="14"/>
                <w:b w:val="1"/>
                <w:bCs w:val="1"/>
                <w:color w:val="auto"/>
              </w:rPr>
              <w:t>February 1, 2014</w:t>
            </w:r>
          </w:p>
        </w:tc>
        <w:tc>
          <w:tcPr>
            <w:tcW w:w="14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900" w:type="dxa"/>
            <w:vAlign w:val="bottom"/>
          </w:tcPr>
          <w:p>
            <w:pPr>
              <w:spacing w:after="0"/>
              <w:rPr>
                <w:sz w:val="12"/>
                <w:szCs w:val="12"/>
                <w:color w:val="auto"/>
              </w:rPr>
            </w:pPr>
          </w:p>
        </w:tc>
        <w:tc>
          <w:tcPr>
            <w:tcW w:w="1940" w:type="dxa"/>
            <w:vAlign w:val="bottom"/>
            <w:gridSpan w:val="6"/>
          </w:tcPr>
          <w:p>
            <w:pPr>
              <w:ind w:left="220"/>
              <w:spacing w:after="0" w:line="142" w:lineRule="exact"/>
              <w:rPr>
                <w:sz w:val="20"/>
                <w:szCs w:val="20"/>
                <w:color w:val="auto"/>
              </w:rPr>
            </w:pPr>
            <w:r>
              <w:rPr>
                <w:rFonts w:ascii="Arial" w:cs="Arial" w:eastAsia="Arial" w:hAnsi="Arial"/>
                <w:sz w:val="14"/>
                <w:szCs w:val="14"/>
                <w:b w:val="1"/>
                <w:bCs w:val="1"/>
                <w:color w:val="auto"/>
              </w:rPr>
              <w:t>Less than 12 months</w:t>
            </w:r>
          </w:p>
        </w:tc>
        <w:tc>
          <w:tcPr>
            <w:tcW w:w="80" w:type="dxa"/>
            <w:vAlign w:val="bottom"/>
          </w:tcPr>
          <w:p>
            <w:pPr>
              <w:spacing w:after="0"/>
              <w:rPr>
                <w:sz w:val="12"/>
                <w:szCs w:val="12"/>
                <w:color w:val="auto"/>
              </w:rPr>
            </w:pPr>
          </w:p>
        </w:tc>
        <w:tc>
          <w:tcPr>
            <w:tcW w:w="1620" w:type="dxa"/>
            <w:vAlign w:val="bottom"/>
            <w:gridSpan w:val="5"/>
          </w:tcPr>
          <w:p>
            <w:pPr>
              <w:jc w:val="right"/>
              <w:ind w:right="400"/>
              <w:spacing w:after="0" w:line="142" w:lineRule="exact"/>
              <w:rPr>
                <w:sz w:val="20"/>
                <w:szCs w:val="20"/>
                <w:color w:val="auto"/>
              </w:rPr>
            </w:pPr>
            <w:r>
              <w:rPr>
                <w:rFonts w:ascii="Arial" w:cs="Arial" w:eastAsia="Arial" w:hAnsi="Arial"/>
                <w:sz w:val="14"/>
                <w:szCs w:val="14"/>
                <w:b w:val="1"/>
                <w:bCs w:val="1"/>
                <w:color w:val="auto"/>
                <w:w w:val="95"/>
              </w:rPr>
              <w:t>12 months or more</w:t>
            </w:r>
          </w:p>
        </w:tc>
        <w:tc>
          <w:tcPr>
            <w:tcW w:w="140" w:type="dxa"/>
            <w:vAlign w:val="bottom"/>
          </w:tcPr>
          <w:p>
            <w:pPr>
              <w:spacing w:after="0"/>
              <w:rPr>
                <w:sz w:val="12"/>
                <w:szCs w:val="12"/>
                <w:color w:val="auto"/>
              </w:rPr>
            </w:pPr>
          </w:p>
        </w:tc>
        <w:tc>
          <w:tcPr>
            <w:tcW w:w="980" w:type="dxa"/>
            <w:vAlign w:val="bottom"/>
            <w:gridSpan w:val="2"/>
          </w:tcPr>
          <w:p>
            <w:pPr>
              <w:jc w:val="right"/>
              <w:ind w:right="40"/>
              <w:spacing w:after="0" w:line="142" w:lineRule="exact"/>
              <w:rPr>
                <w:sz w:val="20"/>
                <w:szCs w:val="20"/>
                <w:color w:val="auto"/>
              </w:rPr>
            </w:pPr>
            <w:r>
              <w:rPr>
                <w:rFonts w:ascii="Arial" w:cs="Arial" w:eastAsia="Arial" w:hAnsi="Arial"/>
                <w:sz w:val="14"/>
                <w:szCs w:val="14"/>
                <w:b w:val="1"/>
                <w:bCs w:val="1"/>
                <w:color w:val="auto"/>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900" w:type="dxa"/>
            <w:vAlign w:val="bottom"/>
          </w:tcPr>
          <w:p>
            <w:pPr>
              <w:spacing w:after="0"/>
              <w:rPr>
                <w:sz w:val="11"/>
                <w:szCs w:val="11"/>
                <w:color w:val="auto"/>
              </w:rPr>
            </w:pPr>
          </w:p>
        </w:tc>
        <w:tc>
          <w:tcPr>
            <w:tcW w:w="840" w:type="dxa"/>
            <w:vAlign w:val="bottom"/>
            <w:tcBorders>
              <w:top w:val="single" w:sz="8" w:color="auto"/>
            </w:tcBorders>
            <w:gridSpan w:val="2"/>
          </w:tcPr>
          <w:p>
            <w:pPr>
              <w:ind w:left="220"/>
              <w:spacing w:after="0" w:line="129" w:lineRule="exact"/>
              <w:rPr>
                <w:sz w:val="20"/>
                <w:szCs w:val="20"/>
                <w:color w:val="auto"/>
              </w:rPr>
            </w:pPr>
            <w:r>
              <w:rPr>
                <w:rFonts w:ascii="Arial" w:cs="Arial" w:eastAsia="Arial" w:hAnsi="Arial"/>
                <w:sz w:val="14"/>
                <w:szCs w:val="14"/>
                <w:b w:val="1"/>
                <w:bCs w:val="1"/>
                <w:color w:val="auto"/>
              </w:rPr>
              <w:t>Fair</w:t>
            </w:r>
          </w:p>
        </w:tc>
        <w:tc>
          <w:tcPr>
            <w:tcW w:w="14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4"/>
              </w:rPr>
              <w:t>Unrealized</w:t>
            </w:r>
          </w:p>
        </w:tc>
        <w:tc>
          <w:tcPr>
            <w:tcW w:w="3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gridSpan w:val="2"/>
          </w:tcPr>
          <w:p>
            <w:pPr>
              <w:ind w:left="8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Borders>
              <w:top w:val="single" w:sz="8" w:color="auto"/>
            </w:tcBorders>
            <w:gridSpan w:val="2"/>
          </w:tcPr>
          <w:p>
            <w:pPr>
              <w:jc w:val="right"/>
              <w:ind w:right="520"/>
              <w:spacing w:after="0" w:line="129" w:lineRule="exact"/>
              <w:rPr>
                <w:sz w:val="20"/>
                <w:szCs w:val="20"/>
                <w:color w:val="auto"/>
              </w:rPr>
            </w:pPr>
            <w:r>
              <w:rPr>
                <w:rFonts w:ascii="Arial" w:cs="Arial" w:eastAsia="Arial" w:hAnsi="Arial"/>
                <w:sz w:val="14"/>
                <w:szCs w:val="14"/>
                <w:b w:val="1"/>
                <w:bCs w:val="1"/>
                <w:color w:val="auto"/>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90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jc w:val="right"/>
              <w:ind w:right="98"/>
              <w:spacing w:after="0"/>
              <w:rPr>
                <w:sz w:val="20"/>
                <w:szCs w:val="20"/>
                <w:color w:val="auto"/>
              </w:rPr>
            </w:pPr>
            <w:r>
              <w:rPr>
                <w:rFonts w:ascii="Arial" w:cs="Arial" w:eastAsia="Arial" w:hAnsi="Arial"/>
                <w:sz w:val="14"/>
                <w:szCs w:val="14"/>
                <w:b w:val="1"/>
                <w:bCs w:val="1"/>
                <w:color w:val="auto"/>
              </w:rPr>
              <w:t>Value</w:t>
            </w: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95"/>
              <w:spacing w:after="0"/>
              <w:rPr>
                <w:sz w:val="20"/>
                <w:szCs w:val="20"/>
                <w:color w:val="auto"/>
              </w:rPr>
            </w:pPr>
            <w:r>
              <w:rPr>
                <w:rFonts w:ascii="Arial" w:cs="Arial" w:eastAsia="Arial" w:hAnsi="Arial"/>
                <w:sz w:val="14"/>
                <w:szCs w:val="14"/>
                <w:b w:val="1"/>
                <w:bCs w:val="1"/>
                <w:color w:val="auto"/>
                <w:w w:val="91"/>
              </w:rPr>
              <w:t>Loss</w:t>
            </w:r>
          </w:p>
        </w:tc>
        <w:tc>
          <w:tcPr>
            <w:tcW w:w="3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60"/>
              <w:spacing w:after="0"/>
              <w:rPr>
                <w:sz w:val="20"/>
                <w:szCs w:val="20"/>
                <w:color w:val="auto"/>
              </w:rPr>
            </w:pPr>
            <w:r>
              <w:rPr>
                <w:rFonts w:ascii="Arial" w:cs="Arial" w:eastAsia="Arial" w:hAnsi="Arial"/>
                <w:sz w:val="14"/>
                <w:szCs w:val="14"/>
                <w:b w:val="1"/>
                <w:bCs w:val="1"/>
                <w:color w:val="auto"/>
                <w:w w:val="90"/>
              </w:rPr>
              <w:t>Value</w:t>
            </w:r>
          </w:p>
        </w:tc>
        <w:tc>
          <w:tcPr>
            <w:tcW w:w="3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95"/>
              <w:spacing w:after="0"/>
              <w:rPr>
                <w:sz w:val="20"/>
                <w:szCs w:val="20"/>
                <w:color w:val="auto"/>
              </w:rPr>
            </w:pPr>
            <w:r>
              <w:rPr>
                <w:rFonts w:ascii="Arial" w:cs="Arial" w:eastAsia="Arial" w:hAnsi="Arial"/>
                <w:sz w:val="14"/>
                <w:szCs w:val="14"/>
                <w:b w:val="1"/>
                <w:bCs w:val="1"/>
                <w:color w:val="auto"/>
                <w:w w:val="91"/>
              </w:rPr>
              <w:t>Loss</w:t>
            </w:r>
          </w:p>
        </w:tc>
        <w:tc>
          <w:tcPr>
            <w:tcW w:w="18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660" w:type="dxa"/>
            <w:vAlign w:val="bottom"/>
            <w:tcBorders>
              <w:bottom w:val="single" w:sz="8" w:color="auto"/>
            </w:tcBorders>
          </w:tcPr>
          <w:p>
            <w:pPr>
              <w:jc w:val="right"/>
              <w:ind w:right="87"/>
              <w:spacing w:after="0"/>
              <w:rPr>
                <w:sz w:val="20"/>
                <w:szCs w:val="20"/>
                <w:color w:val="auto"/>
              </w:rPr>
            </w:pPr>
            <w:r>
              <w:rPr>
                <w:rFonts w:ascii="Arial" w:cs="Arial" w:eastAsia="Arial" w:hAnsi="Arial"/>
                <w:sz w:val="14"/>
                <w:szCs w:val="14"/>
                <w:b w:val="1"/>
                <w:bCs w:val="1"/>
                <w:color w:val="auto"/>
              </w:rPr>
              <w:t>Value</w:t>
            </w:r>
          </w:p>
        </w:tc>
        <w:tc>
          <w:tcPr>
            <w:tcW w:w="3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w w:val="85"/>
              </w:rPr>
              <w:t>Loss</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9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2"/>
              </w:rPr>
              <w:t>$ 110,903</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(366)</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2,105</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w:t>
            </w:r>
          </w:p>
        </w:tc>
        <w:tc>
          <w:tcPr>
            <w:tcW w:w="14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$ 113,008</w:t>
            </w:r>
          </w:p>
        </w:tc>
        <w:tc>
          <w:tcPr>
            <w:tcW w:w="3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U.S. government and agency debt</w:t>
            </w: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93,118</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(72)</w:t>
            </w:r>
          </w:p>
        </w:tc>
        <w:tc>
          <w:tcPr>
            <w:tcW w:w="80" w:type="dxa"/>
            <w:vAlign w:val="bottom"/>
          </w:tcPr>
          <w:p>
            <w:pPr>
              <w:spacing w:after="0"/>
              <w:rPr>
                <w:sz w:val="18"/>
                <w:szCs w:val="18"/>
                <w:color w:val="auto"/>
              </w:rPr>
            </w:pPr>
          </w:p>
        </w:tc>
        <w:tc>
          <w:tcPr>
            <w:tcW w:w="80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6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93,118</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(72)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Asset backed securities</w:t>
            </w: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18,865</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(19)</w:t>
            </w: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1,912</w:t>
            </w: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(19)</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20,777</w:t>
            </w: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Foreign government and agency debt</w:t>
            </w: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14,299</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60"/>
              <w:spacing w:after="0"/>
              <w:rPr>
                <w:sz w:val="20"/>
                <w:szCs w:val="20"/>
                <w:color w:val="auto"/>
              </w:rPr>
            </w:pPr>
            <w:r>
              <w:rPr>
                <w:rFonts w:ascii="Arial" w:cs="Arial" w:eastAsia="Arial" w:hAnsi="Arial"/>
                <w:sz w:val="18"/>
                <w:szCs w:val="18"/>
                <w:color w:val="auto"/>
              </w:rPr>
              <w:t>(44)</w:t>
            </w:r>
          </w:p>
        </w:tc>
        <w:tc>
          <w:tcPr>
            <w:tcW w:w="80" w:type="dxa"/>
            <w:vAlign w:val="bottom"/>
          </w:tcPr>
          <w:p>
            <w:pPr>
              <w:spacing w:after="0"/>
              <w:rPr>
                <w:sz w:val="18"/>
                <w:szCs w:val="18"/>
                <w:color w:val="auto"/>
              </w:rPr>
            </w:pPr>
          </w:p>
        </w:tc>
        <w:tc>
          <w:tcPr>
            <w:tcW w:w="800" w:type="dxa"/>
            <w:vAlign w:val="bottom"/>
            <w:gridSpan w:val="2"/>
          </w:tcPr>
          <w:p>
            <w:pPr>
              <w:ind w:left="2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68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14,299</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Municipal debt securities</w:t>
            </w: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723</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w:t>
            </w: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723</w:t>
            </w: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00" w:type="dxa"/>
            <w:vAlign w:val="bottom"/>
          </w:tcPr>
          <w:p>
            <w:pPr>
              <w:spacing w:after="0"/>
              <w:rPr>
                <w:sz w:val="20"/>
                <w:szCs w:val="20"/>
                <w:color w:val="auto"/>
              </w:rPr>
            </w:pPr>
            <w:r>
              <w:rPr>
                <w:rFonts w:ascii="Arial" w:cs="Arial" w:eastAsia="Arial" w:hAnsi="Arial"/>
                <w:sz w:val="18"/>
                <w:szCs w:val="18"/>
                <w:color w:val="auto"/>
              </w:rPr>
              <w:t>Auction rate securities</w:t>
            </w:r>
          </w:p>
        </w:tc>
        <w:tc>
          <w:tcPr>
            <w:tcW w:w="680" w:type="dxa"/>
            <w:vAlign w:val="bottom"/>
          </w:tcPr>
          <w:p>
            <w:pPr>
              <w:jc w:val="right"/>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16,279</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gridSpan w:val="2"/>
          </w:tcPr>
          <w:p>
            <w:pPr>
              <w:jc w:val="right"/>
              <w:ind w:right="120"/>
              <w:spacing w:after="0"/>
              <w:rPr>
                <w:sz w:val="20"/>
                <w:szCs w:val="20"/>
                <w:color w:val="auto"/>
              </w:rPr>
            </w:pPr>
            <w:r>
              <w:rPr>
                <w:rFonts w:ascii="Arial" w:cs="Arial" w:eastAsia="Arial" w:hAnsi="Arial"/>
                <w:sz w:val="18"/>
                <w:szCs w:val="18"/>
                <w:color w:val="auto"/>
                <w:w w:val="94"/>
              </w:rPr>
              <w:t>(2,871)</w:t>
            </w:r>
          </w:p>
        </w:tc>
        <w:tc>
          <w:tcPr>
            <w:tcW w:w="1120" w:type="dxa"/>
            <w:vAlign w:val="bottom"/>
            <w:gridSpan w:val="3"/>
          </w:tcPr>
          <w:p>
            <w:pPr>
              <w:jc w:val="right"/>
              <w:ind w:right="320"/>
              <w:spacing w:after="0"/>
              <w:rPr>
                <w:sz w:val="20"/>
                <w:szCs w:val="20"/>
                <w:color w:val="auto"/>
              </w:rPr>
            </w:pPr>
            <w:r>
              <w:rPr>
                <w:rFonts w:ascii="Arial" w:cs="Arial" w:eastAsia="Arial" w:hAnsi="Arial"/>
                <w:sz w:val="18"/>
                <w:szCs w:val="18"/>
                <w:color w:val="auto"/>
              </w:rPr>
              <w:t>16,279</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(2,871)</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90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900" w:type="dxa"/>
            <w:vAlign w:val="bottom"/>
            <w:shd w:val="clear" w:color="auto" w:fill="CCEEFF"/>
          </w:tcPr>
          <w:p>
            <w:pPr>
              <w:spacing w:after="0"/>
              <w:rPr>
                <w:sz w:val="20"/>
                <w:szCs w:val="20"/>
                <w:color w:val="auto"/>
              </w:rPr>
            </w:pPr>
            <w:r>
              <w:rPr>
                <w:rFonts w:ascii="Arial" w:cs="Arial" w:eastAsia="Arial" w:hAnsi="Arial"/>
                <w:sz w:val="18"/>
                <w:szCs w:val="18"/>
                <w:color w:val="auto"/>
              </w:rPr>
              <w:t>Total securities</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237,908</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(505)</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7"/>
              </w:rPr>
              <w:t>20,296</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4"/>
              </w:rPr>
              <w:t>(2,894)</w:t>
            </w:r>
          </w:p>
        </w:tc>
        <w:tc>
          <w:tcPr>
            <w:tcW w:w="11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258,204</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(3,399)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90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Supplemental Financial Information (in thousands)</w:t>
      </w:r>
    </w:p>
    <w:p>
      <w:pPr>
        <w:spacing w:after="0" w:line="201"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900" w:type="dxa"/>
            <w:vAlign w:val="bottom"/>
          </w:tcPr>
          <w:p>
            <w:pPr>
              <w:spacing w:after="0"/>
              <w:rPr>
                <w:sz w:val="14"/>
                <w:szCs w:val="14"/>
                <w:color w:val="auto"/>
              </w:rPr>
            </w:pPr>
          </w:p>
        </w:tc>
        <w:tc>
          <w:tcPr>
            <w:tcW w:w="2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80" w:type="dxa"/>
            <w:vAlign w:val="bottom"/>
            <w:gridSpan w:val="2"/>
          </w:tcPr>
          <w:p>
            <w:pPr>
              <w:jc w:val="center"/>
              <w:spacing w:after="0"/>
              <w:rPr>
                <w:sz w:val="20"/>
                <w:szCs w:val="20"/>
                <w:color w:val="auto"/>
              </w:rPr>
            </w:pPr>
            <w:r>
              <w:rPr>
                <w:rFonts w:ascii="Arial" w:cs="Arial" w:eastAsia="Arial" w:hAnsi="Arial"/>
                <w:sz w:val="14"/>
                <w:szCs w:val="14"/>
                <w:b w:val="1"/>
                <w:bCs w:val="1"/>
                <w:color w:val="auto"/>
                <w:w w:val="93"/>
              </w:rPr>
              <w:t>May 3,</w:t>
            </w:r>
          </w:p>
        </w:tc>
        <w:tc>
          <w:tcPr>
            <w:tcW w:w="460" w:type="dxa"/>
            <w:vAlign w:val="bottom"/>
          </w:tcPr>
          <w:p>
            <w:pPr>
              <w:spacing w:after="0"/>
              <w:rPr>
                <w:sz w:val="14"/>
                <w:szCs w:val="14"/>
                <w:color w:val="auto"/>
              </w:rPr>
            </w:pPr>
          </w:p>
        </w:tc>
        <w:tc>
          <w:tcPr>
            <w:tcW w:w="840" w:type="dxa"/>
            <w:vAlign w:val="bottom"/>
            <w:gridSpan w:val="4"/>
          </w:tcPr>
          <w:p>
            <w:pPr>
              <w:jc w:val="center"/>
              <w:ind w:right="60"/>
              <w:spacing w:after="0"/>
              <w:rPr>
                <w:sz w:val="20"/>
                <w:szCs w:val="20"/>
                <w:color w:val="auto"/>
              </w:rPr>
            </w:pPr>
            <w:r>
              <w:rPr>
                <w:rFonts w:ascii="Arial" w:cs="Arial" w:eastAsia="Arial" w:hAnsi="Arial"/>
                <w:sz w:val="14"/>
                <w:szCs w:val="14"/>
                <w:b w:val="1"/>
                <w:bCs w:val="1"/>
                <w:color w:val="auto"/>
                <w:w w:val="92"/>
              </w:rPr>
              <w:t>February 1,</w:t>
            </w:r>
          </w:p>
        </w:tc>
        <w:tc>
          <w:tcPr>
            <w:tcW w:w="0" w:type="dxa"/>
            <w:vAlign w:val="bottom"/>
          </w:tcPr>
          <w:p>
            <w:pPr>
              <w:spacing w:after="0"/>
              <w:rPr>
                <w:sz w:val="1"/>
                <w:szCs w:val="1"/>
                <w:color w:val="auto"/>
              </w:rPr>
            </w:pPr>
          </w:p>
        </w:tc>
      </w:tr>
      <w:tr>
        <w:trPr>
          <w:trHeight w:val="161"/>
        </w:trPr>
        <w:tc>
          <w:tcPr>
            <w:tcW w:w="3900" w:type="dxa"/>
            <w:vAlign w:val="bottom"/>
          </w:tcPr>
          <w:p>
            <w:pPr>
              <w:spacing w:after="0"/>
              <w:rPr>
                <w:sz w:val="14"/>
                <w:szCs w:val="14"/>
                <w:color w:val="auto"/>
              </w:rPr>
            </w:pPr>
          </w:p>
        </w:tc>
        <w:tc>
          <w:tcPr>
            <w:tcW w:w="3420" w:type="dxa"/>
            <w:vAlign w:val="bottom"/>
            <w:gridSpan w:val="3"/>
          </w:tcPr>
          <w:p>
            <w:pPr>
              <w:jc w:val="center"/>
              <w:ind w:left="2775"/>
              <w:spacing w:after="0"/>
              <w:rPr>
                <w:sz w:val="20"/>
                <w:szCs w:val="20"/>
                <w:color w:val="auto"/>
              </w:rPr>
            </w:pPr>
            <w:r>
              <w:rPr>
                <w:rFonts w:ascii="Arial" w:cs="Arial" w:eastAsia="Arial" w:hAnsi="Arial"/>
                <w:sz w:val="14"/>
                <w:szCs w:val="14"/>
                <w:b w:val="1"/>
                <w:bCs w:val="1"/>
                <w:color w:val="auto"/>
                <w:w w:val="89"/>
              </w:rPr>
              <w:t>2014</w:t>
            </w:r>
          </w:p>
        </w:tc>
        <w:tc>
          <w:tcPr>
            <w:tcW w:w="60" w:type="dxa"/>
            <w:vAlign w:val="bottom"/>
          </w:tcPr>
          <w:p>
            <w:pPr>
              <w:spacing w:after="0"/>
              <w:rPr>
                <w:sz w:val="14"/>
                <w:szCs w:val="14"/>
                <w:color w:val="auto"/>
              </w:rPr>
            </w:pPr>
          </w:p>
        </w:tc>
        <w:tc>
          <w:tcPr>
            <w:tcW w:w="1180" w:type="dxa"/>
            <w:vAlign w:val="bottom"/>
            <w:gridSpan w:val="3"/>
          </w:tcPr>
          <w:p>
            <w:pPr>
              <w:jc w:val="center"/>
              <w:ind w:left="435"/>
              <w:spacing w:after="0"/>
              <w:rPr>
                <w:sz w:val="20"/>
                <w:szCs w:val="20"/>
                <w:color w:val="auto"/>
              </w:rPr>
            </w:pPr>
            <w:r>
              <w:rPr>
                <w:rFonts w:ascii="Arial" w:cs="Arial" w:eastAsia="Arial" w:hAnsi="Arial"/>
                <w:sz w:val="14"/>
                <w:szCs w:val="14"/>
                <w:b w:val="1"/>
                <w:bCs w:val="1"/>
                <w:color w:val="auto"/>
                <w:w w:val="83"/>
              </w:rPr>
              <w:t>2014</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39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Inventories:</w:t>
            </w:r>
          </w:p>
        </w:tc>
        <w:tc>
          <w:tcPr>
            <w:tcW w:w="27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62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66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Work-in-process</w:t>
            </w:r>
          </w:p>
        </w:tc>
        <w:tc>
          <w:tcPr>
            <w:tcW w:w="3480" w:type="dxa"/>
            <w:vAlign w:val="bottom"/>
            <w:gridSpan w:val="4"/>
          </w:tcPr>
          <w:p>
            <w:pPr>
              <w:jc w:val="right"/>
              <w:spacing w:after="0"/>
              <w:rPr>
                <w:sz w:val="20"/>
                <w:szCs w:val="20"/>
                <w:color w:val="auto"/>
              </w:rPr>
            </w:pPr>
            <w:r>
              <w:rPr>
                <w:rFonts w:ascii="Arial" w:cs="Arial" w:eastAsia="Arial" w:hAnsi="Arial"/>
                <w:sz w:val="18"/>
                <w:szCs w:val="18"/>
                <w:color w:val="auto"/>
              </w:rPr>
              <w:t>$239,992</w:t>
            </w:r>
          </w:p>
        </w:tc>
        <w:tc>
          <w:tcPr>
            <w:tcW w:w="1200" w:type="dxa"/>
            <w:vAlign w:val="bottom"/>
            <w:gridSpan w:val="4"/>
          </w:tcPr>
          <w:p>
            <w:pPr>
              <w:jc w:val="right"/>
              <w:spacing w:after="0"/>
              <w:rPr>
                <w:sz w:val="20"/>
                <w:szCs w:val="20"/>
                <w:color w:val="auto"/>
              </w:rPr>
            </w:pPr>
            <w:r>
              <w:rPr>
                <w:rFonts w:ascii="Arial" w:cs="Arial" w:eastAsia="Arial" w:hAnsi="Arial"/>
                <w:sz w:val="18"/>
                <w:szCs w:val="18"/>
                <w:color w:val="auto"/>
              </w:rPr>
              <w:t>$ 195,495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Finished goods</w:t>
            </w:r>
          </w:p>
        </w:tc>
        <w:tc>
          <w:tcPr>
            <w:tcW w:w="2800" w:type="dxa"/>
            <w:vAlign w:val="bottom"/>
            <w:gridSpan w:val="2"/>
            <w:shd w:val="clear" w:color="auto" w:fill="CCEEFF"/>
          </w:tcPr>
          <w:p>
            <w:pPr>
              <w:spacing w:after="0"/>
              <w:rPr>
                <w:sz w:val="18"/>
                <w:szCs w:val="18"/>
                <w:color w:val="auto"/>
              </w:rPr>
            </w:pPr>
          </w:p>
        </w:tc>
        <w:tc>
          <w:tcPr>
            <w:tcW w:w="6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110,657</w:t>
            </w:r>
          </w:p>
        </w:tc>
        <w:tc>
          <w:tcPr>
            <w:tcW w:w="520" w:type="dxa"/>
            <w:vAlign w:val="bottom"/>
            <w:gridSpan w:val="2"/>
            <w:shd w:val="clear" w:color="auto" w:fill="CCEEFF"/>
          </w:tcPr>
          <w:p>
            <w:pPr>
              <w:spacing w:after="0"/>
              <w:rPr>
                <w:sz w:val="18"/>
                <w:szCs w:val="18"/>
                <w:color w:val="auto"/>
              </w:rPr>
            </w:pPr>
          </w:p>
        </w:tc>
        <w:tc>
          <w:tcPr>
            <w:tcW w:w="6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152,366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900" w:type="dxa"/>
            <w:vAlign w:val="bottom"/>
          </w:tcPr>
          <w:p>
            <w:pPr>
              <w:spacing w:after="0"/>
              <w:rPr>
                <w:sz w:val="20"/>
                <w:szCs w:val="20"/>
                <w:color w:val="auto"/>
              </w:rPr>
            </w:pPr>
            <w:r>
              <w:rPr>
                <w:rFonts w:ascii="Arial" w:cs="Arial" w:eastAsia="Arial" w:hAnsi="Arial"/>
                <w:sz w:val="18"/>
                <w:szCs w:val="18"/>
                <w:color w:val="auto"/>
              </w:rPr>
              <w:t>Total inventories</w:t>
            </w:r>
          </w:p>
        </w:tc>
        <w:tc>
          <w:tcPr>
            <w:tcW w:w="3480" w:type="dxa"/>
            <w:vAlign w:val="bottom"/>
            <w:gridSpan w:val="4"/>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350,649</w:t>
            </w:r>
          </w:p>
        </w:tc>
        <w:tc>
          <w:tcPr>
            <w:tcW w:w="1200" w:type="dxa"/>
            <w:vAlign w:val="bottom"/>
            <w:gridSpan w:val="4"/>
          </w:tcPr>
          <w:p>
            <w:pPr>
              <w:jc w:val="right"/>
              <w:spacing w:after="0"/>
              <w:rPr>
                <w:sz w:val="20"/>
                <w:szCs w:val="20"/>
                <w:color w:val="auto"/>
              </w:rPr>
            </w:pPr>
            <w:r>
              <w:rPr>
                <w:rFonts w:ascii="Arial" w:cs="Arial" w:eastAsia="Arial" w:hAnsi="Arial"/>
                <w:sz w:val="18"/>
                <w:szCs w:val="18"/>
                <w:color w:val="auto"/>
              </w:rPr>
              <w:t>$ 347,861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900" w:type="dxa"/>
            <w:vAlign w:val="bottom"/>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3"/>
        </w:trPr>
        <w:tc>
          <w:tcPr>
            <w:tcW w:w="3900" w:type="dxa"/>
            <w:vAlign w:val="bottom"/>
          </w:tcPr>
          <w:p>
            <w:pPr>
              <w:spacing w:after="0"/>
              <w:rPr>
                <w:sz w:val="24"/>
                <w:szCs w:val="24"/>
                <w:color w:val="auto"/>
              </w:rPr>
            </w:pPr>
          </w:p>
        </w:tc>
        <w:tc>
          <w:tcPr>
            <w:tcW w:w="2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80" w:type="dxa"/>
            <w:vAlign w:val="bottom"/>
            <w:gridSpan w:val="2"/>
          </w:tcPr>
          <w:p>
            <w:pPr>
              <w:jc w:val="right"/>
              <w:ind w:right="220"/>
              <w:spacing w:after="0"/>
              <w:rPr>
                <w:sz w:val="20"/>
                <w:szCs w:val="20"/>
                <w:color w:val="auto"/>
              </w:rPr>
            </w:pPr>
            <w:r>
              <w:rPr>
                <w:rFonts w:ascii="Arial" w:cs="Arial" w:eastAsia="Arial" w:hAnsi="Arial"/>
                <w:sz w:val="14"/>
                <w:szCs w:val="14"/>
                <w:b w:val="1"/>
                <w:bCs w:val="1"/>
                <w:color w:val="auto"/>
              </w:rPr>
              <w:t>May 3,</w:t>
            </w:r>
          </w:p>
        </w:tc>
        <w:tc>
          <w:tcPr>
            <w:tcW w:w="460" w:type="dxa"/>
            <w:vAlign w:val="bottom"/>
          </w:tcPr>
          <w:p>
            <w:pPr>
              <w:spacing w:after="0"/>
              <w:rPr>
                <w:sz w:val="24"/>
                <w:szCs w:val="24"/>
                <w:color w:val="auto"/>
              </w:rPr>
            </w:pPr>
          </w:p>
        </w:tc>
        <w:tc>
          <w:tcPr>
            <w:tcW w:w="840" w:type="dxa"/>
            <w:vAlign w:val="bottom"/>
            <w:gridSpan w:val="4"/>
          </w:tcPr>
          <w:p>
            <w:pPr>
              <w:jc w:val="right"/>
              <w:ind w:right="140"/>
              <w:spacing w:after="0"/>
              <w:rPr>
                <w:sz w:val="20"/>
                <w:szCs w:val="20"/>
                <w:color w:val="auto"/>
              </w:rPr>
            </w:pPr>
            <w:r>
              <w:rPr>
                <w:rFonts w:ascii="Arial" w:cs="Arial" w:eastAsia="Arial" w:hAnsi="Arial"/>
                <w:sz w:val="14"/>
                <w:szCs w:val="14"/>
                <w:b w:val="1"/>
                <w:bCs w:val="1"/>
                <w:color w:val="auto"/>
                <w:w w:val="90"/>
              </w:rPr>
              <w:t>February 1,</w:t>
            </w:r>
          </w:p>
        </w:tc>
        <w:tc>
          <w:tcPr>
            <w:tcW w:w="0" w:type="dxa"/>
            <w:vAlign w:val="bottom"/>
          </w:tcPr>
          <w:p>
            <w:pPr>
              <w:spacing w:after="0"/>
              <w:rPr>
                <w:sz w:val="1"/>
                <w:szCs w:val="1"/>
                <w:color w:val="auto"/>
              </w:rPr>
            </w:pPr>
          </w:p>
        </w:tc>
      </w:tr>
      <w:tr>
        <w:trPr>
          <w:trHeight w:val="161"/>
        </w:trPr>
        <w:tc>
          <w:tcPr>
            <w:tcW w:w="3900" w:type="dxa"/>
            <w:vAlign w:val="bottom"/>
          </w:tcPr>
          <w:p>
            <w:pPr>
              <w:spacing w:after="0"/>
              <w:rPr>
                <w:sz w:val="14"/>
                <w:szCs w:val="14"/>
                <w:color w:val="auto"/>
              </w:rPr>
            </w:pPr>
          </w:p>
        </w:tc>
        <w:tc>
          <w:tcPr>
            <w:tcW w:w="3420" w:type="dxa"/>
            <w:vAlign w:val="bottom"/>
            <w:gridSpan w:val="3"/>
          </w:tcPr>
          <w:p>
            <w:pPr>
              <w:jc w:val="right"/>
              <w:ind w:right="164"/>
              <w:spacing w:after="0"/>
              <w:rPr>
                <w:sz w:val="20"/>
                <w:szCs w:val="20"/>
                <w:color w:val="auto"/>
              </w:rPr>
            </w:pPr>
            <w:r>
              <w:rPr>
                <w:rFonts w:ascii="Arial" w:cs="Arial" w:eastAsia="Arial" w:hAnsi="Arial"/>
                <w:sz w:val="14"/>
                <w:szCs w:val="14"/>
                <w:b w:val="1"/>
                <w:bCs w:val="1"/>
                <w:color w:val="auto"/>
              </w:rPr>
              <w:t>2014</w:t>
            </w:r>
          </w:p>
        </w:tc>
        <w:tc>
          <w:tcPr>
            <w:tcW w:w="60" w:type="dxa"/>
            <w:vAlign w:val="bottom"/>
          </w:tcPr>
          <w:p>
            <w:pPr>
              <w:spacing w:after="0"/>
              <w:rPr>
                <w:sz w:val="14"/>
                <w:szCs w:val="14"/>
                <w:color w:val="auto"/>
              </w:rPr>
            </w:pPr>
          </w:p>
        </w:tc>
        <w:tc>
          <w:tcPr>
            <w:tcW w:w="1180" w:type="dxa"/>
            <w:vAlign w:val="bottom"/>
            <w:gridSpan w:val="3"/>
          </w:tcPr>
          <w:p>
            <w:pPr>
              <w:jc w:val="right"/>
              <w:ind w:right="132"/>
              <w:spacing w:after="0"/>
              <w:rPr>
                <w:sz w:val="20"/>
                <w:szCs w:val="20"/>
                <w:color w:val="auto"/>
              </w:rPr>
            </w:pPr>
            <w:r>
              <w:rPr>
                <w:rFonts w:ascii="Arial" w:cs="Arial" w:eastAsia="Arial" w:hAnsi="Arial"/>
                <w:sz w:val="14"/>
                <w:szCs w:val="14"/>
                <w:b w:val="1"/>
                <w:bCs w:val="1"/>
                <w:color w:val="auto"/>
              </w:rPr>
              <w:t>2014</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39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Property and equipment, net:</w:t>
            </w:r>
          </w:p>
        </w:tc>
        <w:tc>
          <w:tcPr>
            <w:tcW w:w="27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62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auto"/>
            </w:tcBorders>
            <w:shd w:val="clear" w:color="auto" w:fill="CCEEFF"/>
          </w:tcPr>
          <w:p>
            <w:pPr>
              <w:spacing w:after="0"/>
              <w:rPr>
                <w:sz w:val="17"/>
                <w:szCs w:val="17"/>
                <w:color w:val="auto"/>
              </w:rPr>
            </w:pPr>
          </w:p>
        </w:tc>
        <w:tc>
          <w:tcPr>
            <w:tcW w:w="66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Machinery and equipment</w:t>
            </w:r>
          </w:p>
        </w:tc>
        <w:tc>
          <w:tcPr>
            <w:tcW w:w="3420" w:type="dxa"/>
            <w:vAlign w:val="bottom"/>
            <w:gridSpan w:val="3"/>
          </w:tcPr>
          <w:p>
            <w:pPr>
              <w:jc w:val="right"/>
              <w:spacing w:after="0"/>
              <w:rPr>
                <w:sz w:val="20"/>
                <w:szCs w:val="20"/>
                <w:color w:val="auto"/>
              </w:rPr>
            </w:pPr>
            <w:r>
              <w:rPr>
                <w:rFonts w:ascii="Arial" w:cs="Arial" w:eastAsia="Arial" w:hAnsi="Arial"/>
                <w:sz w:val="18"/>
                <w:szCs w:val="18"/>
                <w:color w:val="auto"/>
              </w:rPr>
              <w:t>$ 572,644</w:t>
            </w:r>
          </w:p>
        </w:tc>
        <w:tc>
          <w:tcPr>
            <w:tcW w:w="60" w:type="dxa"/>
            <w:vAlign w:val="bottom"/>
          </w:tcPr>
          <w:p>
            <w:pPr>
              <w:spacing w:after="0"/>
              <w:rPr>
                <w:sz w:val="18"/>
                <w:szCs w:val="18"/>
                <w:color w:val="auto"/>
              </w:rPr>
            </w:pP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$ 562,038</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Buildings</w:t>
            </w:r>
          </w:p>
        </w:tc>
        <w:tc>
          <w:tcPr>
            <w:tcW w:w="34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144,320</w:t>
            </w:r>
          </w:p>
        </w:tc>
        <w:tc>
          <w:tcPr>
            <w:tcW w:w="60" w:type="dxa"/>
            <w:vAlign w:val="bottom"/>
            <w:shd w:val="clear" w:color="auto" w:fill="CCEEFF"/>
          </w:tcPr>
          <w:p>
            <w:pPr>
              <w:spacing w:after="0"/>
              <w:rPr>
                <w:sz w:val="18"/>
                <w:szCs w:val="18"/>
                <w:color w:val="auto"/>
              </w:rPr>
            </w:pPr>
          </w:p>
        </w:tc>
        <w:tc>
          <w:tcPr>
            <w:tcW w:w="11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144,320</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Computer software</w:t>
            </w:r>
          </w:p>
        </w:tc>
        <w:tc>
          <w:tcPr>
            <w:tcW w:w="3420" w:type="dxa"/>
            <w:vAlign w:val="bottom"/>
            <w:gridSpan w:val="3"/>
          </w:tcPr>
          <w:p>
            <w:pPr>
              <w:jc w:val="right"/>
              <w:spacing w:after="0"/>
              <w:rPr>
                <w:sz w:val="20"/>
                <w:szCs w:val="20"/>
                <w:color w:val="auto"/>
              </w:rPr>
            </w:pPr>
            <w:r>
              <w:rPr>
                <w:rFonts w:ascii="Arial" w:cs="Arial" w:eastAsia="Arial" w:hAnsi="Arial"/>
                <w:sz w:val="18"/>
                <w:szCs w:val="18"/>
                <w:color w:val="auto"/>
              </w:rPr>
              <w:t>95,417</w:t>
            </w:r>
          </w:p>
        </w:tc>
        <w:tc>
          <w:tcPr>
            <w:tcW w:w="60" w:type="dxa"/>
            <w:vAlign w:val="bottom"/>
          </w:tcPr>
          <w:p>
            <w:pPr>
              <w:spacing w:after="0"/>
              <w:rPr>
                <w:sz w:val="18"/>
                <w:szCs w:val="18"/>
                <w:color w:val="auto"/>
              </w:rPr>
            </w:pP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96,096</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Land</w:t>
            </w:r>
          </w:p>
        </w:tc>
        <w:tc>
          <w:tcPr>
            <w:tcW w:w="34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53,373</w:t>
            </w:r>
          </w:p>
        </w:tc>
        <w:tc>
          <w:tcPr>
            <w:tcW w:w="60" w:type="dxa"/>
            <w:vAlign w:val="bottom"/>
            <w:shd w:val="clear" w:color="auto" w:fill="CCEEFF"/>
          </w:tcPr>
          <w:p>
            <w:pPr>
              <w:spacing w:after="0"/>
              <w:rPr>
                <w:sz w:val="18"/>
                <w:szCs w:val="18"/>
                <w:color w:val="auto"/>
              </w:rPr>
            </w:pPr>
          </w:p>
        </w:tc>
        <w:tc>
          <w:tcPr>
            <w:tcW w:w="11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53,373</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Building improvements</w:t>
            </w:r>
          </w:p>
        </w:tc>
        <w:tc>
          <w:tcPr>
            <w:tcW w:w="3420" w:type="dxa"/>
            <w:vAlign w:val="bottom"/>
            <w:gridSpan w:val="3"/>
          </w:tcPr>
          <w:p>
            <w:pPr>
              <w:jc w:val="right"/>
              <w:spacing w:after="0"/>
              <w:rPr>
                <w:sz w:val="20"/>
                <w:szCs w:val="20"/>
                <w:color w:val="auto"/>
              </w:rPr>
            </w:pPr>
            <w:r>
              <w:rPr>
                <w:rFonts w:ascii="Arial" w:cs="Arial" w:eastAsia="Arial" w:hAnsi="Arial"/>
                <w:sz w:val="18"/>
                <w:szCs w:val="18"/>
                <w:color w:val="auto"/>
              </w:rPr>
              <w:t>49,645</w:t>
            </w:r>
          </w:p>
        </w:tc>
        <w:tc>
          <w:tcPr>
            <w:tcW w:w="60" w:type="dxa"/>
            <w:vAlign w:val="bottom"/>
          </w:tcPr>
          <w:p>
            <w:pPr>
              <w:spacing w:after="0"/>
              <w:rPr>
                <w:sz w:val="18"/>
                <w:szCs w:val="18"/>
                <w:color w:val="auto"/>
              </w:rPr>
            </w:pP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49,645</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Leasehold improvements</w:t>
            </w:r>
          </w:p>
        </w:tc>
        <w:tc>
          <w:tcPr>
            <w:tcW w:w="34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49,551</w:t>
            </w:r>
          </w:p>
        </w:tc>
        <w:tc>
          <w:tcPr>
            <w:tcW w:w="60" w:type="dxa"/>
            <w:vAlign w:val="bottom"/>
            <w:shd w:val="clear" w:color="auto" w:fill="CCEEFF"/>
          </w:tcPr>
          <w:p>
            <w:pPr>
              <w:spacing w:after="0"/>
              <w:rPr>
                <w:sz w:val="18"/>
                <w:szCs w:val="18"/>
                <w:color w:val="auto"/>
              </w:rPr>
            </w:pPr>
          </w:p>
        </w:tc>
        <w:tc>
          <w:tcPr>
            <w:tcW w:w="11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49,060</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Furniture and fixtures</w:t>
            </w:r>
          </w:p>
        </w:tc>
        <w:tc>
          <w:tcPr>
            <w:tcW w:w="3420" w:type="dxa"/>
            <w:vAlign w:val="bottom"/>
            <w:gridSpan w:val="3"/>
          </w:tcPr>
          <w:p>
            <w:pPr>
              <w:jc w:val="right"/>
              <w:spacing w:after="0"/>
              <w:rPr>
                <w:sz w:val="20"/>
                <w:szCs w:val="20"/>
                <w:color w:val="auto"/>
              </w:rPr>
            </w:pPr>
            <w:r>
              <w:rPr>
                <w:rFonts w:ascii="Arial" w:cs="Arial" w:eastAsia="Arial" w:hAnsi="Arial"/>
                <w:sz w:val="18"/>
                <w:szCs w:val="18"/>
                <w:color w:val="auto"/>
              </w:rPr>
              <w:t>27,814</w:t>
            </w:r>
          </w:p>
        </w:tc>
        <w:tc>
          <w:tcPr>
            <w:tcW w:w="60" w:type="dxa"/>
            <w:vAlign w:val="bottom"/>
          </w:tcPr>
          <w:p>
            <w:pPr>
              <w:spacing w:after="0"/>
              <w:rPr>
                <w:sz w:val="18"/>
                <w:szCs w:val="18"/>
                <w:color w:val="auto"/>
              </w:rPr>
            </w:pP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27,621</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Construction in progress</w:t>
            </w:r>
          </w:p>
        </w:tc>
        <w:tc>
          <w:tcPr>
            <w:tcW w:w="2700" w:type="dxa"/>
            <w:vAlign w:val="bottom"/>
            <w:shd w:val="clear" w:color="auto" w:fill="CCEEFF"/>
          </w:tcPr>
          <w:p>
            <w:pPr>
              <w:spacing w:after="0"/>
              <w:rPr>
                <w:sz w:val="18"/>
                <w:szCs w:val="18"/>
                <w:color w:val="auto"/>
              </w:rPr>
            </w:pPr>
          </w:p>
        </w:tc>
        <w:tc>
          <w:tcPr>
            <w:tcW w:w="72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1,255</w:t>
            </w:r>
          </w:p>
        </w:tc>
        <w:tc>
          <w:tcPr>
            <w:tcW w:w="6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72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2,911</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3900" w:type="dxa"/>
            <w:vAlign w:val="bottom"/>
          </w:tcPr>
          <w:p>
            <w:pPr>
              <w:spacing w:after="0"/>
              <w:rPr>
                <w:sz w:val="19"/>
                <w:szCs w:val="19"/>
                <w:color w:val="auto"/>
              </w:rPr>
            </w:pPr>
          </w:p>
        </w:tc>
        <w:tc>
          <w:tcPr>
            <w:tcW w:w="3420" w:type="dxa"/>
            <w:vAlign w:val="bottom"/>
            <w:gridSpan w:val="3"/>
          </w:tcPr>
          <w:p>
            <w:pPr>
              <w:jc w:val="right"/>
              <w:spacing w:after="0"/>
              <w:rPr>
                <w:sz w:val="20"/>
                <w:szCs w:val="20"/>
                <w:color w:val="auto"/>
              </w:rPr>
            </w:pPr>
            <w:r>
              <w:rPr>
                <w:rFonts w:ascii="Arial" w:cs="Arial" w:eastAsia="Arial" w:hAnsi="Arial"/>
                <w:sz w:val="18"/>
                <w:szCs w:val="18"/>
                <w:color w:val="auto"/>
              </w:rPr>
              <w:t>994,019</w:t>
            </w:r>
          </w:p>
        </w:tc>
        <w:tc>
          <w:tcPr>
            <w:tcW w:w="60" w:type="dxa"/>
            <w:vAlign w:val="bottom"/>
          </w:tcPr>
          <w:p>
            <w:pPr>
              <w:spacing w:after="0"/>
              <w:rPr>
                <w:sz w:val="19"/>
                <w:szCs w:val="19"/>
                <w:color w:val="auto"/>
              </w:rPr>
            </w:pP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985,064</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w w:val="98"/>
              </w:rPr>
              <w:t>Less: Accumulated depreciation and amortization</w:t>
            </w:r>
          </w:p>
        </w:tc>
        <w:tc>
          <w:tcPr>
            <w:tcW w:w="2700" w:type="dxa"/>
            <w:vAlign w:val="bottom"/>
            <w:shd w:val="clear" w:color="auto" w:fill="CCEEFF"/>
          </w:tcPr>
          <w:p>
            <w:pPr>
              <w:spacing w:after="0"/>
              <w:rPr>
                <w:sz w:val="18"/>
                <w:szCs w:val="18"/>
                <w:color w:val="auto"/>
              </w:rPr>
            </w:pPr>
          </w:p>
        </w:tc>
        <w:tc>
          <w:tcPr>
            <w:tcW w:w="7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98"/>
              </w:rPr>
              <w:t>(644,698)</w:t>
            </w:r>
          </w:p>
        </w:tc>
        <w:tc>
          <w:tcPr>
            <w:tcW w:w="1300" w:type="dxa"/>
            <w:vAlign w:val="bottom"/>
            <w:gridSpan w:val="5"/>
            <w:shd w:val="clear" w:color="auto" w:fill="CCEEFF"/>
          </w:tcPr>
          <w:p>
            <w:pPr>
              <w:jc w:val="right"/>
              <w:ind w:right="60"/>
              <w:spacing w:after="0"/>
              <w:rPr>
                <w:sz w:val="20"/>
                <w:szCs w:val="20"/>
                <w:color w:val="auto"/>
              </w:rPr>
            </w:pPr>
            <w:r>
              <w:rPr>
                <w:rFonts w:ascii="Arial" w:cs="Arial" w:eastAsia="Arial" w:hAnsi="Arial"/>
                <w:sz w:val="18"/>
                <w:szCs w:val="18"/>
                <w:color w:val="auto"/>
              </w:rPr>
              <w:t>(628,899)</w:t>
            </w:r>
          </w:p>
        </w:tc>
        <w:tc>
          <w:tcPr>
            <w:tcW w:w="0" w:type="dxa"/>
            <w:vAlign w:val="bottom"/>
          </w:tcPr>
          <w:p>
            <w:pPr>
              <w:spacing w:after="0"/>
              <w:rPr>
                <w:sz w:val="1"/>
                <w:szCs w:val="1"/>
                <w:color w:val="auto"/>
              </w:rPr>
            </w:pPr>
          </w:p>
        </w:tc>
      </w:tr>
      <w:tr>
        <w:trPr>
          <w:trHeight w:val="20"/>
        </w:trPr>
        <w:tc>
          <w:tcPr>
            <w:tcW w:w="3900" w:type="dxa"/>
            <w:vAlign w:val="bottom"/>
            <w:vMerge w:val="restart"/>
          </w:tcPr>
          <w:p>
            <w:pPr>
              <w:spacing w:after="0"/>
              <w:rPr>
                <w:sz w:val="20"/>
                <w:szCs w:val="20"/>
                <w:color w:val="auto"/>
              </w:rPr>
            </w:pPr>
            <w:r>
              <w:rPr>
                <w:rFonts w:ascii="Arial" w:cs="Arial" w:eastAsia="Arial" w:hAnsi="Arial"/>
                <w:sz w:val="18"/>
                <w:szCs w:val="18"/>
                <w:color w:val="auto"/>
              </w:rPr>
              <w:t>Total property and equipment, net</w:t>
            </w:r>
          </w:p>
        </w:tc>
        <w:tc>
          <w:tcPr>
            <w:tcW w:w="2700" w:type="dxa"/>
            <w:vAlign w:val="bottom"/>
          </w:tcPr>
          <w:p>
            <w:pPr>
              <w:spacing w:after="0" w:line="20" w:lineRule="exact"/>
              <w:rPr>
                <w:sz w:val="1"/>
                <w:szCs w:val="1"/>
                <w:color w:val="auto"/>
              </w:rPr>
            </w:pPr>
          </w:p>
        </w:tc>
        <w:tc>
          <w:tcPr>
            <w:tcW w:w="720" w:type="dxa"/>
            <w:vAlign w:val="bottom"/>
            <w:gridSpan w:val="2"/>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720" w:type="dxa"/>
            <w:vAlign w:val="bottom"/>
            <w:gridSpan w:val="2"/>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3900" w:type="dxa"/>
            <w:vAlign w:val="bottom"/>
            <w:vMerge w:val="continue"/>
          </w:tcPr>
          <w:p>
            <w:pPr>
              <w:spacing w:after="0"/>
              <w:rPr>
                <w:sz w:val="19"/>
                <w:szCs w:val="19"/>
                <w:color w:val="auto"/>
              </w:rPr>
            </w:pPr>
          </w:p>
        </w:tc>
        <w:tc>
          <w:tcPr>
            <w:tcW w:w="3420" w:type="dxa"/>
            <w:vAlign w:val="bottom"/>
            <w:gridSpan w:val="3"/>
          </w:tcPr>
          <w:p>
            <w:pPr>
              <w:jc w:val="right"/>
              <w:spacing w:after="0"/>
              <w:rPr>
                <w:sz w:val="20"/>
                <w:szCs w:val="20"/>
                <w:color w:val="auto"/>
              </w:rPr>
            </w:pPr>
            <w:r>
              <w:rPr>
                <w:rFonts w:ascii="Arial" w:cs="Arial" w:eastAsia="Arial" w:hAnsi="Arial"/>
                <w:sz w:val="18"/>
                <w:szCs w:val="18"/>
                <w:color w:val="auto"/>
              </w:rPr>
              <w:t>$ 349,321</w:t>
            </w:r>
          </w:p>
        </w:tc>
        <w:tc>
          <w:tcPr>
            <w:tcW w:w="60" w:type="dxa"/>
            <w:vAlign w:val="bottom"/>
          </w:tcPr>
          <w:p>
            <w:pPr>
              <w:spacing w:after="0"/>
              <w:rPr>
                <w:sz w:val="19"/>
                <w:szCs w:val="19"/>
                <w:color w:val="auto"/>
              </w:rPr>
            </w:pP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$ 356,165</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900" w:type="dxa"/>
            <w:vAlign w:val="bottom"/>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gridSpan w:val="2"/>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3"/>
        </w:trPr>
        <w:tc>
          <w:tcPr>
            <w:tcW w:w="3900" w:type="dxa"/>
            <w:vAlign w:val="bottom"/>
          </w:tcPr>
          <w:p>
            <w:pPr>
              <w:spacing w:after="0"/>
              <w:rPr>
                <w:sz w:val="24"/>
                <w:szCs w:val="24"/>
                <w:color w:val="auto"/>
              </w:rPr>
            </w:pPr>
          </w:p>
        </w:tc>
        <w:tc>
          <w:tcPr>
            <w:tcW w:w="2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80" w:type="dxa"/>
            <w:vAlign w:val="bottom"/>
            <w:gridSpan w:val="2"/>
          </w:tcPr>
          <w:p>
            <w:pPr>
              <w:jc w:val="center"/>
              <w:spacing w:after="0"/>
              <w:rPr>
                <w:sz w:val="20"/>
                <w:szCs w:val="20"/>
                <w:color w:val="auto"/>
              </w:rPr>
            </w:pPr>
            <w:r>
              <w:rPr>
                <w:rFonts w:ascii="Arial" w:cs="Arial" w:eastAsia="Arial" w:hAnsi="Arial"/>
                <w:sz w:val="14"/>
                <w:szCs w:val="14"/>
                <w:b w:val="1"/>
                <w:bCs w:val="1"/>
                <w:color w:val="auto"/>
                <w:w w:val="93"/>
              </w:rPr>
              <w:t>May 3,</w:t>
            </w:r>
          </w:p>
        </w:tc>
        <w:tc>
          <w:tcPr>
            <w:tcW w:w="460" w:type="dxa"/>
            <w:vAlign w:val="bottom"/>
          </w:tcPr>
          <w:p>
            <w:pPr>
              <w:spacing w:after="0"/>
              <w:rPr>
                <w:sz w:val="24"/>
                <w:szCs w:val="24"/>
                <w:color w:val="auto"/>
              </w:rPr>
            </w:pPr>
          </w:p>
        </w:tc>
        <w:tc>
          <w:tcPr>
            <w:tcW w:w="840" w:type="dxa"/>
            <w:vAlign w:val="bottom"/>
            <w:gridSpan w:val="4"/>
          </w:tcPr>
          <w:p>
            <w:pPr>
              <w:jc w:val="center"/>
              <w:ind w:right="60"/>
              <w:spacing w:after="0"/>
              <w:rPr>
                <w:sz w:val="20"/>
                <w:szCs w:val="20"/>
                <w:color w:val="auto"/>
              </w:rPr>
            </w:pPr>
            <w:r>
              <w:rPr>
                <w:rFonts w:ascii="Arial" w:cs="Arial" w:eastAsia="Arial" w:hAnsi="Arial"/>
                <w:sz w:val="14"/>
                <w:szCs w:val="14"/>
                <w:b w:val="1"/>
                <w:bCs w:val="1"/>
                <w:color w:val="auto"/>
                <w:w w:val="92"/>
              </w:rPr>
              <w:t>February 1,</w:t>
            </w:r>
          </w:p>
        </w:tc>
        <w:tc>
          <w:tcPr>
            <w:tcW w:w="0" w:type="dxa"/>
            <w:vAlign w:val="bottom"/>
          </w:tcPr>
          <w:p>
            <w:pPr>
              <w:spacing w:after="0"/>
              <w:rPr>
                <w:sz w:val="1"/>
                <w:szCs w:val="1"/>
                <w:color w:val="auto"/>
              </w:rPr>
            </w:pPr>
          </w:p>
        </w:tc>
      </w:tr>
      <w:tr>
        <w:trPr>
          <w:trHeight w:val="161"/>
        </w:trPr>
        <w:tc>
          <w:tcPr>
            <w:tcW w:w="3900" w:type="dxa"/>
            <w:vAlign w:val="bottom"/>
          </w:tcPr>
          <w:p>
            <w:pPr>
              <w:spacing w:after="0"/>
              <w:rPr>
                <w:sz w:val="14"/>
                <w:szCs w:val="14"/>
                <w:color w:val="auto"/>
              </w:rPr>
            </w:pPr>
          </w:p>
        </w:tc>
        <w:tc>
          <w:tcPr>
            <w:tcW w:w="3420" w:type="dxa"/>
            <w:vAlign w:val="bottom"/>
            <w:gridSpan w:val="3"/>
          </w:tcPr>
          <w:p>
            <w:pPr>
              <w:jc w:val="center"/>
              <w:ind w:left="2775"/>
              <w:spacing w:after="0"/>
              <w:rPr>
                <w:sz w:val="20"/>
                <w:szCs w:val="20"/>
                <w:color w:val="auto"/>
              </w:rPr>
            </w:pPr>
            <w:r>
              <w:rPr>
                <w:rFonts w:ascii="Arial" w:cs="Arial" w:eastAsia="Arial" w:hAnsi="Arial"/>
                <w:sz w:val="14"/>
                <w:szCs w:val="14"/>
                <w:b w:val="1"/>
                <w:bCs w:val="1"/>
                <w:color w:val="auto"/>
                <w:w w:val="89"/>
              </w:rPr>
              <w:t>2014</w:t>
            </w:r>
          </w:p>
        </w:tc>
        <w:tc>
          <w:tcPr>
            <w:tcW w:w="60" w:type="dxa"/>
            <w:vAlign w:val="bottom"/>
          </w:tcPr>
          <w:p>
            <w:pPr>
              <w:spacing w:after="0"/>
              <w:rPr>
                <w:sz w:val="14"/>
                <w:szCs w:val="14"/>
                <w:color w:val="auto"/>
              </w:rPr>
            </w:pPr>
          </w:p>
        </w:tc>
        <w:tc>
          <w:tcPr>
            <w:tcW w:w="1180" w:type="dxa"/>
            <w:vAlign w:val="bottom"/>
            <w:gridSpan w:val="3"/>
          </w:tcPr>
          <w:p>
            <w:pPr>
              <w:jc w:val="center"/>
              <w:ind w:left="435"/>
              <w:spacing w:after="0"/>
              <w:rPr>
                <w:sz w:val="20"/>
                <w:szCs w:val="20"/>
                <w:color w:val="auto"/>
              </w:rPr>
            </w:pPr>
            <w:r>
              <w:rPr>
                <w:rFonts w:ascii="Arial" w:cs="Arial" w:eastAsia="Arial" w:hAnsi="Arial"/>
                <w:sz w:val="14"/>
                <w:szCs w:val="14"/>
                <w:b w:val="1"/>
                <w:bCs w:val="1"/>
                <w:color w:val="auto"/>
                <w:w w:val="83"/>
              </w:rPr>
              <w:t>2014</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39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non-current assets:</w:t>
            </w:r>
          </w:p>
        </w:tc>
        <w:tc>
          <w:tcPr>
            <w:tcW w:w="27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62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66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Technology and other licenses</w:t>
            </w:r>
          </w:p>
        </w:tc>
        <w:tc>
          <w:tcPr>
            <w:tcW w:w="3480" w:type="dxa"/>
            <w:vAlign w:val="bottom"/>
            <w:gridSpan w:val="4"/>
          </w:tcPr>
          <w:p>
            <w:pPr>
              <w:jc w:val="right"/>
              <w:spacing w:after="0"/>
              <w:rPr>
                <w:sz w:val="20"/>
                <w:szCs w:val="20"/>
                <w:color w:val="auto"/>
              </w:rPr>
            </w:pPr>
            <w:r>
              <w:rPr>
                <w:rFonts w:ascii="Arial" w:cs="Arial" w:eastAsia="Arial" w:hAnsi="Arial"/>
                <w:sz w:val="18"/>
                <w:szCs w:val="18"/>
                <w:color w:val="auto"/>
              </w:rPr>
              <w:t>$ 77,625</w:t>
            </w:r>
          </w:p>
        </w:tc>
        <w:tc>
          <w:tcPr>
            <w:tcW w:w="1200" w:type="dxa"/>
            <w:vAlign w:val="bottom"/>
            <w:gridSpan w:val="4"/>
          </w:tcPr>
          <w:p>
            <w:pPr>
              <w:jc w:val="right"/>
              <w:spacing w:after="0"/>
              <w:rPr>
                <w:sz w:val="20"/>
                <w:szCs w:val="20"/>
                <w:color w:val="auto"/>
              </w:rPr>
            </w:pPr>
            <w:r>
              <w:rPr>
                <w:rFonts w:ascii="Arial" w:cs="Arial" w:eastAsia="Arial" w:hAnsi="Arial"/>
                <w:sz w:val="18"/>
                <w:szCs w:val="18"/>
                <w:color w:val="auto"/>
              </w:rPr>
              <w:t>$  83,521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Deferred tax assets</w:t>
            </w:r>
          </w:p>
        </w:tc>
        <w:tc>
          <w:tcPr>
            <w:tcW w:w="348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20,686</w:t>
            </w:r>
          </w:p>
        </w:tc>
        <w:tc>
          <w:tcPr>
            <w:tcW w:w="120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19,282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Investments in privately-held companies</w:t>
            </w:r>
          </w:p>
        </w:tc>
        <w:tc>
          <w:tcPr>
            <w:tcW w:w="3480" w:type="dxa"/>
            <w:vAlign w:val="bottom"/>
            <w:gridSpan w:val="4"/>
          </w:tcPr>
          <w:p>
            <w:pPr>
              <w:jc w:val="right"/>
              <w:spacing w:after="0"/>
              <w:rPr>
                <w:sz w:val="20"/>
                <w:szCs w:val="20"/>
                <w:color w:val="auto"/>
              </w:rPr>
            </w:pPr>
            <w:r>
              <w:rPr>
                <w:rFonts w:ascii="Arial" w:cs="Arial" w:eastAsia="Arial" w:hAnsi="Arial"/>
                <w:sz w:val="18"/>
                <w:szCs w:val="18"/>
                <w:color w:val="auto"/>
              </w:rPr>
              <w:t>15,006</w:t>
            </w:r>
          </w:p>
        </w:tc>
        <w:tc>
          <w:tcPr>
            <w:tcW w:w="1200" w:type="dxa"/>
            <w:vAlign w:val="bottom"/>
            <w:gridSpan w:val="4"/>
          </w:tcPr>
          <w:p>
            <w:pPr>
              <w:jc w:val="right"/>
              <w:spacing w:after="0"/>
              <w:rPr>
                <w:sz w:val="20"/>
                <w:szCs w:val="20"/>
                <w:color w:val="auto"/>
              </w:rPr>
            </w:pPr>
            <w:r>
              <w:rPr>
                <w:rFonts w:ascii="Arial" w:cs="Arial" w:eastAsia="Arial" w:hAnsi="Arial"/>
                <w:sz w:val="18"/>
                <w:szCs w:val="18"/>
                <w:color w:val="auto"/>
              </w:rPr>
              <w:t>14,565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Prepaid land use rights</w:t>
            </w:r>
          </w:p>
        </w:tc>
        <w:tc>
          <w:tcPr>
            <w:tcW w:w="348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13,666</w:t>
            </w:r>
          </w:p>
        </w:tc>
        <w:tc>
          <w:tcPr>
            <w:tcW w:w="120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13,744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Arial" w:cs="Arial" w:eastAsia="Arial" w:hAnsi="Arial"/>
                <w:sz w:val="18"/>
                <w:szCs w:val="18"/>
                <w:color w:val="auto"/>
              </w:rPr>
              <w:t>Deposits</w:t>
            </w:r>
          </w:p>
        </w:tc>
        <w:tc>
          <w:tcPr>
            <w:tcW w:w="3480" w:type="dxa"/>
            <w:vAlign w:val="bottom"/>
            <w:gridSpan w:val="4"/>
          </w:tcPr>
          <w:p>
            <w:pPr>
              <w:jc w:val="right"/>
              <w:spacing w:after="0"/>
              <w:rPr>
                <w:sz w:val="20"/>
                <w:szCs w:val="20"/>
                <w:color w:val="auto"/>
              </w:rPr>
            </w:pPr>
            <w:r>
              <w:rPr>
                <w:rFonts w:ascii="Arial" w:cs="Arial" w:eastAsia="Arial" w:hAnsi="Arial"/>
                <w:sz w:val="18"/>
                <w:szCs w:val="18"/>
                <w:color w:val="auto"/>
              </w:rPr>
              <w:t>12,546</w:t>
            </w:r>
          </w:p>
        </w:tc>
        <w:tc>
          <w:tcPr>
            <w:tcW w:w="1200" w:type="dxa"/>
            <w:vAlign w:val="bottom"/>
            <w:gridSpan w:val="4"/>
          </w:tcPr>
          <w:p>
            <w:pPr>
              <w:jc w:val="right"/>
              <w:spacing w:after="0"/>
              <w:rPr>
                <w:sz w:val="20"/>
                <w:szCs w:val="20"/>
                <w:color w:val="auto"/>
              </w:rPr>
            </w:pPr>
            <w:r>
              <w:rPr>
                <w:rFonts w:ascii="Arial" w:cs="Arial" w:eastAsia="Arial" w:hAnsi="Arial"/>
                <w:sz w:val="18"/>
                <w:szCs w:val="18"/>
                <w:color w:val="auto"/>
              </w:rPr>
              <w:t>12,433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2800" w:type="dxa"/>
            <w:vAlign w:val="bottom"/>
            <w:gridSpan w:val="2"/>
            <w:shd w:val="clear" w:color="auto" w:fill="CCEEFF"/>
          </w:tcPr>
          <w:p>
            <w:pPr>
              <w:spacing w:after="0"/>
              <w:rPr>
                <w:sz w:val="18"/>
                <w:szCs w:val="18"/>
                <w:color w:val="auto"/>
              </w:rPr>
            </w:pPr>
          </w:p>
        </w:tc>
        <w:tc>
          <w:tcPr>
            <w:tcW w:w="6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21,877</w:t>
            </w:r>
          </w:p>
        </w:tc>
        <w:tc>
          <w:tcPr>
            <w:tcW w:w="520" w:type="dxa"/>
            <w:vAlign w:val="bottom"/>
            <w:gridSpan w:val="2"/>
            <w:shd w:val="clear" w:color="auto" w:fill="CCEEFF"/>
          </w:tcPr>
          <w:p>
            <w:pPr>
              <w:spacing w:after="0"/>
              <w:rPr>
                <w:sz w:val="18"/>
                <w:szCs w:val="18"/>
                <w:color w:val="auto"/>
              </w:rPr>
            </w:pPr>
          </w:p>
        </w:tc>
        <w:tc>
          <w:tcPr>
            <w:tcW w:w="6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16,821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3900" w:type="dxa"/>
            <w:vAlign w:val="bottom"/>
          </w:tcPr>
          <w:p>
            <w:pPr>
              <w:spacing w:after="0"/>
              <w:rPr>
                <w:sz w:val="20"/>
                <w:szCs w:val="20"/>
                <w:color w:val="auto"/>
              </w:rPr>
            </w:pPr>
            <w:r>
              <w:rPr>
                <w:rFonts w:ascii="Arial" w:cs="Arial" w:eastAsia="Arial" w:hAnsi="Arial"/>
                <w:sz w:val="18"/>
                <w:szCs w:val="18"/>
                <w:color w:val="auto"/>
              </w:rPr>
              <w:t>Total other non-current assets</w:t>
            </w:r>
          </w:p>
        </w:tc>
        <w:tc>
          <w:tcPr>
            <w:tcW w:w="3480" w:type="dxa"/>
            <w:vAlign w:val="bottom"/>
            <w:gridSpan w:val="4"/>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161,406</w:t>
            </w:r>
          </w:p>
        </w:tc>
        <w:tc>
          <w:tcPr>
            <w:tcW w:w="1200" w:type="dxa"/>
            <w:vAlign w:val="bottom"/>
            <w:gridSpan w:val="4"/>
          </w:tcPr>
          <w:p>
            <w:pPr>
              <w:jc w:val="right"/>
              <w:spacing w:after="0"/>
              <w:rPr>
                <w:sz w:val="20"/>
                <w:szCs w:val="20"/>
                <w:color w:val="auto"/>
              </w:rPr>
            </w:pPr>
            <w:r>
              <w:rPr>
                <w:rFonts w:ascii="Arial" w:cs="Arial" w:eastAsia="Arial" w:hAnsi="Arial"/>
                <w:sz w:val="18"/>
                <w:szCs w:val="18"/>
                <w:color w:val="auto"/>
              </w:rPr>
              <w:t>$ 160,366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900" w:type="dxa"/>
            <w:vAlign w:val="bottom"/>
          </w:tcPr>
          <w:p>
            <w:pPr>
              <w:spacing w:after="0" w:line="20" w:lineRule="exact"/>
              <w:rPr>
                <w:sz w:val="1"/>
                <w:szCs w:val="1"/>
                <w:color w:val="auto"/>
              </w:rPr>
            </w:pPr>
          </w:p>
        </w:tc>
        <w:tc>
          <w:tcPr>
            <w:tcW w:w="2700" w:type="dxa"/>
            <w:vAlign w:val="bottom"/>
            <w:vMerge w:val="restart"/>
          </w:tcPr>
          <w:p>
            <w:pPr>
              <w:jc w:val="right"/>
              <w:ind w:right="2135"/>
              <w:spacing w:after="0"/>
              <w:rPr>
                <w:sz w:val="20"/>
                <w:szCs w:val="20"/>
                <w:color w:val="auto"/>
              </w:rPr>
            </w:pPr>
            <w:r>
              <w:rPr>
                <w:rFonts w:ascii="Arial" w:cs="Arial" w:eastAsia="Arial" w:hAnsi="Arial"/>
                <w:sz w:val="18"/>
                <w:szCs w:val="18"/>
                <w:color w:val="auto"/>
              </w:rPr>
              <w:t>9</w:t>
            </w:r>
          </w:p>
        </w:tc>
        <w:tc>
          <w:tcPr>
            <w:tcW w:w="10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900" w:type="dxa"/>
            <w:vAlign w:val="bottom"/>
          </w:tcPr>
          <w:p>
            <w:pPr>
              <w:spacing w:after="0"/>
              <w:rPr>
                <w:sz w:val="24"/>
                <w:szCs w:val="24"/>
                <w:color w:val="auto"/>
              </w:rPr>
            </w:pPr>
          </w:p>
        </w:tc>
        <w:tc>
          <w:tcPr>
            <w:tcW w:w="270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34"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88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66"/>
              <w:spacing w:after="0"/>
              <w:rPr>
                <w:sz w:val="20"/>
                <w:szCs w:val="20"/>
                <w:color w:val="auto"/>
              </w:rPr>
            </w:pPr>
            <w:r>
              <w:rPr>
                <w:rFonts w:ascii="Arial" w:cs="Arial" w:eastAsia="Arial" w:hAnsi="Arial"/>
                <w:sz w:val="14"/>
                <w:szCs w:val="14"/>
                <w:b w:val="1"/>
                <w:bCs w:val="1"/>
                <w:color w:val="auto"/>
                <w:w w:val="98"/>
              </w:rPr>
              <w:t>May 3,</w:t>
            </w:r>
          </w:p>
        </w:tc>
        <w:tc>
          <w:tcPr>
            <w:tcW w:w="1300" w:type="dxa"/>
            <w:vAlign w:val="bottom"/>
            <w:gridSpan w:val="4"/>
          </w:tcPr>
          <w:p>
            <w:pPr>
              <w:ind w:left="500"/>
              <w:spacing w:after="0"/>
              <w:rPr>
                <w:sz w:val="20"/>
                <w:szCs w:val="20"/>
                <w:color w:val="auto"/>
              </w:rPr>
            </w:pPr>
            <w:r>
              <w:rPr>
                <w:rFonts w:ascii="Arial" w:cs="Arial" w:eastAsia="Arial" w:hAnsi="Arial"/>
                <w:sz w:val="14"/>
                <w:szCs w:val="14"/>
                <w:b w:val="1"/>
                <w:bCs w:val="1"/>
                <w:color w:val="auto"/>
              </w:rPr>
              <w:t>February 1,</w:t>
            </w:r>
          </w:p>
        </w:tc>
      </w:tr>
      <w:tr>
        <w:trPr>
          <w:trHeight w:val="161"/>
        </w:trPr>
        <w:tc>
          <w:tcPr>
            <w:tcW w:w="20" w:type="dxa"/>
            <w:vAlign w:val="bottom"/>
          </w:tcPr>
          <w:p>
            <w:pPr>
              <w:spacing w:after="0"/>
              <w:rPr>
                <w:sz w:val="14"/>
                <w:szCs w:val="14"/>
                <w:color w:val="auto"/>
              </w:rPr>
            </w:pPr>
          </w:p>
        </w:tc>
        <w:tc>
          <w:tcPr>
            <w:tcW w:w="4880" w:type="dxa"/>
            <w:vAlign w:val="bottom"/>
          </w:tcPr>
          <w:p>
            <w:pPr>
              <w:spacing w:after="0"/>
              <w:rPr>
                <w:sz w:val="14"/>
                <w:szCs w:val="14"/>
                <w:color w:val="auto"/>
              </w:rPr>
            </w:pPr>
          </w:p>
        </w:tc>
        <w:tc>
          <w:tcPr>
            <w:tcW w:w="2480" w:type="dxa"/>
            <w:vAlign w:val="bottom"/>
            <w:gridSpan w:val="3"/>
          </w:tcPr>
          <w:p>
            <w:pPr>
              <w:jc w:val="right"/>
              <w:ind w:right="126"/>
              <w:spacing w:after="0"/>
              <w:rPr>
                <w:sz w:val="20"/>
                <w:szCs w:val="20"/>
                <w:color w:val="auto"/>
              </w:rPr>
            </w:pPr>
            <w:r>
              <w:rPr>
                <w:rFonts w:ascii="Arial" w:cs="Arial" w:eastAsia="Arial" w:hAnsi="Arial"/>
                <w:sz w:val="14"/>
                <w:szCs w:val="14"/>
                <w:b w:val="1"/>
                <w:bCs w:val="1"/>
                <w:color w:val="auto"/>
              </w:rPr>
              <w:t>2014</w:t>
            </w:r>
          </w:p>
        </w:tc>
        <w:tc>
          <w:tcPr>
            <w:tcW w:w="5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40" w:type="dxa"/>
            <w:vAlign w:val="bottom"/>
          </w:tcPr>
          <w:p>
            <w:pPr>
              <w:jc w:val="right"/>
              <w:ind w:right="136"/>
              <w:spacing w:after="0"/>
              <w:rPr>
                <w:sz w:val="20"/>
                <w:szCs w:val="20"/>
                <w:color w:val="auto"/>
              </w:rPr>
            </w:pPr>
            <w:r>
              <w:rPr>
                <w:rFonts w:ascii="Arial" w:cs="Arial" w:eastAsia="Arial" w:hAnsi="Arial"/>
                <w:sz w:val="14"/>
                <w:szCs w:val="14"/>
                <w:b w:val="1"/>
                <w:bCs w:val="1"/>
                <w:color w:val="auto"/>
                <w:w w:val="96"/>
              </w:rPr>
              <w:t>2014</w:t>
            </w:r>
          </w:p>
        </w:tc>
        <w:tc>
          <w:tcPr>
            <w:tcW w:w="100" w:type="dxa"/>
            <w:vAlign w:val="bottom"/>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488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Accrued liabilities:</w:t>
            </w:r>
          </w:p>
        </w:tc>
        <w:tc>
          <w:tcPr>
            <w:tcW w:w="18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4880" w:type="dxa"/>
            <w:vAlign w:val="bottom"/>
          </w:tcPr>
          <w:p>
            <w:pPr>
              <w:spacing w:after="0"/>
              <w:rPr>
                <w:sz w:val="20"/>
                <w:szCs w:val="20"/>
                <w:color w:val="auto"/>
              </w:rPr>
            </w:pPr>
            <w:r>
              <w:rPr>
                <w:rFonts w:ascii="Arial" w:cs="Arial" w:eastAsia="Arial" w:hAnsi="Arial"/>
                <w:sz w:val="18"/>
                <w:szCs w:val="18"/>
                <w:color w:val="auto"/>
              </w:rPr>
              <w:t>Accrued rebates</w:t>
            </w:r>
          </w:p>
        </w:tc>
        <w:tc>
          <w:tcPr>
            <w:tcW w:w="2480" w:type="dxa"/>
            <w:vAlign w:val="bottom"/>
            <w:gridSpan w:val="3"/>
          </w:tcPr>
          <w:p>
            <w:pPr>
              <w:jc w:val="right"/>
              <w:spacing w:after="0"/>
              <w:rPr>
                <w:sz w:val="20"/>
                <w:szCs w:val="20"/>
                <w:color w:val="auto"/>
              </w:rPr>
            </w:pPr>
            <w:r>
              <w:rPr>
                <w:rFonts w:ascii="Arial" w:cs="Arial" w:eastAsia="Arial" w:hAnsi="Arial"/>
                <w:sz w:val="18"/>
                <w:szCs w:val="18"/>
                <w:color w:val="auto"/>
              </w:rPr>
              <w:t>$ 49,854</w:t>
            </w:r>
          </w:p>
        </w:tc>
        <w:tc>
          <w:tcPr>
            <w:tcW w:w="66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61,616</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880" w:type="dxa"/>
            <w:vAlign w:val="bottom"/>
            <w:shd w:val="clear" w:color="auto" w:fill="CCEEFF"/>
          </w:tcPr>
          <w:p>
            <w:pPr>
              <w:spacing w:after="0"/>
              <w:rPr>
                <w:sz w:val="20"/>
                <w:szCs w:val="20"/>
                <w:color w:val="auto"/>
              </w:rPr>
            </w:pPr>
            <w:r>
              <w:rPr>
                <w:rFonts w:ascii="Arial" w:cs="Arial" w:eastAsia="Arial" w:hAnsi="Arial"/>
                <w:sz w:val="18"/>
                <w:szCs w:val="18"/>
                <w:color w:val="auto"/>
              </w:rPr>
              <w:t>Accrued royalties</w:t>
            </w:r>
          </w:p>
        </w:tc>
        <w:tc>
          <w:tcPr>
            <w:tcW w:w="24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25,041</w:t>
            </w: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36,568</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880" w:type="dxa"/>
            <w:vAlign w:val="bottom"/>
          </w:tcPr>
          <w:p>
            <w:pPr>
              <w:spacing w:after="0"/>
              <w:rPr>
                <w:sz w:val="20"/>
                <w:szCs w:val="20"/>
                <w:color w:val="auto"/>
              </w:rPr>
            </w:pPr>
            <w:r>
              <w:rPr>
                <w:rFonts w:ascii="Arial" w:cs="Arial" w:eastAsia="Arial" w:hAnsi="Arial"/>
                <w:sz w:val="18"/>
                <w:szCs w:val="18"/>
                <w:color w:val="auto"/>
              </w:rPr>
              <w:t>Technology license obligations</w:t>
            </w:r>
          </w:p>
        </w:tc>
        <w:tc>
          <w:tcPr>
            <w:tcW w:w="2480" w:type="dxa"/>
            <w:vAlign w:val="bottom"/>
            <w:gridSpan w:val="3"/>
          </w:tcPr>
          <w:p>
            <w:pPr>
              <w:jc w:val="right"/>
              <w:spacing w:after="0"/>
              <w:rPr>
                <w:sz w:val="20"/>
                <w:szCs w:val="20"/>
                <w:color w:val="auto"/>
              </w:rPr>
            </w:pPr>
            <w:r>
              <w:rPr>
                <w:rFonts w:ascii="Arial" w:cs="Arial" w:eastAsia="Arial" w:hAnsi="Arial"/>
                <w:sz w:val="18"/>
                <w:szCs w:val="18"/>
                <w:color w:val="auto"/>
              </w:rPr>
              <w:t>18,275</w:t>
            </w:r>
          </w:p>
        </w:tc>
        <w:tc>
          <w:tcPr>
            <w:tcW w:w="5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18,482</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880" w:type="dxa"/>
            <w:vAlign w:val="bottom"/>
            <w:shd w:val="clear" w:color="auto" w:fill="CCEEFF"/>
          </w:tcPr>
          <w:p>
            <w:pPr>
              <w:spacing w:after="0"/>
              <w:rPr>
                <w:sz w:val="20"/>
                <w:szCs w:val="20"/>
                <w:color w:val="auto"/>
              </w:rPr>
            </w:pPr>
            <w:r>
              <w:rPr>
                <w:rFonts w:ascii="Arial" w:cs="Arial" w:eastAsia="Arial" w:hAnsi="Arial"/>
                <w:sz w:val="18"/>
                <w:szCs w:val="18"/>
                <w:color w:val="auto"/>
              </w:rPr>
              <w:t>Accrued legal expense</w:t>
            </w:r>
          </w:p>
        </w:tc>
        <w:tc>
          <w:tcPr>
            <w:tcW w:w="24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16,771</w:t>
            </w: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14,589</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4880" w:type="dxa"/>
            <w:vAlign w:val="bottom"/>
          </w:tcPr>
          <w:p>
            <w:pPr>
              <w:spacing w:after="0"/>
              <w:rPr>
                <w:sz w:val="20"/>
                <w:szCs w:val="20"/>
                <w:color w:val="auto"/>
              </w:rPr>
            </w:pPr>
            <w:r>
              <w:rPr>
                <w:rFonts w:ascii="Arial" w:cs="Arial" w:eastAsia="Arial" w:hAnsi="Arial"/>
                <w:sz w:val="18"/>
                <w:szCs w:val="18"/>
                <w:color w:val="auto"/>
              </w:rPr>
              <w:t>Other</w:t>
            </w:r>
          </w:p>
        </w:tc>
        <w:tc>
          <w:tcPr>
            <w:tcW w:w="1800" w:type="dxa"/>
            <w:vAlign w:val="bottom"/>
          </w:tcPr>
          <w:p>
            <w:pPr>
              <w:spacing w:after="0"/>
              <w:rPr>
                <w:sz w:val="19"/>
                <w:szCs w:val="19"/>
                <w:color w:val="auto"/>
              </w:rPr>
            </w:pPr>
          </w:p>
        </w:tc>
        <w:tc>
          <w:tcPr>
            <w:tcW w:w="68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36,726</w:t>
            </w:r>
          </w:p>
        </w:tc>
        <w:tc>
          <w:tcPr>
            <w:tcW w:w="5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30,507</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4880" w:type="dxa"/>
            <w:vAlign w:val="bottom"/>
            <w:shd w:val="clear" w:color="auto" w:fill="CCEEFF"/>
          </w:tcPr>
          <w:p>
            <w:pPr>
              <w:spacing w:after="0"/>
              <w:rPr>
                <w:sz w:val="20"/>
                <w:szCs w:val="20"/>
                <w:color w:val="auto"/>
              </w:rPr>
            </w:pPr>
            <w:r>
              <w:rPr>
                <w:rFonts w:ascii="Arial" w:cs="Arial" w:eastAsia="Arial" w:hAnsi="Arial"/>
                <w:sz w:val="18"/>
                <w:szCs w:val="18"/>
                <w:color w:val="auto"/>
              </w:rPr>
              <w:t>Total accrued liabilities</w:t>
            </w:r>
          </w:p>
        </w:tc>
        <w:tc>
          <w:tcPr>
            <w:tcW w:w="2480" w:type="dxa"/>
            <w:vAlign w:val="bottom"/>
            <w:gridSpan w:val="3"/>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146,667</w:t>
            </w:r>
          </w:p>
        </w:tc>
        <w:tc>
          <w:tcPr>
            <w:tcW w:w="12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$ 161,762</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4880" w:type="dxa"/>
            <w:vAlign w:val="bottom"/>
          </w:tcPr>
          <w:p>
            <w:pPr>
              <w:spacing w:after="0" w:line="20" w:lineRule="exact"/>
              <w:rPr>
                <w:sz w:val="1"/>
                <w:szCs w:val="1"/>
                <w:color w:val="auto"/>
              </w:rPr>
            </w:pPr>
          </w:p>
        </w:tc>
        <w:tc>
          <w:tcPr>
            <w:tcW w:w="18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332"/>
        </w:trPr>
        <w:tc>
          <w:tcPr>
            <w:tcW w:w="20" w:type="dxa"/>
            <w:vAlign w:val="bottom"/>
          </w:tcPr>
          <w:p>
            <w:pPr>
              <w:spacing w:after="0"/>
              <w:rPr>
                <w:sz w:val="24"/>
                <w:szCs w:val="24"/>
                <w:color w:val="auto"/>
              </w:rPr>
            </w:pPr>
          </w:p>
        </w:tc>
        <w:tc>
          <w:tcPr>
            <w:tcW w:w="4880" w:type="dxa"/>
            <w:vAlign w:val="bottom"/>
          </w:tcPr>
          <w:p>
            <w:pPr>
              <w:spacing w:after="0"/>
              <w:rPr>
                <w:sz w:val="24"/>
                <w:szCs w:val="24"/>
                <w:color w:val="auto"/>
              </w:rPr>
            </w:pPr>
          </w:p>
        </w:tc>
        <w:tc>
          <w:tcPr>
            <w:tcW w:w="18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jc w:val="right"/>
              <w:ind w:right="26"/>
              <w:spacing w:after="0"/>
              <w:rPr>
                <w:sz w:val="20"/>
                <w:szCs w:val="20"/>
                <w:color w:val="auto"/>
              </w:rPr>
            </w:pPr>
            <w:r>
              <w:rPr>
                <w:rFonts w:ascii="Arial" w:cs="Arial" w:eastAsia="Arial" w:hAnsi="Arial"/>
                <w:sz w:val="14"/>
                <w:szCs w:val="14"/>
                <w:b w:val="1"/>
                <w:bCs w:val="1"/>
                <w:color w:val="auto"/>
              </w:rPr>
              <w:t>May 3,</w:t>
            </w:r>
          </w:p>
        </w:tc>
        <w:tc>
          <w:tcPr>
            <w:tcW w:w="1300" w:type="dxa"/>
            <w:vAlign w:val="bottom"/>
            <w:gridSpan w:val="4"/>
          </w:tcPr>
          <w:p>
            <w:pPr>
              <w:ind w:left="500"/>
              <w:spacing w:after="0"/>
              <w:rPr>
                <w:sz w:val="20"/>
                <w:szCs w:val="20"/>
                <w:color w:val="auto"/>
              </w:rPr>
            </w:pPr>
            <w:r>
              <w:rPr>
                <w:rFonts w:ascii="Arial" w:cs="Arial" w:eastAsia="Arial" w:hAnsi="Arial"/>
                <w:sz w:val="14"/>
                <w:szCs w:val="14"/>
                <w:b w:val="1"/>
                <w:bCs w:val="1"/>
                <w:color w:val="auto"/>
              </w:rPr>
              <w:t>February 1,</w:t>
            </w:r>
          </w:p>
        </w:tc>
      </w:tr>
      <w:tr>
        <w:trPr>
          <w:trHeight w:val="161"/>
        </w:trPr>
        <w:tc>
          <w:tcPr>
            <w:tcW w:w="20" w:type="dxa"/>
            <w:vAlign w:val="bottom"/>
          </w:tcPr>
          <w:p>
            <w:pPr>
              <w:spacing w:after="0"/>
              <w:rPr>
                <w:sz w:val="14"/>
                <w:szCs w:val="14"/>
                <w:color w:val="auto"/>
              </w:rPr>
            </w:pPr>
          </w:p>
        </w:tc>
        <w:tc>
          <w:tcPr>
            <w:tcW w:w="4880" w:type="dxa"/>
            <w:vAlign w:val="bottom"/>
          </w:tcPr>
          <w:p>
            <w:pPr>
              <w:spacing w:after="0"/>
              <w:rPr>
                <w:sz w:val="14"/>
                <w:szCs w:val="14"/>
                <w:color w:val="auto"/>
              </w:rPr>
            </w:pPr>
          </w:p>
        </w:tc>
        <w:tc>
          <w:tcPr>
            <w:tcW w:w="2480" w:type="dxa"/>
            <w:vAlign w:val="bottom"/>
            <w:gridSpan w:val="3"/>
          </w:tcPr>
          <w:p>
            <w:pPr>
              <w:jc w:val="right"/>
              <w:ind w:right="86"/>
              <w:spacing w:after="0"/>
              <w:rPr>
                <w:sz w:val="20"/>
                <w:szCs w:val="20"/>
                <w:color w:val="auto"/>
              </w:rPr>
            </w:pPr>
            <w:r>
              <w:rPr>
                <w:rFonts w:ascii="Arial" w:cs="Arial" w:eastAsia="Arial" w:hAnsi="Arial"/>
                <w:sz w:val="14"/>
                <w:szCs w:val="14"/>
                <w:b w:val="1"/>
                <w:bCs w:val="1"/>
                <w:color w:val="auto"/>
              </w:rPr>
              <w:t>2014</w:t>
            </w:r>
          </w:p>
        </w:tc>
        <w:tc>
          <w:tcPr>
            <w:tcW w:w="5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40" w:type="dxa"/>
            <w:vAlign w:val="bottom"/>
          </w:tcPr>
          <w:p>
            <w:pPr>
              <w:jc w:val="right"/>
              <w:ind w:right="136"/>
              <w:spacing w:after="0"/>
              <w:rPr>
                <w:sz w:val="20"/>
                <w:szCs w:val="20"/>
                <w:color w:val="auto"/>
              </w:rPr>
            </w:pPr>
            <w:r>
              <w:rPr>
                <w:rFonts w:ascii="Arial" w:cs="Arial" w:eastAsia="Arial" w:hAnsi="Arial"/>
                <w:sz w:val="14"/>
                <w:szCs w:val="14"/>
                <w:b w:val="1"/>
                <w:bCs w:val="1"/>
                <w:color w:val="auto"/>
                <w:w w:val="96"/>
              </w:rPr>
              <w:t>2014</w:t>
            </w:r>
          </w:p>
        </w:tc>
        <w:tc>
          <w:tcPr>
            <w:tcW w:w="100" w:type="dxa"/>
            <w:vAlign w:val="bottom"/>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488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non-current liabilities:</w:t>
            </w:r>
          </w:p>
        </w:tc>
        <w:tc>
          <w:tcPr>
            <w:tcW w:w="18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4880" w:type="dxa"/>
            <w:vAlign w:val="bottom"/>
          </w:tcPr>
          <w:p>
            <w:pPr>
              <w:spacing w:after="0"/>
              <w:rPr>
                <w:sz w:val="20"/>
                <w:szCs w:val="20"/>
                <w:color w:val="auto"/>
              </w:rPr>
            </w:pPr>
            <w:r>
              <w:rPr>
                <w:rFonts w:ascii="Arial" w:cs="Arial" w:eastAsia="Arial" w:hAnsi="Arial"/>
                <w:sz w:val="18"/>
                <w:szCs w:val="18"/>
                <w:color w:val="auto"/>
              </w:rPr>
              <w:t>Technology license obligations</w:t>
            </w:r>
          </w:p>
        </w:tc>
        <w:tc>
          <w:tcPr>
            <w:tcW w:w="2480" w:type="dxa"/>
            <w:vAlign w:val="bottom"/>
            <w:gridSpan w:val="3"/>
          </w:tcPr>
          <w:p>
            <w:pPr>
              <w:jc w:val="right"/>
              <w:spacing w:after="0"/>
              <w:rPr>
                <w:sz w:val="20"/>
                <w:szCs w:val="20"/>
                <w:color w:val="auto"/>
              </w:rPr>
            </w:pPr>
            <w:r>
              <w:rPr>
                <w:rFonts w:ascii="Arial" w:cs="Arial" w:eastAsia="Arial" w:hAnsi="Arial"/>
                <w:sz w:val="18"/>
                <w:szCs w:val="18"/>
                <w:color w:val="auto"/>
              </w:rPr>
              <w:t>$25,316</w:t>
            </w:r>
          </w:p>
        </w:tc>
        <w:tc>
          <w:tcPr>
            <w:tcW w:w="66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28,959</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880" w:type="dxa"/>
            <w:vAlign w:val="bottom"/>
            <w:shd w:val="clear" w:color="auto" w:fill="CCEEFF"/>
          </w:tcPr>
          <w:p>
            <w:pPr>
              <w:spacing w:after="0"/>
              <w:rPr>
                <w:sz w:val="20"/>
                <w:szCs w:val="20"/>
                <w:color w:val="auto"/>
              </w:rPr>
            </w:pPr>
            <w:r>
              <w:rPr>
                <w:rFonts w:ascii="Arial" w:cs="Arial" w:eastAsia="Arial" w:hAnsi="Arial"/>
                <w:sz w:val="18"/>
                <w:szCs w:val="18"/>
                <w:color w:val="auto"/>
              </w:rPr>
              <w:t>Long-term accrued employee compensation</w:t>
            </w:r>
          </w:p>
        </w:tc>
        <w:tc>
          <w:tcPr>
            <w:tcW w:w="24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4,645</w:t>
            </w: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4,370</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4880" w:type="dxa"/>
            <w:vAlign w:val="bottom"/>
          </w:tcPr>
          <w:p>
            <w:pPr>
              <w:spacing w:after="0"/>
              <w:rPr>
                <w:sz w:val="20"/>
                <w:szCs w:val="20"/>
                <w:color w:val="auto"/>
              </w:rPr>
            </w:pPr>
            <w:r>
              <w:rPr>
                <w:rFonts w:ascii="Arial" w:cs="Arial" w:eastAsia="Arial" w:hAnsi="Arial"/>
                <w:sz w:val="18"/>
                <w:szCs w:val="18"/>
                <w:color w:val="auto"/>
              </w:rPr>
              <w:t>Other</w:t>
            </w:r>
          </w:p>
        </w:tc>
        <w:tc>
          <w:tcPr>
            <w:tcW w:w="1900" w:type="dxa"/>
            <w:vAlign w:val="bottom"/>
            <w:gridSpan w:val="2"/>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15,628</w:t>
            </w:r>
          </w:p>
        </w:tc>
        <w:tc>
          <w:tcPr>
            <w:tcW w:w="5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9,140</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488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liabilities</w:t>
            </w:r>
          </w:p>
        </w:tc>
        <w:tc>
          <w:tcPr>
            <w:tcW w:w="2480" w:type="dxa"/>
            <w:vAlign w:val="bottom"/>
            <w:gridSpan w:val="3"/>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45,589</w:t>
            </w:r>
          </w:p>
        </w:tc>
        <w:tc>
          <w:tcPr>
            <w:tcW w:w="66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42,469</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4880" w:type="dxa"/>
            <w:vAlign w:val="bottom"/>
          </w:tcPr>
          <w:p>
            <w:pPr>
              <w:spacing w:after="0" w:line="20" w:lineRule="exact"/>
              <w:rPr>
                <w:sz w:val="1"/>
                <w:szCs w:val="1"/>
                <w:color w:val="auto"/>
              </w:rPr>
            </w:pPr>
          </w:p>
        </w:tc>
        <w:tc>
          <w:tcPr>
            <w:tcW w:w="18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Accumulated other comprehensive income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changes in accumulated other comprehensive income by component are presented in the following tables (in thousands):</w:t>
      </w:r>
    </w:p>
    <w:p>
      <w:pPr>
        <w:sectPr>
          <w:pgSz w:w="11900" w:h="16838" w:orient="portrait"/>
          <w:cols w:equalWidth="0" w:num="1">
            <w:col w:w="10960"/>
          </w:cols>
          <w:pgMar w:left="240" w:top="459" w:right="6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Balance at February 1, 2014</w:t>
      </w:r>
    </w:p>
    <w:p>
      <w:pPr>
        <w:spacing w:after="0" w:line="23" w:lineRule="exact"/>
        <w:rPr>
          <w:sz w:val="20"/>
          <w:szCs w:val="20"/>
          <w:color w:val="auto"/>
        </w:rPr>
      </w:pPr>
    </w:p>
    <w:p>
      <w:pPr>
        <w:ind w:left="900" w:right="80"/>
        <w:spacing w:after="0" w:line="305" w:lineRule="auto"/>
        <w:rPr>
          <w:sz w:val="20"/>
          <w:szCs w:val="20"/>
          <w:color w:val="auto"/>
        </w:rPr>
      </w:pPr>
      <w:r>
        <w:rPr>
          <w:rFonts w:ascii="Arial" w:cs="Arial" w:eastAsia="Arial" w:hAnsi="Arial"/>
          <w:sz w:val="15"/>
          <w:szCs w:val="15"/>
          <w:color w:val="auto"/>
        </w:rPr>
        <w:t>Other comprehensive income before reclassifications Amounts reclassified from accumulated other</w:t>
      </w:r>
    </w:p>
    <w:p>
      <w:pPr>
        <w:ind w:left="1120"/>
        <w:spacing w:after="0"/>
        <w:rPr>
          <w:sz w:val="20"/>
          <w:szCs w:val="20"/>
          <w:color w:val="auto"/>
        </w:rPr>
      </w:pPr>
      <w:r>
        <w:rPr>
          <w:rFonts w:ascii="Arial" w:cs="Arial" w:eastAsia="Arial" w:hAnsi="Arial"/>
          <w:sz w:val="18"/>
          <w:szCs w:val="18"/>
          <w:color w:val="auto"/>
        </w:rPr>
        <w:t>comprehensive income</w:t>
      </w:r>
    </w:p>
    <w:p>
      <w:pPr>
        <w:spacing w:after="0" w:line="20" w:lineRule="exact"/>
        <w:rPr>
          <w:sz w:val="20"/>
          <w:szCs w:val="20"/>
          <w:color w:val="auto"/>
        </w:rPr>
      </w:pPr>
      <w:r>
        <w:rPr>
          <w:sz w:val="20"/>
          <w:szCs w:val="20"/>
          <w:color w:val="auto"/>
        </w:rPr>
        <w:br w:type="column"/>
      </w:r>
    </w:p>
    <w:p>
      <w:pPr>
        <w:spacing w:after="0" w:line="198"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1620" w:type="dxa"/>
            <w:vAlign w:val="bottom"/>
            <w:gridSpan w:val="3"/>
          </w:tcPr>
          <w:p>
            <w:pPr>
              <w:jc w:val="center"/>
              <w:ind w:right="660"/>
              <w:spacing w:after="0"/>
              <w:rPr>
                <w:sz w:val="20"/>
                <w:szCs w:val="20"/>
                <w:color w:val="auto"/>
              </w:rPr>
            </w:pPr>
            <w:r>
              <w:rPr>
                <w:rFonts w:ascii="Arial" w:cs="Arial" w:eastAsia="Arial" w:hAnsi="Arial"/>
                <w:sz w:val="14"/>
                <w:szCs w:val="14"/>
                <w:b w:val="1"/>
                <w:bCs w:val="1"/>
                <w:color w:val="auto"/>
                <w:w w:val="90"/>
              </w:rPr>
              <w:t>Unrealized Gain</w:t>
            </w:r>
          </w:p>
        </w:tc>
        <w:tc>
          <w:tcPr>
            <w:tcW w:w="1620" w:type="dxa"/>
            <w:vAlign w:val="bottom"/>
            <w:gridSpan w:val="3"/>
          </w:tcPr>
          <w:p>
            <w:pPr>
              <w:jc w:val="center"/>
              <w:ind w:right="660"/>
              <w:spacing w:after="0"/>
              <w:rPr>
                <w:sz w:val="20"/>
                <w:szCs w:val="20"/>
                <w:color w:val="auto"/>
              </w:rPr>
            </w:pPr>
            <w:r>
              <w:rPr>
                <w:rFonts w:ascii="Arial" w:cs="Arial" w:eastAsia="Arial" w:hAnsi="Arial"/>
                <w:sz w:val="14"/>
                <w:szCs w:val="14"/>
                <w:b w:val="1"/>
                <w:bCs w:val="1"/>
                <w:color w:val="auto"/>
                <w:w w:val="90"/>
              </w:rPr>
              <w:t>Unrealized Gain</w:t>
            </w:r>
          </w:p>
        </w:tc>
        <w:tc>
          <w:tcPr>
            <w:tcW w:w="1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r>
      <w:tr>
        <w:trPr>
          <w:trHeight w:val="149"/>
        </w:trPr>
        <w:tc>
          <w:tcPr>
            <w:tcW w:w="120" w:type="dxa"/>
            <w:vAlign w:val="bottom"/>
          </w:tcPr>
          <w:p>
            <w:pPr>
              <w:spacing w:after="0"/>
              <w:rPr>
                <w:sz w:val="12"/>
                <w:szCs w:val="12"/>
                <w:color w:val="auto"/>
              </w:rPr>
            </w:pPr>
          </w:p>
        </w:tc>
        <w:tc>
          <w:tcPr>
            <w:tcW w:w="1500" w:type="dxa"/>
            <w:vAlign w:val="bottom"/>
            <w:gridSpan w:val="2"/>
          </w:tcPr>
          <w:p>
            <w:pPr>
              <w:jc w:val="center"/>
              <w:ind w:right="780"/>
              <w:spacing w:after="0" w:line="149" w:lineRule="exact"/>
              <w:rPr>
                <w:sz w:val="20"/>
                <w:szCs w:val="20"/>
                <w:color w:val="auto"/>
              </w:rPr>
            </w:pPr>
            <w:r>
              <w:rPr>
                <w:rFonts w:ascii="Arial" w:cs="Arial" w:eastAsia="Arial" w:hAnsi="Arial"/>
                <w:sz w:val="14"/>
                <w:szCs w:val="14"/>
                <w:b w:val="1"/>
                <w:bCs w:val="1"/>
                <w:color w:val="auto"/>
                <w:w w:val="82"/>
              </w:rPr>
              <w:t>(Loss) on</w:t>
            </w:r>
          </w:p>
        </w:tc>
        <w:tc>
          <w:tcPr>
            <w:tcW w:w="100" w:type="dxa"/>
            <w:vAlign w:val="bottom"/>
          </w:tcPr>
          <w:p>
            <w:pPr>
              <w:spacing w:after="0"/>
              <w:rPr>
                <w:sz w:val="12"/>
                <w:szCs w:val="12"/>
                <w:color w:val="auto"/>
              </w:rPr>
            </w:pPr>
          </w:p>
        </w:tc>
        <w:tc>
          <w:tcPr>
            <w:tcW w:w="152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82"/>
              </w:rPr>
              <w:t>(Loss) on</w:t>
            </w:r>
          </w:p>
        </w:tc>
        <w:tc>
          <w:tcPr>
            <w:tcW w:w="1320" w:type="dxa"/>
            <w:vAlign w:val="bottom"/>
            <w:gridSpan w:val="3"/>
          </w:tcPr>
          <w:p>
            <w:pPr>
              <w:jc w:val="center"/>
              <w:ind w:right="360"/>
              <w:spacing w:after="0" w:line="149" w:lineRule="exact"/>
              <w:rPr>
                <w:sz w:val="20"/>
                <w:szCs w:val="20"/>
                <w:color w:val="auto"/>
              </w:rPr>
            </w:pPr>
            <w:r>
              <w:rPr>
                <w:rFonts w:ascii="Arial" w:cs="Arial" w:eastAsia="Arial" w:hAnsi="Arial"/>
                <w:sz w:val="14"/>
                <w:szCs w:val="14"/>
                <w:b w:val="1"/>
                <w:bCs w:val="1"/>
                <w:color w:val="auto"/>
                <w:w w:val="90"/>
              </w:rPr>
              <w:t>Unrealized Gain</w:t>
            </w:r>
          </w:p>
        </w:tc>
        <w:tc>
          <w:tcPr>
            <w:tcW w:w="3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49"/>
        </w:trPr>
        <w:tc>
          <w:tcPr>
            <w:tcW w:w="120" w:type="dxa"/>
            <w:vAlign w:val="bottom"/>
          </w:tcPr>
          <w:p>
            <w:pPr>
              <w:spacing w:after="0"/>
              <w:rPr>
                <w:sz w:val="12"/>
                <w:szCs w:val="12"/>
                <w:color w:val="auto"/>
              </w:rPr>
            </w:pPr>
          </w:p>
        </w:tc>
        <w:tc>
          <w:tcPr>
            <w:tcW w:w="1500" w:type="dxa"/>
            <w:vAlign w:val="bottom"/>
            <w:gridSpan w:val="2"/>
          </w:tcPr>
          <w:p>
            <w:pPr>
              <w:jc w:val="center"/>
              <w:ind w:right="780"/>
              <w:spacing w:after="0" w:line="149" w:lineRule="exact"/>
              <w:rPr>
                <w:sz w:val="20"/>
                <w:szCs w:val="20"/>
                <w:color w:val="auto"/>
              </w:rPr>
            </w:pPr>
            <w:r>
              <w:rPr>
                <w:rFonts w:ascii="Arial" w:cs="Arial" w:eastAsia="Arial" w:hAnsi="Arial"/>
                <w:sz w:val="14"/>
                <w:szCs w:val="14"/>
                <w:b w:val="1"/>
                <w:bCs w:val="1"/>
                <w:color w:val="auto"/>
                <w:w w:val="92"/>
              </w:rPr>
              <w:t>Marketable</w:t>
            </w:r>
          </w:p>
        </w:tc>
        <w:tc>
          <w:tcPr>
            <w:tcW w:w="100" w:type="dxa"/>
            <w:vAlign w:val="bottom"/>
          </w:tcPr>
          <w:p>
            <w:pPr>
              <w:spacing w:after="0"/>
              <w:rPr>
                <w:sz w:val="12"/>
                <w:szCs w:val="12"/>
                <w:color w:val="auto"/>
              </w:rPr>
            </w:pPr>
          </w:p>
        </w:tc>
        <w:tc>
          <w:tcPr>
            <w:tcW w:w="152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87"/>
              </w:rPr>
              <w:t>Auction Rate</w:t>
            </w:r>
          </w:p>
        </w:tc>
        <w:tc>
          <w:tcPr>
            <w:tcW w:w="1320" w:type="dxa"/>
            <w:vAlign w:val="bottom"/>
            <w:gridSpan w:val="3"/>
          </w:tcPr>
          <w:p>
            <w:pPr>
              <w:jc w:val="center"/>
              <w:ind w:right="360"/>
              <w:spacing w:after="0" w:line="149" w:lineRule="exact"/>
              <w:rPr>
                <w:sz w:val="20"/>
                <w:szCs w:val="20"/>
                <w:color w:val="auto"/>
              </w:rPr>
            </w:pPr>
            <w:r>
              <w:rPr>
                <w:rFonts w:ascii="Arial" w:cs="Arial" w:eastAsia="Arial" w:hAnsi="Arial"/>
                <w:sz w:val="14"/>
                <w:szCs w:val="14"/>
                <w:b w:val="1"/>
                <w:bCs w:val="1"/>
                <w:color w:val="auto"/>
                <w:w w:val="83"/>
              </w:rPr>
              <w:t>(Loss) on Cash</w:t>
            </w:r>
          </w:p>
        </w:tc>
        <w:tc>
          <w:tcPr>
            <w:tcW w:w="3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61"/>
        </w:trPr>
        <w:tc>
          <w:tcPr>
            <w:tcW w:w="120" w:type="dxa"/>
            <w:vAlign w:val="bottom"/>
          </w:tcPr>
          <w:p>
            <w:pPr>
              <w:spacing w:after="0"/>
              <w:rPr>
                <w:sz w:val="14"/>
                <w:szCs w:val="14"/>
                <w:color w:val="auto"/>
              </w:rPr>
            </w:pPr>
          </w:p>
        </w:tc>
        <w:tc>
          <w:tcPr>
            <w:tcW w:w="1500" w:type="dxa"/>
            <w:vAlign w:val="bottom"/>
            <w:gridSpan w:val="2"/>
          </w:tcPr>
          <w:p>
            <w:pPr>
              <w:jc w:val="center"/>
              <w:ind w:right="780"/>
              <w:spacing w:after="0"/>
              <w:rPr>
                <w:sz w:val="20"/>
                <w:szCs w:val="20"/>
                <w:color w:val="auto"/>
              </w:rPr>
            </w:pPr>
            <w:r>
              <w:rPr>
                <w:rFonts w:ascii="Arial" w:cs="Arial" w:eastAsia="Arial" w:hAnsi="Arial"/>
                <w:sz w:val="14"/>
                <w:szCs w:val="14"/>
                <w:b w:val="1"/>
                <w:bCs w:val="1"/>
                <w:color w:val="auto"/>
                <w:w w:val="83"/>
              </w:rPr>
              <w:t>Securities</w:t>
            </w:r>
          </w:p>
        </w:tc>
        <w:tc>
          <w:tcPr>
            <w:tcW w:w="100" w:type="dxa"/>
            <w:vAlign w:val="bottom"/>
          </w:tcPr>
          <w:p>
            <w:pPr>
              <w:spacing w:after="0"/>
              <w:rPr>
                <w:sz w:val="14"/>
                <w:szCs w:val="14"/>
                <w:color w:val="auto"/>
              </w:rPr>
            </w:pPr>
          </w:p>
        </w:tc>
        <w:tc>
          <w:tcPr>
            <w:tcW w:w="1520" w:type="dxa"/>
            <w:vAlign w:val="bottom"/>
            <w:gridSpan w:val="2"/>
          </w:tcPr>
          <w:p>
            <w:pPr>
              <w:jc w:val="center"/>
              <w:ind w:right="760"/>
              <w:spacing w:after="0"/>
              <w:rPr>
                <w:sz w:val="20"/>
                <w:szCs w:val="20"/>
                <w:color w:val="auto"/>
              </w:rPr>
            </w:pPr>
            <w:r>
              <w:rPr>
                <w:rFonts w:ascii="Arial" w:cs="Arial" w:eastAsia="Arial" w:hAnsi="Arial"/>
                <w:sz w:val="14"/>
                <w:szCs w:val="14"/>
                <w:b w:val="1"/>
                <w:bCs w:val="1"/>
                <w:color w:val="auto"/>
                <w:w w:val="83"/>
              </w:rPr>
              <w:t>Securities</w:t>
            </w:r>
          </w:p>
        </w:tc>
        <w:tc>
          <w:tcPr>
            <w:tcW w:w="100" w:type="dxa"/>
            <w:vAlign w:val="bottom"/>
          </w:tcPr>
          <w:p>
            <w:pPr>
              <w:spacing w:after="0"/>
              <w:rPr>
                <w:sz w:val="14"/>
                <w:szCs w:val="14"/>
                <w:color w:val="auto"/>
              </w:rPr>
            </w:pPr>
          </w:p>
        </w:tc>
        <w:tc>
          <w:tcPr>
            <w:tcW w:w="1220" w:type="dxa"/>
            <w:vAlign w:val="bottom"/>
            <w:gridSpan w:val="2"/>
          </w:tcPr>
          <w:p>
            <w:pPr>
              <w:jc w:val="center"/>
              <w:ind w:right="480"/>
              <w:spacing w:after="0"/>
              <w:rPr>
                <w:sz w:val="20"/>
                <w:szCs w:val="20"/>
                <w:color w:val="auto"/>
              </w:rPr>
            </w:pPr>
            <w:r>
              <w:rPr>
                <w:rFonts w:ascii="Arial" w:cs="Arial" w:eastAsia="Arial" w:hAnsi="Arial"/>
                <w:sz w:val="14"/>
                <w:szCs w:val="14"/>
                <w:b w:val="1"/>
                <w:bCs w:val="1"/>
                <w:color w:val="auto"/>
                <w:w w:val="85"/>
              </w:rPr>
              <w:t>Flow Hedges</w:t>
            </w:r>
          </w:p>
        </w:tc>
        <w:tc>
          <w:tcPr>
            <w:tcW w:w="300" w:type="dxa"/>
            <w:vAlign w:val="bottom"/>
          </w:tcPr>
          <w:p>
            <w:pPr>
              <w:spacing w:after="0"/>
              <w:rPr>
                <w:sz w:val="14"/>
                <w:szCs w:val="14"/>
                <w:color w:val="auto"/>
              </w:rPr>
            </w:pPr>
          </w:p>
        </w:tc>
        <w:tc>
          <w:tcPr>
            <w:tcW w:w="62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rPr>
              <w:t>Total</w:t>
            </w:r>
          </w:p>
        </w:tc>
      </w:tr>
      <w:tr>
        <w:trPr>
          <w:trHeight w:val="201"/>
        </w:trPr>
        <w:tc>
          <w:tcPr>
            <w:tcW w:w="12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4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2,534</w:t>
            </w:r>
          </w:p>
        </w:tc>
        <w:tc>
          <w:tcPr>
            <w:tcW w:w="660" w:type="dxa"/>
            <w:vAlign w:val="bottom"/>
          </w:tcPr>
          <w:p>
            <w:pPr>
              <w:spacing w:after="0"/>
              <w:rPr>
                <w:sz w:val="17"/>
                <w:szCs w:val="17"/>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(2,871)</w:t>
            </w:r>
          </w:p>
        </w:tc>
        <w:tc>
          <w:tcPr>
            <w:tcW w:w="660" w:type="dxa"/>
            <w:vAlign w:val="bottom"/>
          </w:tcPr>
          <w:p>
            <w:pPr>
              <w:spacing w:after="0"/>
              <w:rPr>
                <w:sz w:val="17"/>
                <w:szCs w:val="17"/>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934</w:t>
            </w:r>
          </w:p>
        </w:tc>
        <w:tc>
          <w:tcPr>
            <w:tcW w:w="3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w w:val="98"/>
              </w:rPr>
              <w:t>$   597</w:t>
            </w:r>
          </w:p>
        </w:tc>
        <w:tc>
          <w:tcPr>
            <w:tcW w:w="60" w:type="dxa"/>
            <w:vAlign w:val="bottom"/>
          </w:tcPr>
          <w:p>
            <w:pPr>
              <w:spacing w:after="0"/>
              <w:rPr>
                <w:sz w:val="17"/>
                <w:szCs w:val="17"/>
                <w:color w:val="auto"/>
              </w:rPr>
            </w:pPr>
          </w:p>
        </w:tc>
      </w:tr>
      <w:tr>
        <w:trPr>
          <w:trHeight w:val="222"/>
        </w:trPr>
        <w:tc>
          <w:tcPr>
            <w:tcW w:w="120" w:type="dxa"/>
            <w:vAlign w:val="bottom"/>
          </w:tcPr>
          <w:p>
            <w:pPr>
              <w:spacing w:after="0"/>
              <w:rPr>
                <w:sz w:val="19"/>
                <w:szCs w:val="19"/>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798</w:t>
            </w:r>
          </w:p>
        </w:tc>
        <w:tc>
          <w:tcPr>
            <w:tcW w:w="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177</w:t>
            </w:r>
          </w:p>
        </w:tc>
        <w:tc>
          <w:tcPr>
            <w:tcW w:w="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42</w:t>
            </w:r>
          </w:p>
        </w:tc>
        <w:tc>
          <w:tcPr>
            <w:tcW w:w="360" w:type="dxa"/>
            <w:vAlign w:val="bottom"/>
          </w:tcPr>
          <w:p>
            <w:pPr>
              <w:spacing w:after="0"/>
              <w:rPr>
                <w:sz w:val="19"/>
                <w:szCs w:val="19"/>
                <w:color w:val="auto"/>
              </w:rPr>
            </w:pPr>
          </w:p>
        </w:tc>
        <w:tc>
          <w:tcPr>
            <w:tcW w:w="920" w:type="dxa"/>
            <w:vAlign w:val="bottom"/>
            <w:gridSpan w:val="3"/>
          </w:tcPr>
          <w:p>
            <w:pPr>
              <w:jc w:val="right"/>
              <w:ind w:right="60"/>
              <w:spacing w:after="0"/>
              <w:rPr>
                <w:sz w:val="20"/>
                <w:szCs w:val="20"/>
                <w:color w:val="auto"/>
              </w:rPr>
            </w:pPr>
            <w:r>
              <w:rPr>
                <w:rFonts w:ascii="Arial" w:cs="Arial" w:eastAsia="Arial" w:hAnsi="Arial"/>
                <w:sz w:val="18"/>
                <w:szCs w:val="18"/>
                <w:color w:val="auto"/>
              </w:rPr>
              <w:t>1,017</w:t>
            </w:r>
          </w:p>
        </w:tc>
      </w:tr>
      <w:tr>
        <w:trPr>
          <w:trHeight w:val="432"/>
        </w:trPr>
        <w:tc>
          <w:tcPr>
            <w:tcW w:w="120" w:type="dxa"/>
            <w:vAlign w:val="bottom"/>
          </w:tcPr>
          <w:p>
            <w:pPr>
              <w:spacing w:after="0"/>
              <w:rPr>
                <w:sz w:val="24"/>
                <w:szCs w:val="24"/>
                <w:color w:val="auto"/>
              </w:rPr>
            </w:pPr>
          </w:p>
        </w:tc>
        <w:tc>
          <w:tcPr>
            <w:tcW w:w="1500" w:type="dxa"/>
            <w:vAlign w:val="bottom"/>
            <w:gridSpan w:val="2"/>
          </w:tcPr>
          <w:p>
            <w:pPr>
              <w:jc w:val="right"/>
              <w:ind w:right="600"/>
              <w:spacing w:after="0"/>
              <w:rPr>
                <w:sz w:val="20"/>
                <w:szCs w:val="20"/>
                <w:color w:val="auto"/>
              </w:rPr>
            </w:pPr>
            <w:r>
              <w:rPr>
                <w:rFonts w:ascii="Arial" w:cs="Arial" w:eastAsia="Arial" w:hAnsi="Arial"/>
                <w:sz w:val="18"/>
                <w:szCs w:val="18"/>
                <w:color w:val="auto"/>
              </w:rPr>
              <w:t>(420)</w:t>
            </w:r>
          </w:p>
        </w:tc>
        <w:tc>
          <w:tcPr>
            <w:tcW w:w="100" w:type="dxa"/>
            <w:vAlign w:val="bottom"/>
          </w:tcPr>
          <w:p>
            <w:pPr>
              <w:spacing w:after="0"/>
              <w:rPr>
                <w:sz w:val="24"/>
                <w:szCs w:val="24"/>
                <w:color w:val="auto"/>
              </w:rPr>
            </w:pPr>
          </w:p>
        </w:tc>
        <w:tc>
          <w:tcPr>
            <w:tcW w:w="1520" w:type="dxa"/>
            <w:vAlign w:val="bottom"/>
            <w:gridSpan w:val="2"/>
          </w:tcPr>
          <w:p>
            <w:pPr>
              <w:ind w:left="6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4"/>
                <w:szCs w:val="24"/>
                <w:color w:val="auto"/>
              </w:rPr>
            </w:pPr>
          </w:p>
        </w:tc>
        <w:tc>
          <w:tcPr>
            <w:tcW w:w="1220" w:type="dxa"/>
            <w:vAlign w:val="bottom"/>
            <w:gridSpan w:val="2"/>
          </w:tcPr>
          <w:p>
            <w:pPr>
              <w:jc w:val="right"/>
              <w:ind w:right="300"/>
              <w:spacing w:after="0"/>
              <w:rPr>
                <w:sz w:val="20"/>
                <w:szCs w:val="20"/>
                <w:color w:val="auto"/>
              </w:rPr>
            </w:pPr>
            <w:r>
              <w:rPr>
                <w:rFonts w:ascii="Arial" w:cs="Arial" w:eastAsia="Arial" w:hAnsi="Arial"/>
                <w:sz w:val="18"/>
                <w:szCs w:val="18"/>
                <w:color w:val="auto"/>
              </w:rPr>
              <w:t>(785)</w:t>
            </w: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(1,205)</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-3157220</wp:posOffset>
            </wp:positionH>
            <wp:positionV relativeFrom="paragraph">
              <wp:posOffset>-555625</wp:posOffset>
            </wp:positionV>
            <wp:extent cx="6663690" cy="14605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6663690" cy="146050"/>
                    </a:xfrm>
                    <a:prstGeom prst="rect">
                      <a:avLst/>
                    </a:prstGeom>
                    <a:noFill/>
                  </pic:spPr>
                </pic:pic>
              </a:graphicData>
            </a:graphic>
          </wp:anchor>
        </w:drawing>
        <w:drawing>
          <wp:anchor simplePos="0" relativeHeight="251657728" behindDoc="1" locked="0" layoutInCell="0" allowOverlap="1">
            <wp:simplePos x="0" y="0"/>
            <wp:positionH relativeFrom="column">
              <wp:posOffset>-3157220</wp:posOffset>
            </wp:positionH>
            <wp:positionV relativeFrom="paragraph">
              <wp:posOffset>-272415</wp:posOffset>
            </wp:positionV>
            <wp:extent cx="6663690" cy="27432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6663690" cy="274320"/>
                    </a:xfrm>
                    <a:prstGeom prst="rect">
                      <a:avLst/>
                    </a:prstGeom>
                    <a:noFill/>
                  </pic:spPr>
                </pic:pic>
              </a:graphicData>
            </a:graphic>
          </wp:anchor>
        </w:drawing>
      </w:r>
    </w:p>
    <w:p>
      <w:pPr>
        <w:spacing w:after="0" w:line="20" w:lineRule="exact"/>
        <w:rPr>
          <w:sz w:val="20"/>
          <w:szCs w:val="20"/>
          <w:color w:val="auto"/>
        </w:rPr>
      </w:pPr>
    </w:p>
    <w:p>
      <w:pPr>
        <w:sectPr>
          <w:pgSz w:w="11900" w:h="16838" w:orient="portrait"/>
          <w:cols w:equalWidth="0" w:num="2">
            <w:col w:w="4720" w:space="720"/>
            <w:col w:w="5520"/>
          </w:cols>
          <w:pgMar w:left="240" w:top="459" w:right="699" w:bottom="1440" w:gutter="0" w:footer="0" w:header="0"/>
          <w:type w:val="continuous"/>
        </w:sectPr>
      </w:pPr>
    </w:p>
    <w:tbl>
      <w:tblPr>
        <w:tblLayout w:type="fixed"/>
        <w:tblInd w:w="460" w:type="dxa"/>
        <w:tblCellMar>
          <w:top w:w="0" w:type="dxa"/>
          <w:left w:w="0" w:type="dxa"/>
          <w:bottom w:w="0" w:type="dxa"/>
          <w:right w:w="0" w:type="dxa"/>
        </w:tblCellMar>
      </w:tblPr>
      <w:tr>
        <w:trPr>
          <w:trHeight w:val="20"/>
        </w:trPr>
        <w:tc>
          <w:tcPr>
            <w:tcW w:w="20" w:type="dxa"/>
            <w:vAlign w:val="bottom"/>
          </w:tcPr>
          <w:p>
            <w:pPr>
              <w:spacing w:after="0" w:line="20" w:lineRule="exact"/>
              <w:rPr>
                <w:sz w:val="1"/>
                <w:szCs w:val="1"/>
                <w:color w:val="auto"/>
              </w:rPr>
            </w:pPr>
          </w:p>
        </w:tc>
        <w:tc>
          <w:tcPr>
            <w:tcW w:w="496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4"/>
        </w:trPr>
        <w:tc>
          <w:tcPr>
            <w:tcW w:w="20" w:type="dxa"/>
            <w:vAlign w:val="bottom"/>
          </w:tcPr>
          <w:p>
            <w:pPr>
              <w:spacing w:after="0"/>
              <w:rPr>
                <w:sz w:val="17"/>
                <w:szCs w:val="17"/>
                <w:color w:val="auto"/>
              </w:rPr>
            </w:pPr>
          </w:p>
        </w:tc>
        <w:tc>
          <w:tcPr>
            <w:tcW w:w="4960" w:type="dxa"/>
            <w:vAlign w:val="bottom"/>
          </w:tcPr>
          <w:p>
            <w:pPr>
              <w:ind w:left="860"/>
              <w:spacing w:after="0" w:line="204" w:lineRule="exact"/>
              <w:rPr>
                <w:sz w:val="20"/>
                <w:szCs w:val="20"/>
                <w:color w:val="auto"/>
              </w:rPr>
            </w:pPr>
            <w:r>
              <w:rPr>
                <w:rFonts w:ascii="Arial" w:cs="Arial" w:eastAsia="Arial" w:hAnsi="Arial"/>
                <w:sz w:val="18"/>
                <w:szCs w:val="18"/>
                <w:color w:val="auto"/>
              </w:rPr>
              <w:t>Other comprehensive income (loss)</w:t>
            </w:r>
          </w:p>
        </w:tc>
        <w:tc>
          <w:tcPr>
            <w:tcW w:w="320" w:type="dxa"/>
            <w:vAlign w:val="bottom"/>
          </w:tcPr>
          <w:p>
            <w:pPr>
              <w:spacing w:after="0"/>
              <w:rPr>
                <w:sz w:val="17"/>
                <w:szCs w:val="17"/>
                <w:color w:val="auto"/>
              </w:rPr>
            </w:pPr>
          </w:p>
        </w:tc>
        <w:tc>
          <w:tcPr>
            <w:tcW w:w="640" w:type="dxa"/>
            <w:vAlign w:val="bottom"/>
          </w:tcPr>
          <w:p>
            <w:pPr>
              <w:jc w:val="right"/>
              <w:spacing w:after="0" w:line="204" w:lineRule="exact"/>
              <w:rPr>
                <w:sz w:val="20"/>
                <w:szCs w:val="20"/>
                <w:color w:val="auto"/>
              </w:rPr>
            </w:pPr>
            <w:r>
              <w:rPr>
                <w:rFonts w:ascii="Arial" w:cs="Arial" w:eastAsia="Arial" w:hAnsi="Arial"/>
                <w:sz w:val="18"/>
                <w:szCs w:val="18"/>
                <w:color w:val="auto"/>
              </w:rPr>
              <w:t>378</w:t>
            </w:r>
          </w:p>
        </w:tc>
        <w:tc>
          <w:tcPr>
            <w:tcW w:w="6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60" w:type="dxa"/>
            <w:vAlign w:val="bottom"/>
          </w:tcPr>
          <w:p>
            <w:pPr>
              <w:jc w:val="right"/>
              <w:spacing w:after="0" w:line="204" w:lineRule="exact"/>
              <w:rPr>
                <w:sz w:val="20"/>
                <w:szCs w:val="20"/>
                <w:color w:val="auto"/>
              </w:rPr>
            </w:pPr>
            <w:r>
              <w:rPr>
                <w:rFonts w:ascii="Arial" w:cs="Arial" w:eastAsia="Arial" w:hAnsi="Arial"/>
                <w:sz w:val="18"/>
                <w:szCs w:val="18"/>
                <w:color w:val="auto"/>
              </w:rPr>
              <w:t>177</w:t>
            </w:r>
          </w:p>
        </w:tc>
        <w:tc>
          <w:tcPr>
            <w:tcW w:w="6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960" w:type="dxa"/>
            <w:vAlign w:val="bottom"/>
            <w:gridSpan w:val="2"/>
          </w:tcPr>
          <w:p>
            <w:pPr>
              <w:jc w:val="right"/>
              <w:ind w:right="300"/>
              <w:spacing w:after="0" w:line="204" w:lineRule="exact"/>
              <w:rPr>
                <w:sz w:val="20"/>
                <w:szCs w:val="20"/>
                <w:color w:val="auto"/>
              </w:rPr>
            </w:pPr>
            <w:r>
              <w:rPr>
                <w:rFonts w:ascii="Arial" w:cs="Arial" w:eastAsia="Arial" w:hAnsi="Arial"/>
                <w:sz w:val="18"/>
                <w:szCs w:val="18"/>
                <w:color w:val="auto"/>
              </w:rPr>
              <w:t>(743)</w:t>
            </w:r>
          </w:p>
        </w:tc>
        <w:tc>
          <w:tcPr>
            <w:tcW w:w="960" w:type="dxa"/>
            <w:vAlign w:val="bottom"/>
            <w:gridSpan w:val="3"/>
          </w:tcPr>
          <w:p>
            <w:pPr>
              <w:jc w:val="right"/>
              <w:ind w:right="40"/>
              <w:spacing w:after="0" w:line="204" w:lineRule="exact"/>
              <w:rPr>
                <w:sz w:val="20"/>
                <w:szCs w:val="20"/>
                <w:color w:val="auto"/>
              </w:rPr>
            </w:pPr>
            <w:r>
              <w:rPr>
                <w:rFonts w:ascii="Arial" w:cs="Arial" w:eastAsia="Arial" w:hAnsi="Arial"/>
                <w:sz w:val="18"/>
                <w:szCs w:val="18"/>
                <w:color w:val="auto"/>
              </w:rPr>
              <w:t>(188)</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960" w:type="dxa"/>
            <w:vAlign w:val="bottom"/>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660" w:type="dxa"/>
            <w:vAlign w:val="bottom"/>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660" w:type="dxa"/>
            <w:vAlign w:val="bottom"/>
          </w:tcPr>
          <w:p>
            <w:pPr>
              <w:spacing w:after="0"/>
              <w:rPr>
                <w:sz w:val="2"/>
                <w:szCs w:val="2"/>
                <w:color w:val="auto"/>
              </w:rPr>
            </w:pPr>
          </w:p>
        </w:tc>
        <w:tc>
          <w:tcPr>
            <w:tcW w:w="36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30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60" w:type="dxa"/>
            <w:vAlign w:val="bottom"/>
            <w:shd w:val="clear" w:color="auto" w:fill="CCEEFF"/>
          </w:tcPr>
          <w:p>
            <w:pPr>
              <w:spacing w:after="0"/>
              <w:rPr>
                <w:sz w:val="20"/>
                <w:szCs w:val="20"/>
                <w:color w:val="auto"/>
              </w:rPr>
            </w:pPr>
            <w:r>
              <w:rPr>
                <w:rFonts w:ascii="Arial" w:cs="Arial" w:eastAsia="Arial" w:hAnsi="Arial"/>
                <w:sz w:val="18"/>
                <w:szCs w:val="18"/>
                <w:color w:val="auto"/>
              </w:rPr>
              <w:t>Balance at May 3, 2014</w:t>
            </w:r>
          </w:p>
        </w:tc>
        <w:tc>
          <w:tcPr>
            <w:tcW w:w="320" w:type="dxa"/>
            <w:vAlign w:val="bottom"/>
            <w:shd w:val="clear" w:color="auto" w:fill="CCEEFF"/>
          </w:tcPr>
          <w:p>
            <w:pPr>
              <w:jc w:val="right"/>
              <w:ind w:right="163"/>
              <w:spacing w:after="0"/>
              <w:rPr>
                <w:sz w:val="20"/>
                <w:szCs w:val="20"/>
                <w:color w:val="auto"/>
              </w:rPr>
            </w:pPr>
            <w:r>
              <w:rPr>
                <w:rFonts w:ascii="Arial" w:cs="Arial" w:eastAsia="Arial" w:hAnsi="Arial"/>
                <w:sz w:val="15"/>
                <w:szCs w:val="15"/>
                <w:color w:val="auto"/>
                <w:w w:val="71"/>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2,912</w:t>
            </w:r>
          </w:p>
        </w:tc>
        <w:tc>
          <w:tcPr>
            <w:tcW w:w="9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32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(2,694)</w:t>
            </w:r>
          </w:p>
        </w:tc>
        <w:tc>
          <w:tcPr>
            <w:tcW w:w="360" w:type="dxa"/>
            <w:vAlign w:val="bottom"/>
            <w:shd w:val="clear" w:color="auto" w:fill="CCEEFF"/>
          </w:tcPr>
          <w:p>
            <w:pPr>
              <w:jc w:val="right"/>
              <w:ind w:right="203"/>
              <w:spacing w:after="0"/>
              <w:rPr>
                <w:sz w:val="20"/>
                <w:szCs w:val="20"/>
                <w:color w:val="auto"/>
              </w:rPr>
            </w:pPr>
            <w:r>
              <w:rPr>
                <w:rFonts w:ascii="Arial" w:cs="Arial" w:eastAsia="Arial" w:hAnsi="Arial"/>
                <w:sz w:val="15"/>
                <w:szCs w:val="15"/>
                <w:color w:val="auto"/>
                <w:w w:val="71"/>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191</w:t>
            </w:r>
          </w:p>
        </w:tc>
        <w:tc>
          <w:tcPr>
            <w:tcW w:w="36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   409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960" w:type="dxa"/>
            <w:vAlign w:val="bottom"/>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91" w:lineRule="exact"/>
        <w:rPr>
          <w:sz w:val="20"/>
          <w:szCs w:val="20"/>
          <w:color w:val="auto"/>
        </w:rPr>
      </w:pPr>
    </w:p>
    <w:p>
      <w:pPr>
        <w:sectPr>
          <w:pgSz w:w="11900" w:h="16838" w:orient="portrait"/>
          <w:cols w:equalWidth="0" w:num="1">
            <w:col w:w="10960"/>
          </w:cols>
          <w:pgMar w:left="240" w:top="459" w:right="699"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Balance at February 2, 2013</w:t>
      </w:r>
    </w:p>
    <w:p>
      <w:pPr>
        <w:spacing w:after="0" w:line="23" w:lineRule="exact"/>
        <w:rPr>
          <w:sz w:val="20"/>
          <w:szCs w:val="20"/>
          <w:color w:val="auto"/>
        </w:rPr>
      </w:pPr>
    </w:p>
    <w:p>
      <w:pPr>
        <w:ind w:left="900" w:right="200"/>
        <w:spacing w:after="0" w:line="305" w:lineRule="auto"/>
        <w:rPr>
          <w:sz w:val="20"/>
          <w:szCs w:val="20"/>
          <w:color w:val="auto"/>
        </w:rPr>
      </w:pPr>
      <w:r>
        <w:rPr>
          <w:rFonts w:ascii="Arial" w:cs="Arial" w:eastAsia="Arial" w:hAnsi="Arial"/>
          <w:sz w:val="15"/>
          <w:szCs w:val="15"/>
          <w:color w:val="auto"/>
        </w:rPr>
        <w:t>Other comprehensive income before reclassifications Amounts reclassified from accumulated other</w:t>
      </w:r>
    </w:p>
    <w:p>
      <w:pPr>
        <w:ind w:left="1120"/>
        <w:spacing w:after="0"/>
        <w:rPr>
          <w:sz w:val="20"/>
          <w:szCs w:val="20"/>
          <w:color w:val="auto"/>
        </w:rPr>
      </w:pPr>
      <w:r>
        <w:rPr>
          <w:rFonts w:ascii="Arial" w:cs="Arial" w:eastAsia="Arial" w:hAnsi="Arial"/>
          <w:sz w:val="18"/>
          <w:szCs w:val="18"/>
          <w:color w:val="auto"/>
        </w:rPr>
        <w:t>comprehensive income</w:t>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560" w:type="dxa"/>
            <w:vAlign w:val="bottom"/>
            <w:gridSpan w:val="3"/>
          </w:tcPr>
          <w:p>
            <w:pPr>
              <w:jc w:val="center"/>
              <w:ind w:right="620"/>
              <w:spacing w:after="0"/>
              <w:rPr>
                <w:sz w:val="20"/>
                <w:szCs w:val="20"/>
                <w:color w:val="auto"/>
              </w:rPr>
            </w:pPr>
            <w:r>
              <w:rPr>
                <w:rFonts w:ascii="Arial" w:cs="Arial" w:eastAsia="Arial" w:hAnsi="Arial"/>
                <w:sz w:val="14"/>
                <w:szCs w:val="14"/>
                <w:b w:val="1"/>
                <w:bCs w:val="1"/>
                <w:color w:val="auto"/>
                <w:w w:val="88"/>
              </w:rPr>
              <w:t>Unrealized Gain</w:t>
            </w:r>
          </w:p>
        </w:tc>
        <w:tc>
          <w:tcPr>
            <w:tcW w:w="1580" w:type="dxa"/>
            <w:vAlign w:val="bottom"/>
            <w:gridSpan w:val="3"/>
          </w:tcPr>
          <w:p>
            <w:pPr>
              <w:jc w:val="center"/>
              <w:ind w:right="620"/>
              <w:spacing w:after="0"/>
              <w:rPr>
                <w:sz w:val="20"/>
                <w:szCs w:val="20"/>
                <w:color w:val="auto"/>
              </w:rPr>
            </w:pPr>
            <w:r>
              <w:rPr>
                <w:rFonts w:ascii="Arial" w:cs="Arial" w:eastAsia="Arial" w:hAnsi="Arial"/>
                <w:sz w:val="14"/>
                <w:szCs w:val="14"/>
                <w:b w:val="1"/>
                <w:bCs w:val="1"/>
                <w:color w:val="auto"/>
                <w:w w:val="90"/>
              </w:rPr>
              <w:t>Unrealized Gain</w:t>
            </w:r>
          </w:p>
        </w:tc>
        <w:tc>
          <w:tcPr>
            <w:tcW w:w="1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r>
      <w:tr>
        <w:trPr>
          <w:trHeight w:val="149"/>
        </w:trPr>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60" w:type="dxa"/>
            <w:vAlign w:val="bottom"/>
            <w:gridSpan w:val="2"/>
          </w:tcPr>
          <w:p>
            <w:pPr>
              <w:jc w:val="center"/>
              <w:ind w:right="740"/>
              <w:spacing w:after="0" w:line="149" w:lineRule="exact"/>
              <w:rPr>
                <w:sz w:val="20"/>
                <w:szCs w:val="20"/>
                <w:color w:val="auto"/>
              </w:rPr>
            </w:pPr>
            <w:r>
              <w:rPr>
                <w:rFonts w:ascii="Arial" w:cs="Arial" w:eastAsia="Arial" w:hAnsi="Arial"/>
                <w:sz w:val="14"/>
                <w:szCs w:val="14"/>
                <w:b w:val="1"/>
                <w:bCs w:val="1"/>
                <w:color w:val="auto"/>
                <w:w w:val="82"/>
              </w:rPr>
              <w:t>(Loss) on</w:t>
            </w:r>
          </w:p>
        </w:tc>
        <w:tc>
          <w:tcPr>
            <w:tcW w:w="100" w:type="dxa"/>
            <w:vAlign w:val="bottom"/>
          </w:tcPr>
          <w:p>
            <w:pPr>
              <w:spacing w:after="0"/>
              <w:rPr>
                <w:sz w:val="12"/>
                <w:szCs w:val="12"/>
                <w:color w:val="auto"/>
              </w:rPr>
            </w:pPr>
          </w:p>
        </w:tc>
        <w:tc>
          <w:tcPr>
            <w:tcW w:w="1480" w:type="dxa"/>
            <w:vAlign w:val="bottom"/>
            <w:gridSpan w:val="2"/>
          </w:tcPr>
          <w:p>
            <w:pPr>
              <w:jc w:val="center"/>
              <w:ind w:right="720"/>
              <w:spacing w:after="0" w:line="149" w:lineRule="exact"/>
              <w:rPr>
                <w:sz w:val="20"/>
                <w:szCs w:val="20"/>
                <w:color w:val="auto"/>
              </w:rPr>
            </w:pPr>
            <w:r>
              <w:rPr>
                <w:rFonts w:ascii="Arial" w:cs="Arial" w:eastAsia="Arial" w:hAnsi="Arial"/>
                <w:sz w:val="14"/>
                <w:szCs w:val="14"/>
                <w:b w:val="1"/>
                <w:bCs w:val="1"/>
                <w:color w:val="auto"/>
                <w:w w:val="82"/>
              </w:rPr>
              <w:t>(Loss) on</w:t>
            </w:r>
          </w:p>
        </w:tc>
        <w:tc>
          <w:tcPr>
            <w:tcW w:w="1300" w:type="dxa"/>
            <w:vAlign w:val="bottom"/>
            <w:gridSpan w:val="3"/>
          </w:tcPr>
          <w:p>
            <w:pPr>
              <w:jc w:val="center"/>
              <w:ind w:right="340"/>
              <w:spacing w:after="0" w:line="149" w:lineRule="exact"/>
              <w:rPr>
                <w:sz w:val="20"/>
                <w:szCs w:val="20"/>
                <w:color w:val="auto"/>
              </w:rPr>
            </w:pPr>
            <w:r>
              <w:rPr>
                <w:rFonts w:ascii="Arial" w:cs="Arial" w:eastAsia="Arial" w:hAnsi="Arial"/>
                <w:sz w:val="14"/>
                <w:szCs w:val="14"/>
                <w:b w:val="1"/>
                <w:bCs w:val="1"/>
                <w:color w:val="auto"/>
                <w:w w:val="90"/>
              </w:rPr>
              <w:t>Unrealized Gain</w:t>
            </w:r>
          </w:p>
        </w:tc>
        <w:tc>
          <w:tcPr>
            <w:tcW w:w="2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49"/>
        </w:trPr>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60" w:type="dxa"/>
            <w:vAlign w:val="bottom"/>
            <w:gridSpan w:val="2"/>
          </w:tcPr>
          <w:p>
            <w:pPr>
              <w:jc w:val="center"/>
              <w:ind w:right="740"/>
              <w:spacing w:after="0" w:line="149" w:lineRule="exact"/>
              <w:rPr>
                <w:sz w:val="20"/>
                <w:szCs w:val="20"/>
                <w:color w:val="auto"/>
              </w:rPr>
            </w:pPr>
            <w:r>
              <w:rPr>
                <w:rFonts w:ascii="Arial" w:cs="Arial" w:eastAsia="Arial" w:hAnsi="Arial"/>
                <w:sz w:val="14"/>
                <w:szCs w:val="14"/>
                <w:b w:val="1"/>
                <w:bCs w:val="1"/>
                <w:color w:val="auto"/>
                <w:w w:val="92"/>
              </w:rPr>
              <w:t>Marketable</w:t>
            </w:r>
          </w:p>
        </w:tc>
        <w:tc>
          <w:tcPr>
            <w:tcW w:w="100" w:type="dxa"/>
            <w:vAlign w:val="bottom"/>
          </w:tcPr>
          <w:p>
            <w:pPr>
              <w:spacing w:after="0"/>
              <w:rPr>
                <w:sz w:val="12"/>
                <w:szCs w:val="12"/>
                <w:color w:val="auto"/>
              </w:rPr>
            </w:pPr>
          </w:p>
        </w:tc>
        <w:tc>
          <w:tcPr>
            <w:tcW w:w="1480" w:type="dxa"/>
            <w:vAlign w:val="bottom"/>
            <w:gridSpan w:val="2"/>
          </w:tcPr>
          <w:p>
            <w:pPr>
              <w:jc w:val="center"/>
              <w:ind w:right="720"/>
              <w:spacing w:after="0" w:line="149" w:lineRule="exact"/>
              <w:rPr>
                <w:sz w:val="20"/>
                <w:szCs w:val="20"/>
                <w:color w:val="auto"/>
              </w:rPr>
            </w:pPr>
            <w:r>
              <w:rPr>
                <w:rFonts w:ascii="Arial" w:cs="Arial" w:eastAsia="Arial" w:hAnsi="Arial"/>
                <w:sz w:val="14"/>
                <w:szCs w:val="14"/>
                <w:b w:val="1"/>
                <w:bCs w:val="1"/>
                <w:color w:val="auto"/>
                <w:w w:val="87"/>
              </w:rPr>
              <w:t>Auction Rate</w:t>
            </w:r>
          </w:p>
        </w:tc>
        <w:tc>
          <w:tcPr>
            <w:tcW w:w="1300" w:type="dxa"/>
            <w:vAlign w:val="bottom"/>
            <w:gridSpan w:val="3"/>
          </w:tcPr>
          <w:p>
            <w:pPr>
              <w:jc w:val="center"/>
              <w:ind w:right="340"/>
              <w:spacing w:after="0" w:line="149" w:lineRule="exact"/>
              <w:rPr>
                <w:sz w:val="20"/>
                <w:szCs w:val="20"/>
                <w:color w:val="auto"/>
              </w:rPr>
            </w:pPr>
            <w:r>
              <w:rPr>
                <w:rFonts w:ascii="Arial" w:cs="Arial" w:eastAsia="Arial" w:hAnsi="Arial"/>
                <w:sz w:val="14"/>
                <w:szCs w:val="14"/>
                <w:b w:val="1"/>
                <w:bCs w:val="1"/>
                <w:color w:val="auto"/>
                <w:w w:val="83"/>
              </w:rPr>
              <w:t>(Loss) on Cash</w:t>
            </w:r>
          </w:p>
        </w:tc>
        <w:tc>
          <w:tcPr>
            <w:tcW w:w="2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6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60" w:type="dxa"/>
            <w:vAlign w:val="bottom"/>
            <w:gridSpan w:val="2"/>
          </w:tcPr>
          <w:p>
            <w:pPr>
              <w:jc w:val="center"/>
              <w:ind w:right="740"/>
              <w:spacing w:after="0"/>
              <w:rPr>
                <w:sz w:val="20"/>
                <w:szCs w:val="20"/>
                <w:color w:val="auto"/>
              </w:rPr>
            </w:pPr>
            <w:r>
              <w:rPr>
                <w:rFonts w:ascii="Arial" w:cs="Arial" w:eastAsia="Arial" w:hAnsi="Arial"/>
                <w:sz w:val="14"/>
                <w:szCs w:val="14"/>
                <w:b w:val="1"/>
                <w:bCs w:val="1"/>
                <w:color w:val="auto"/>
                <w:w w:val="83"/>
              </w:rPr>
              <w:t>Securities</w:t>
            </w:r>
          </w:p>
        </w:tc>
        <w:tc>
          <w:tcPr>
            <w:tcW w:w="100" w:type="dxa"/>
            <w:vAlign w:val="bottom"/>
          </w:tcPr>
          <w:p>
            <w:pPr>
              <w:spacing w:after="0"/>
              <w:rPr>
                <w:sz w:val="14"/>
                <w:szCs w:val="14"/>
                <w:color w:val="auto"/>
              </w:rPr>
            </w:pPr>
          </w:p>
        </w:tc>
        <w:tc>
          <w:tcPr>
            <w:tcW w:w="1480" w:type="dxa"/>
            <w:vAlign w:val="bottom"/>
            <w:gridSpan w:val="2"/>
          </w:tcPr>
          <w:p>
            <w:pPr>
              <w:jc w:val="center"/>
              <w:ind w:right="720"/>
              <w:spacing w:after="0"/>
              <w:rPr>
                <w:sz w:val="20"/>
                <w:szCs w:val="20"/>
                <w:color w:val="auto"/>
              </w:rPr>
            </w:pPr>
            <w:r>
              <w:rPr>
                <w:rFonts w:ascii="Arial" w:cs="Arial" w:eastAsia="Arial" w:hAnsi="Arial"/>
                <w:sz w:val="14"/>
                <w:szCs w:val="14"/>
                <w:b w:val="1"/>
                <w:bCs w:val="1"/>
                <w:color w:val="auto"/>
                <w:w w:val="83"/>
              </w:rPr>
              <w:t>Securities</w:t>
            </w:r>
          </w:p>
        </w:tc>
        <w:tc>
          <w:tcPr>
            <w:tcW w:w="100" w:type="dxa"/>
            <w:vAlign w:val="bottom"/>
          </w:tcPr>
          <w:p>
            <w:pPr>
              <w:spacing w:after="0"/>
              <w:rPr>
                <w:sz w:val="14"/>
                <w:szCs w:val="14"/>
                <w:color w:val="auto"/>
              </w:rPr>
            </w:pPr>
          </w:p>
        </w:tc>
        <w:tc>
          <w:tcPr>
            <w:tcW w:w="120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85"/>
              </w:rPr>
              <w:t>Flow Hedges</w:t>
            </w:r>
          </w:p>
        </w:tc>
        <w:tc>
          <w:tcPr>
            <w:tcW w:w="280" w:type="dxa"/>
            <w:vAlign w:val="bottom"/>
          </w:tcPr>
          <w:p>
            <w:pPr>
              <w:spacing w:after="0"/>
              <w:rPr>
                <w:sz w:val="14"/>
                <w:szCs w:val="14"/>
                <w:color w:val="auto"/>
              </w:rPr>
            </w:pPr>
          </w:p>
        </w:tc>
        <w:tc>
          <w:tcPr>
            <w:tcW w:w="62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rPr>
              <w:t>Total</w:t>
            </w:r>
          </w:p>
        </w:tc>
      </w:tr>
      <w:tr>
        <w:trPr>
          <w:trHeight w:val="201"/>
        </w:trPr>
        <w:tc>
          <w:tcPr>
            <w:tcW w:w="20" w:type="dxa"/>
            <w:vAlign w:val="bottom"/>
          </w:tcPr>
          <w:p>
            <w:pPr>
              <w:spacing w:after="0"/>
              <w:rPr>
                <w:sz w:val="17"/>
                <w:szCs w:val="17"/>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84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2,742</w:t>
            </w:r>
          </w:p>
        </w:tc>
        <w:tc>
          <w:tcPr>
            <w:tcW w:w="620" w:type="dxa"/>
            <w:vAlign w:val="bottom"/>
          </w:tcPr>
          <w:p>
            <w:pPr>
              <w:spacing w:after="0"/>
              <w:rPr>
                <w:sz w:val="17"/>
                <w:szCs w:val="17"/>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(2,681)</w:t>
            </w:r>
          </w:p>
        </w:tc>
        <w:tc>
          <w:tcPr>
            <w:tcW w:w="620" w:type="dxa"/>
            <w:vAlign w:val="bottom"/>
          </w:tcPr>
          <w:p>
            <w:pPr>
              <w:spacing w:after="0"/>
              <w:rPr>
                <w:sz w:val="17"/>
                <w:szCs w:val="17"/>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1,087</w:t>
            </w:r>
          </w:p>
        </w:tc>
        <w:tc>
          <w:tcPr>
            <w:tcW w:w="34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5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w w:val="89"/>
              </w:rPr>
              <w:t>$ 1,148</w:t>
            </w:r>
          </w:p>
        </w:tc>
        <w:tc>
          <w:tcPr>
            <w:tcW w:w="60" w:type="dxa"/>
            <w:vAlign w:val="bottom"/>
          </w:tcPr>
          <w:p>
            <w:pPr>
              <w:spacing w:after="0"/>
              <w:rPr>
                <w:sz w:val="17"/>
                <w:szCs w:val="17"/>
                <w:color w:val="auto"/>
              </w:rPr>
            </w:pPr>
          </w:p>
        </w:tc>
      </w:tr>
      <w:tr>
        <w:trPr>
          <w:trHeight w:val="222"/>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60" w:type="dxa"/>
            <w:vAlign w:val="bottom"/>
            <w:gridSpan w:val="2"/>
          </w:tcPr>
          <w:p>
            <w:pPr>
              <w:jc w:val="right"/>
              <w:ind w:right="620"/>
              <w:spacing w:after="0"/>
              <w:rPr>
                <w:sz w:val="20"/>
                <w:szCs w:val="20"/>
                <w:color w:val="auto"/>
              </w:rPr>
            </w:pPr>
            <w:r>
              <w:rPr>
                <w:rFonts w:ascii="Arial" w:cs="Arial" w:eastAsia="Arial" w:hAnsi="Arial"/>
                <w:sz w:val="18"/>
                <w:szCs w:val="18"/>
                <w:color w:val="auto"/>
              </w:rPr>
              <w:t>1,428</w:t>
            </w:r>
          </w:p>
        </w:tc>
        <w:tc>
          <w:tcPr>
            <w:tcW w:w="10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81</w:t>
            </w:r>
          </w:p>
        </w:tc>
        <w:tc>
          <w:tcPr>
            <w:tcW w:w="6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0" w:type="dxa"/>
            <w:vAlign w:val="bottom"/>
            <w:gridSpan w:val="2"/>
          </w:tcPr>
          <w:p>
            <w:pPr>
              <w:jc w:val="right"/>
              <w:ind w:right="340"/>
              <w:spacing w:after="0"/>
              <w:rPr>
                <w:sz w:val="20"/>
                <w:szCs w:val="20"/>
                <w:color w:val="auto"/>
              </w:rPr>
            </w:pPr>
            <w:r>
              <w:rPr>
                <w:rFonts w:ascii="Arial" w:cs="Arial" w:eastAsia="Arial" w:hAnsi="Arial"/>
                <w:sz w:val="18"/>
                <w:szCs w:val="18"/>
                <w:color w:val="auto"/>
              </w:rPr>
              <w:t>991</w:t>
            </w:r>
          </w:p>
        </w:tc>
        <w:tc>
          <w:tcPr>
            <w:tcW w:w="900" w:type="dxa"/>
            <w:vAlign w:val="bottom"/>
            <w:gridSpan w:val="3"/>
          </w:tcPr>
          <w:p>
            <w:pPr>
              <w:jc w:val="right"/>
              <w:ind w:right="60"/>
              <w:spacing w:after="0"/>
              <w:rPr>
                <w:sz w:val="20"/>
                <w:szCs w:val="20"/>
                <w:color w:val="auto"/>
              </w:rPr>
            </w:pPr>
            <w:r>
              <w:rPr>
                <w:rFonts w:ascii="Arial" w:cs="Arial" w:eastAsia="Arial" w:hAnsi="Arial"/>
                <w:sz w:val="18"/>
                <w:szCs w:val="18"/>
                <w:color w:val="auto"/>
              </w:rPr>
              <w:t>2,500</w:t>
            </w:r>
          </w:p>
        </w:tc>
      </w:tr>
      <w:tr>
        <w:trPr>
          <w:trHeight w:val="43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60" w:type="dxa"/>
            <w:vAlign w:val="bottom"/>
            <w:gridSpan w:val="2"/>
          </w:tcPr>
          <w:p>
            <w:pPr>
              <w:jc w:val="right"/>
              <w:ind w:right="560"/>
              <w:spacing w:after="0"/>
              <w:rPr>
                <w:sz w:val="20"/>
                <w:szCs w:val="20"/>
                <w:color w:val="auto"/>
              </w:rPr>
            </w:pPr>
            <w:r>
              <w:rPr>
                <w:rFonts w:ascii="Arial" w:cs="Arial" w:eastAsia="Arial" w:hAnsi="Arial"/>
                <w:sz w:val="18"/>
                <w:szCs w:val="18"/>
                <w:color w:val="auto"/>
              </w:rPr>
              <w:t>(376)</w:t>
            </w:r>
          </w:p>
        </w:tc>
        <w:tc>
          <w:tcPr>
            <w:tcW w:w="100" w:type="dxa"/>
            <w:vAlign w:val="bottom"/>
          </w:tcPr>
          <w:p>
            <w:pPr>
              <w:spacing w:after="0"/>
              <w:rPr>
                <w:sz w:val="24"/>
                <w:szCs w:val="24"/>
                <w:color w:val="auto"/>
              </w:rPr>
            </w:pPr>
          </w:p>
        </w:tc>
        <w:tc>
          <w:tcPr>
            <w:tcW w:w="1480" w:type="dxa"/>
            <w:vAlign w:val="bottom"/>
            <w:gridSpan w:val="2"/>
          </w:tcPr>
          <w:p>
            <w:pPr>
              <w:ind w:left="6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4"/>
                <w:szCs w:val="24"/>
                <w:color w:val="auto"/>
              </w:rPr>
            </w:pPr>
          </w:p>
        </w:tc>
        <w:tc>
          <w:tcPr>
            <w:tcW w:w="1200" w:type="dxa"/>
            <w:vAlign w:val="bottom"/>
            <w:gridSpan w:val="2"/>
          </w:tcPr>
          <w:p>
            <w:pPr>
              <w:jc w:val="right"/>
              <w:ind w:right="280"/>
              <w:spacing w:after="0"/>
              <w:rPr>
                <w:sz w:val="20"/>
                <w:szCs w:val="20"/>
                <w:color w:val="auto"/>
              </w:rPr>
            </w:pPr>
            <w:r>
              <w:rPr>
                <w:rFonts w:ascii="Arial" w:cs="Arial" w:eastAsia="Arial" w:hAnsi="Arial"/>
                <w:sz w:val="18"/>
                <w:szCs w:val="18"/>
                <w:color w:val="auto"/>
              </w:rPr>
              <w:t>(1,096)</w:t>
            </w:r>
          </w:p>
        </w:tc>
        <w:tc>
          <w:tcPr>
            <w:tcW w:w="900" w:type="dxa"/>
            <w:vAlign w:val="bottom"/>
            <w:gridSpan w:val="3"/>
          </w:tcPr>
          <w:p>
            <w:pPr>
              <w:jc w:val="right"/>
              <w:spacing w:after="0"/>
              <w:rPr>
                <w:sz w:val="20"/>
                <w:szCs w:val="20"/>
                <w:color w:val="auto"/>
              </w:rPr>
            </w:pPr>
            <w:r>
              <w:rPr>
                <w:rFonts w:ascii="Arial" w:cs="Arial" w:eastAsia="Arial" w:hAnsi="Arial"/>
                <w:sz w:val="18"/>
                <w:szCs w:val="18"/>
                <w:color w:val="auto"/>
              </w:rPr>
              <w:t>(1,472)</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-3233420</wp:posOffset>
            </wp:positionH>
            <wp:positionV relativeFrom="paragraph">
              <wp:posOffset>-555625</wp:posOffset>
            </wp:positionV>
            <wp:extent cx="6663690" cy="14605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6663690" cy="146050"/>
                    </a:xfrm>
                    <a:prstGeom prst="rect">
                      <a:avLst/>
                    </a:prstGeom>
                    <a:noFill/>
                  </pic:spPr>
                </pic:pic>
              </a:graphicData>
            </a:graphic>
          </wp:anchor>
        </w:drawing>
        <w:drawing>
          <wp:anchor simplePos="0" relativeHeight="251657728" behindDoc="1" locked="0" layoutInCell="0" allowOverlap="1">
            <wp:simplePos x="0" y="0"/>
            <wp:positionH relativeFrom="column">
              <wp:posOffset>-3233420</wp:posOffset>
            </wp:positionH>
            <wp:positionV relativeFrom="paragraph">
              <wp:posOffset>-272415</wp:posOffset>
            </wp:positionV>
            <wp:extent cx="6663690" cy="27432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6663690" cy="274320"/>
                    </a:xfrm>
                    <a:prstGeom prst="rect">
                      <a:avLst/>
                    </a:prstGeom>
                    <a:noFill/>
                  </pic:spPr>
                </pic:pic>
              </a:graphicData>
            </a:graphic>
          </wp:anchor>
        </w:drawing>
      </w:r>
    </w:p>
    <w:p>
      <w:pPr>
        <w:spacing w:after="0" w:line="20" w:lineRule="exact"/>
        <w:rPr>
          <w:sz w:val="20"/>
          <w:szCs w:val="20"/>
          <w:color w:val="auto"/>
        </w:rPr>
      </w:pPr>
    </w:p>
    <w:p>
      <w:pPr>
        <w:sectPr>
          <w:pgSz w:w="11900" w:h="16838" w:orient="portrait"/>
          <w:cols w:equalWidth="0" w:num="2">
            <w:col w:w="4840" w:space="720"/>
            <w:col w:w="5400"/>
          </w:cols>
          <w:pgMar w:left="240" w:top="459" w:right="699" w:bottom="1440" w:gutter="0" w:footer="0" w:header="0"/>
          <w:type w:val="continuous"/>
        </w:sectPr>
      </w:pPr>
    </w:p>
    <w:tbl>
      <w:tblPr>
        <w:tblLayout w:type="fixed"/>
        <w:tblInd w:w="460" w:type="dxa"/>
        <w:tblCellMar>
          <w:top w:w="0" w:type="dxa"/>
          <w:left w:w="0" w:type="dxa"/>
          <w:bottom w:w="0" w:type="dxa"/>
          <w:right w:w="0" w:type="dxa"/>
        </w:tblCellMar>
      </w:tblPr>
      <w:tr>
        <w:trPr>
          <w:trHeight w:val="20"/>
        </w:trPr>
        <w:tc>
          <w:tcPr>
            <w:tcW w:w="20" w:type="dxa"/>
            <w:vAlign w:val="bottom"/>
          </w:tcPr>
          <w:p>
            <w:pPr>
              <w:spacing w:after="0" w:line="20" w:lineRule="exact"/>
              <w:rPr>
                <w:sz w:val="1"/>
                <w:szCs w:val="1"/>
                <w:color w:val="auto"/>
              </w:rPr>
            </w:pPr>
          </w:p>
        </w:tc>
        <w:tc>
          <w:tcPr>
            <w:tcW w:w="422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4"/>
        </w:trPr>
        <w:tc>
          <w:tcPr>
            <w:tcW w:w="20" w:type="dxa"/>
            <w:vAlign w:val="bottom"/>
          </w:tcPr>
          <w:p>
            <w:pPr>
              <w:spacing w:after="0"/>
              <w:rPr>
                <w:sz w:val="17"/>
                <w:szCs w:val="17"/>
                <w:color w:val="auto"/>
              </w:rPr>
            </w:pPr>
          </w:p>
        </w:tc>
        <w:tc>
          <w:tcPr>
            <w:tcW w:w="4220" w:type="dxa"/>
            <w:vAlign w:val="bottom"/>
          </w:tcPr>
          <w:p>
            <w:pPr>
              <w:ind w:left="860"/>
              <w:spacing w:after="0" w:line="204" w:lineRule="exact"/>
              <w:rPr>
                <w:sz w:val="20"/>
                <w:szCs w:val="20"/>
                <w:color w:val="auto"/>
              </w:rPr>
            </w:pPr>
            <w:r>
              <w:rPr>
                <w:rFonts w:ascii="Arial" w:cs="Arial" w:eastAsia="Arial" w:hAnsi="Arial"/>
                <w:sz w:val="18"/>
                <w:szCs w:val="18"/>
                <w:color w:val="auto"/>
              </w:rPr>
              <w:t>Other comprehensive income (loss)</w:t>
            </w:r>
          </w:p>
        </w:tc>
        <w:tc>
          <w:tcPr>
            <w:tcW w:w="86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560" w:type="dxa"/>
            <w:vAlign w:val="bottom"/>
          </w:tcPr>
          <w:p>
            <w:pPr>
              <w:jc w:val="right"/>
              <w:spacing w:after="0" w:line="204" w:lineRule="exact"/>
              <w:rPr>
                <w:sz w:val="20"/>
                <w:szCs w:val="20"/>
                <w:color w:val="auto"/>
              </w:rPr>
            </w:pPr>
            <w:r>
              <w:rPr>
                <w:rFonts w:ascii="Arial" w:cs="Arial" w:eastAsia="Arial" w:hAnsi="Arial"/>
                <w:sz w:val="18"/>
                <w:szCs w:val="18"/>
                <w:color w:val="auto"/>
              </w:rPr>
              <w:t>1,052</w:t>
            </w:r>
          </w:p>
        </w:tc>
        <w:tc>
          <w:tcPr>
            <w:tcW w:w="6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60" w:type="dxa"/>
            <w:vAlign w:val="bottom"/>
          </w:tcPr>
          <w:p>
            <w:pPr>
              <w:jc w:val="right"/>
              <w:spacing w:after="0" w:line="204" w:lineRule="exact"/>
              <w:rPr>
                <w:sz w:val="20"/>
                <w:szCs w:val="20"/>
                <w:color w:val="auto"/>
              </w:rPr>
            </w:pPr>
            <w:r>
              <w:rPr>
                <w:rFonts w:ascii="Arial" w:cs="Arial" w:eastAsia="Arial" w:hAnsi="Arial"/>
                <w:sz w:val="18"/>
                <w:szCs w:val="18"/>
                <w:color w:val="auto"/>
              </w:rPr>
              <w:t>81</w:t>
            </w:r>
          </w:p>
        </w:tc>
        <w:tc>
          <w:tcPr>
            <w:tcW w:w="6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940" w:type="dxa"/>
            <w:vAlign w:val="bottom"/>
            <w:gridSpan w:val="2"/>
          </w:tcPr>
          <w:p>
            <w:pPr>
              <w:jc w:val="right"/>
              <w:ind w:right="280"/>
              <w:spacing w:after="0" w:line="204" w:lineRule="exact"/>
              <w:rPr>
                <w:sz w:val="20"/>
                <w:szCs w:val="20"/>
                <w:color w:val="auto"/>
              </w:rPr>
            </w:pPr>
            <w:r>
              <w:rPr>
                <w:rFonts w:ascii="Arial" w:cs="Arial" w:eastAsia="Arial" w:hAnsi="Arial"/>
                <w:sz w:val="18"/>
                <w:szCs w:val="18"/>
                <w:color w:val="auto"/>
              </w:rPr>
              <w:t>(105)</w:t>
            </w:r>
          </w:p>
        </w:tc>
        <w:tc>
          <w:tcPr>
            <w:tcW w:w="940" w:type="dxa"/>
            <w:vAlign w:val="bottom"/>
            <w:gridSpan w:val="3"/>
          </w:tcPr>
          <w:p>
            <w:pPr>
              <w:jc w:val="right"/>
              <w:ind w:right="100"/>
              <w:spacing w:after="0" w:line="204" w:lineRule="exact"/>
              <w:rPr>
                <w:sz w:val="20"/>
                <w:szCs w:val="20"/>
                <w:color w:val="auto"/>
              </w:rPr>
            </w:pPr>
            <w:r>
              <w:rPr>
                <w:rFonts w:ascii="Arial" w:cs="Arial" w:eastAsia="Arial" w:hAnsi="Arial"/>
                <w:sz w:val="18"/>
                <w:szCs w:val="18"/>
                <w:color w:val="auto"/>
              </w:rPr>
              <w:t>1,028</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220" w:type="dxa"/>
            <w:vAlign w:val="bottom"/>
          </w:tcPr>
          <w:p>
            <w:pPr>
              <w:spacing w:after="0"/>
              <w:rPr>
                <w:sz w:val="2"/>
                <w:szCs w:val="2"/>
                <w:color w:val="auto"/>
              </w:rPr>
            </w:pPr>
          </w:p>
        </w:tc>
        <w:tc>
          <w:tcPr>
            <w:tcW w:w="860" w:type="dxa"/>
            <w:vAlign w:val="bottom"/>
          </w:tcPr>
          <w:p>
            <w:pPr>
              <w:spacing w:after="0"/>
              <w:rPr>
                <w:sz w:val="2"/>
                <w:szCs w:val="2"/>
                <w:color w:val="auto"/>
              </w:rPr>
            </w:pPr>
          </w:p>
        </w:tc>
        <w:tc>
          <w:tcPr>
            <w:tcW w:w="40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620" w:type="dxa"/>
            <w:vAlign w:val="bottom"/>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620" w:type="dxa"/>
            <w:vAlign w:val="bottom"/>
          </w:tcPr>
          <w:p>
            <w:pPr>
              <w:spacing w:after="0"/>
              <w:rPr>
                <w:sz w:val="2"/>
                <w:szCs w:val="2"/>
                <w:color w:val="auto"/>
              </w:rPr>
            </w:pPr>
          </w:p>
        </w:tc>
        <w:tc>
          <w:tcPr>
            <w:tcW w:w="36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220" w:type="dxa"/>
            <w:vAlign w:val="bottom"/>
            <w:shd w:val="clear" w:color="auto" w:fill="CCEEFF"/>
          </w:tcPr>
          <w:p>
            <w:pPr>
              <w:spacing w:after="0"/>
              <w:rPr>
                <w:sz w:val="20"/>
                <w:szCs w:val="20"/>
                <w:color w:val="auto"/>
              </w:rPr>
            </w:pPr>
            <w:r>
              <w:rPr>
                <w:rFonts w:ascii="Arial" w:cs="Arial" w:eastAsia="Arial" w:hAnsi="Arial"/>
                <w:sz w:val="18"/>
                <w:szCs w:val="18"/>
                <w:color w:val="auto"/>
              </w:rPr>
              <w:t>Balance at May 4, 2013</w:t>
            </w:r>
          </w:p>
        </w:tc>
        <w:tc>
          <w:tcPr>
            <w:tcW w:w="12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3,794</w:t>
            </w:r>
          </w:p>
        </w:tc>
        <w:tc>
          <w:tcPr>
            <w:tcW w:w="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28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(2,600)</w:t>
            </w:r>
          </w:p>
        </w:tc>
        <w:tc>
          <w:tcPr>
            <w:tcW w:w="360" w:type="dxa"/>
            <w:vAlign w:val="bottom"/>
            <w:shd w:val="clear" w:color="auto" w:fill="CCEEFF"/>
          </w:tcPr>
          <w:p>
            <w:pPr>
              <w:jc w:val="right"/>
              <w:ind w:right="203"/>
              <w:spacing w:after="0"/>
              <w:rPr>
                <w:sz w:val="20"/>
                <w:szCs w:val="20"/>
                <w:color w:val="auto"/>
              </w:rPr>
            </w:pPr>
            <w:r>
              <w:rPr>
                <w:rFonts w:ascii="Arial" w:cs="Arial" w:eastAsia="Arial" w:hAnsi="Arial"/>
                <w:sz w:val="15"/>
                <w:szCs w:val="15"/>
                <w:color w:val="auto"/>
                <w:w w:val="71"/>
              </w:rPr>
              <w:t>$</w:t>
            </w:r>
          </w:p>
        </w:tc>
        <w:tc>
          <w:tcPr>
            <w:tcW w:w="9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982</w:t>
            </w:r>
          </w:p>
        </w:tc>
        <w:tc>
          <w:tcPr>
            <w:tcW w:w="94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$ 2,176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22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220" w:type="dxa"/>
            <w:vAlign w:val="bottom"/>
          </w:tcPr>
          <w:p>
            <w:pPr>
              <w:spacing w:after="0"/>
              <w:rPr>
                <w:sz w:val="24"/>
                <w:szCs w:val="24"/>
                <w:color w:val="auto"/>
              </w:rPr>
            </w:pPr>
          </w:p>
        </w:tc>
        <w:tc>
          <w:tcPr>
            <w:tcW w:w="1260" w:type="dxa"/>
            <w:vAlign w:val="bottom"/>
            <w:gridSpan w:val="2"/>
          </w:tcPr>
          <w:p>
            <w:pPr>
              <w:jc w:val="right"/>
              <w:ind w:right="160"/>
              <w:spacing w:after="0"/>
              <w:rPr>
                <w:sz w:val="20"/>
                <w:szCs w:val="20"/>
                <w:color w:val="auto"/>
              </w:rPr>
            </w:pPr>
            <w:r>
              <w:rPr>
                <w:rFonts w:ascii="Arial" w:cs="Arial" w:eastAsia="Arial" w:hAnsi="Arial"/>
                <w:sz w:val="18"/>
                <w:szCs w:val="18"/>
                <w:color w:val="auto"/>
              </w:rPr>
              <w:t>10</w:t>
            </w:r>
          </w:p>
        </w:tc>
        <w:tc>
          <w:tcPr>
            <w:tcW w:w="5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960"/>
          </w:cols>
          <w:pgMar w:left="240" w:top="459" w:right="699" w:bottom="1440" w:gutter="0" w:footer="0" w:header="0"/>
          <w:type w:val="continuous"/>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amounts reclassified from accumulated other comprehensive income by components are presented in the following table (in thousands):</w:t>
      </w:r>
    </w:p>
    <w:p>
      <w:pPr>
        <w:spacing w:after="0" w:line="230"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708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Affected Line Item in the</w:t>
            </w:r>
          </w:p>
        </w:tc>
        <w:tc>
          <w:tcPr>
            <w:tcW w:w="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380" w:type="dxa"/>
            <w:vAlign w:val="bottom"/>
            <w:tcBorders>
              <w:bottom w:val="single" w:sz="8" w:color="auto"/>
            </w:tcBorders>
            <w:gridSpan w:val="4"/>
          </w:tcPr>
          <w:p>
            <w:pPr>
              <w:jc w:val="right"/>
              <w:ind w:right="55"/>
              <w:spacing w:after="0"/>
              <w:rPr>
                <w:sz w:val="20"/>
                <w:szCs w:val="20"/>
                <w:color w:val="auto"/>
              </w:rPr>
            </w:pPr>
            <w:r>
              <w:rPr>
                <w:rFonts w:ascii="Arial" w:cs="Arial" w:eastAsia="Arial" w:hAnsi="Arial"/>
                <w:sz w:val="14"/>
                <w:szCs w:val="14"/>
                <w:b w:val="1"/>
                <w:bCs w:val="1"/>
                <w:color w:val="auto"/>
                <w:w w:val="88"/>
              </w:rPr>
              <w:t>Three Months Ended</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7080" w:type="dxa"/>
            <w:vAlign w:val="bottom"/>
            <w:gridSpan w:val="2"/>
            <w:vMerge w:val="continue"/>
          </w:tcPr>
          <w:p>
            <w:pPr>
              <w:spacing w:after="0"/>
              <w:rPr>
                <w:sz w:val="11"/>
                <w:szCs w:val="11"/>
                <w:color w:val="auto"/>
              </w:rPr>
            </w:pPr>
          </w:p>
        </w:tc>
        <w:tc>
          <w:tcPr>
            <w:tcW w:w="20" w:type="dxa"/>
            <w:vAlign w:val="bottom"/>
          </w:tcPr>
          <w:p>
            <w:pPr>
              <w:spacing w:after="0"/>
              <w:rPr>
                <w:sz w:val="11"/>
                <w:szCs w:val="11"/>
                <w:color w:val="auto"/>
              </w:rPr>
            </w:pPr>
          </w:p>
        </w:tc>
        <w:tc>
          <w:tcPr>
            <w:tcW w:w="500" w:type="dxa"/>
            <w:vAlign w:val="bottom"/>
            <w:gridSpan w:val="2"/>
          </w:tcPr>
          <w:p>
            <w:pPr>
              <w:jc w:val="right"/>
              <w:spacing w:after="0" w:line="129" w:lineRule="exact"/>
              <w:rPr>
                <w:sz w:val="20"/>
                <w:szCs w:val="20"/>
                <w:color w:val="auto"/>
              </w:rPr>
            </w:pPr>
            <w:r>
              <w:rPr>
                <w:rFonts w:ascii="Arial" w:cs="Arial" w:eastAsia="Arial" w:hAnsi="Arial"/>
                <w:sz w:val="14"/>
                <w:szCs w:val="14"/>
                <w:b w:val="1"/>
                <w:bCs w:val="1"/>
                <w:color w:val="auto"/>
                <w:w w:val="98"/>
              </w:rPr>
              <w:t>May 3,</w:t>
            </w:r>
          </w:p>
        </w:tc>
        <w:tc>
          <w:tcPr>
            <w:tcW w:w="420" w:type="dxa"/>
            <w:vAlign w:val="bottom"/>
          </w:tcPr>
          <w:p>
            <w:pPr>
              <w:spacing w:after="0"/>
              <w:rPr>
                <w:sz w:val="11"/>
                <w:szCs w:val="11"/>
                <w:color w:val="auto"/>
              </w:rPr>
            </w:pPr>
          </w:p>
        </w:tc>
        <w:tc>
          <w:tcPr>
            <w:tcW w:w="660" w:type="dxa"/>
            <w:vAlign w:val="bottom"/>
            <w:gridSpan w:val="3"/>
          </w:tcPr>
          <w:p>
            <w:pPr>
              <w:ind w:left="80"/>
              <w:spacing w:after="0" w:line="129" w:lineRule="exact"/>
              <w:rPr>
                <w:sz w:val="20"/>
                <w:szCs w:val="20"/>
                <w:color w:val="auto"/>
              </w:rPr>
            </w:pPr>
            <w:r>
              <w:rPr>
                <w:rFonts w:ascii="Arial" w:cs="Arial" w:eastAsia="Arial" w:hAnsi="Arial"/>
                <w:sz w:val="14"/>
                <w:szCs w:val="14"/>
                <w:b w:val="1"/>
                <w:bCs w:val="1"/>
                <w:color w:val="auto"/>
              </w:rPr>
              <w:t>May 4,</w:t>
            </w:r>
          </w:p>
        </w:tc>
        <w:tc>
          <w:tcPr>
            <w:tcW w:w="0" w:type="dxa"/>
            <w:vAlign w:val="bottom"/>
          </w:tcPr>
          <w:p>
            <w:pPr>
              <w:spacing w:after="0"/>
              <w:rPr>
                <w:sz w:val="1"/>
                <w:szCs w:val="1"/>
                <w:color w:val="auto"/>
              </w:rPr>
            </w:pPr>
          </w:p>
        </w:tc>
      </w:tr>
      <w:tr>
        <w:trPr>
          <w:trHeight w:val="149"/>
        </w:trPr>
        <w:tc>
          <w:tcPr>
            <w:tcW w:w="7080" w:type="dxa"/>
            <w:vAlign w:val="bottom"/>
            <w:gridSpan w:val="2"/>
          </w:tcPr>
          <w:p>
            <w:pPr>
              <w:spacing w:after="0" w:line="129" w:lineRule="exact"/>
              <w:rPr>
                <w:sz w:val="20"/>
                <w:szCs w:val="20"/>
                <w:color w:val="auto"/>
              </w:rPr>
            </w:pPr>
            <w:r>
              <w:rPr>
                <w:rFonts w:ascii="Arial" w:cs="Arial" w:eastAsia="Arial" w:hAnsi="Arial"/>
                <w:sz w:val="14"/>
                <w:szCs w:val="14"/>
                <w:b w:val="1"/>
                <w:bCs w:val="1"/>
                <w:color w:val="auto"/>
              </w:rPr>
              <w:t>Statement of Operations</w:t>
            </w: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00" w:type="dxa"/>
            <w:vAlign w:val="bottom"/>
          </w:tcPr>
          <w:p>
            <w:pPr>
              <w:jc w:val="right"/>
              <w:ind w:right="37"/>
              <w:spacing w:after="0" w:line="129" w:lineRule="exact"/>
              <w:rPr>
                <w:sz w:val="20"/>
                <w:szCs w:val="20"/>
                <w:color w:val="auto"/>
              </w:rPr>
            </w:pPr>
            <w:r>
              <w:rPr>
                <w:rFonts w:ascii="Arial" w:cs="Arial" w:eastAsia="Arial" w:hAnsi="Arial"/>
                <w:sz w:val="14"/>
                <w:szCs w:val="14"/>
                <w:b w:val="1"/>
                <w:bCs w:val="1"/>
                <w:color w:val="auto"/>
                <w:w w:val="83"/>
              </w:rPr>
              <w:t>2014</w:t>
            </w: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40" w:type="dxa"/>
            <w:vAlign w:val="bottom"/>
          </w:tcPr>
          <w:p>
            <w:pPr>
              <w:jc w:val="right"/>
              <w:ind w:right="55"/>
              <w:spacing w:after="0" w:line="129" w:lineRule="exact"/>
              <w:rPr>
                <w:sz w:val="20"/>
                <w:szCs w:val="20"/>
                <w:color w:val="auto"/>
              </w:rPr>
            </w:pPr>
            <w:r>
              <w:rPr>
                <w:rFonts w:ascii="Arial" w:cs="Arial" w:eastAsia="Arial" w:hAnsi="Arial"/>
                <w:sz w:val="14"/>
                <w:szCs w:val="14"/>
                <w:b w:val="1"/>
                <w:bCs w:val="1"/>
                <w:color w:val="auto"/>
                <w:w w:val="89"/>
              </w:rPr>
              <w:t>2013</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1580" w:type="dxa"/>
            <w:vAlign w:val="bottom"/>
            <w:tcBorders>
              <w:top w:val="single" w:sz="8" w:color="auto"/>
              <w:bottom w:val="single" w:sz="8" w:color="CCEEFF"/>
            </w:tcBorders>
          </w:tcPr>
          <w:p>
            <w:pPr>
              <w:spacing w:after="0" w:line="20" w:lineRule="exact"/>
              <w:rPr>
                <w:sz w:val="1"/>
                <w:szCs w:val="1"/>
                <w:color w:val="auto"/>
              </w:rPr>
            </w:pPr>
          </w:p>
        </w:tc>
        <w:tc>
          <w:tcPr>
            <w:tcW w:w="5500" w:type="dxa"/>
            <w:vAlign w:val="bottom"/>
            <w:tcBorders>
              <w:bottom w:val="single" w:sz="8" w:color="CCEEFF"/>
            </w:tcBorders>
          </w:tcPr>
          <w:p>
            <w:pPr>
              <w:spacing w:after="0" w:line="20" w:lineRule="exact"/>
              <w:rPr>
                <w:sz w:val="1"/>
                <w:szCs w:val="1"/>
                <w:color w:val="auto"/>
              </w:rPr>
            </w:pPr>
          </w:p>
        </w:tc>
        <w:tc>
          <w:tcPr>
            <w:tcW w:w="2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420" w:type="dxa"/>
            <w:vAlign w:val="bottom"/>
            <w:tcBorders>
              <w:bottom w:val="single" w:sz="8" w:color="CCEEFF"/>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3"/>
        </w:trPr>
        <w:tc>
          <w:tcPr>
            <w:tcW w:w="7080" w:type="dxa"/>
            <w:vAlign w:val="bottom"/>
            <w:gridSpan w:val="2"/>
            <w:shd w:val="clear" w:color="auto" w:fill="CCEEFF"/>
          </w:tcPr>
          <w:p>
            <w:pPr>
              <w:spacing w:after="0" w:line="183" w:lineRule="exact"/>
              <w:rPr>
                <w:sz w:val="20"/>
                <w:szCs w:val="20"/>
                <w:color w:val="auto"/>
              </w:rPr>
            </w:pPr>
            <w:r>
              <w:rPr>
                <w:rFonts w:ascii="Arial" w:cs="Arial" w:eastAsia="Arial" w:hAnsi="Arial"/>
                <w:sz w:val="18"/>
                <w:szCs w:val="18"/>
                <w:color w:val="auto"/>
              </w:rPr>
              <w:t>Available-for-sale securities:</w:t>
            </w:r>
          </w:p>
        </w:tc>
        <w:tc>
          <w:tcPr>
            <w:tcW w:w="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400" w:type="dxa"/>
            <w:vAlign w:val="bottom"/>
            <w:shd w:val="clear" w:color="auto" w:fill="CCEEFF"/>
          </w:tcPr>
          <w:p>
            <w:pPr>
              <w:spacing w:after="0"/>
              <w:rPr>
                <w:sz w:val="15"/>
                <w:szCs w:val="15"/>
                <w:color w:val="auto"/>
              </w:rPr>
            </w:pPr>
          </w:p>
        </w:tc>
        <w:tc>
          <w:tcPr>
            <w:tcW w:w="42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4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16"/>
        </w:trPr>
        <w:tc>
          <w:tcPr>
            <w:tcW w:w="7080" w:type="dxa"/>
            <w:vAlign w:val="bottom"/>
            <w:gridSpan w:val="2"/>
          </w:tcPr>
          <w:p>
            <w:pPr>
              <w:ind w:left="440"/>
              <w:spacing w:after="0"/>
              <w:rPr>
                <w:sz w:val="20"/>
                <w:szCs w:val="20"/>
                <w:color w:val="auto"/>
              </w:rPr>
            </w:pPr>
            <w:r>
              <w:rPr>
                <w:rFonts w:ascii="Arial" w:cs="Arial" w:eastAsia="Arial" w:hAnsi="Arial"/>
                <w:sz w:val="18"/>
                <w:szCs w:val="18"/>
                <w:color w:val="auto"/>
              </w:rPr>
              <w:t>Interest and other income, net</w:t>
            </w:r>
          </w:p>
        </w:tc>
        <w:tc>
          <w:tcPr>
            <w:tcW w:w="120" w:type="dxa"/>
            <w:vAlign w:val="bottom"/>
            <w:gridSpan w:val="2"/>
          </w:tcPr>
          <w:p>
            <w:pPr>
              <w:jc w:val="right"/>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rPr>
              <w:t>420</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40" w:type="dxa"/>
            <w:vAlign w:val="bottom"/>
          </w:tcPr>
          <w:p>
            <w:pPr>
              <w:jc w:val="right"/>
              <w:spacing w:after="0"/>
              <w:rPr>
                <w:sz w:val="20"/>
                <w:szCs w:val="20"/>
                <w:color w:val="auto"/>
              </w:rPr>
            </w:pPr>
            <w:r>
              <w:rPr>
                <w:rFonts w:ascii="Arial" w:cs="Arial" w:eastAsia="Arial" w:hAnsi="Arial"/>
                <w:sz w:val="18"/>
                <w:szCs w:val="18"/>
                <w:color w:val="auto"/>
              </w:rPr>
              <w:t>376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flow hedges:</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80" w:type="dxa"/>
            <w:vAlign w:val="bottom"/>
            <w:gridSpan w:val="2"/>
          </w:tcPr>
          <w:p>
            <w:pPr>
              <w:ind w:left="440"/>
              <w:spacing w:after="0"/>
              <w:rPr>
                <w:sz w:val="20"/>
                <w:szCs w:val="20"/>
                <w:color w:val="auto"/>
              </w:rPr>
            </w:pPr>
            <w:r>
              <w:rPr>
                <w:rFonts w:ascii="Arial" w:cs="Arial" w:eastAsia="Arial" w:hAnsi="Arial"/>
                <w:sz w:val="18"/>
                <w:szCs w:val="18"/>
                <w:color w:val="auto"/>
              </w:rPr>
              <w:t>Cost of goods sold</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46</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rPr>
              <w:t>61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Research and development</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675</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80" w:type="dxa"/>
            <w:vAlign w:val="bottom"/>
            <w:gridSpan w:val="2"/>
          </w:tcPr>
          <w:p>
            <w:pPr>
              <w:ind w:left="440"/>
              <w:spacing w:after="0"/>
              <w:rPr>
                <w:sz w:val="20"/>
                <w:szCs w:val="20"/>
                <w:color w:val="auto"/>
              </w:rPr>
            </w:pPr>
            <w:r>
              <w:rPr>
                <w:rFonts w:ascii="Arial" w:cs="Arial" w:eastAsia="Arial" w:hAnsi="Arial"/>
                <w:sz w:val="18"/>
                <w:szCs w:val="18"/>
                <w:color w:val="auto"/>
              </w:rPr>
              <w:t>Selling and marketing</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62</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rPr>
              <w:t>82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08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General and administrative</w:t>
            </w:r>
          </w:p>
        </w:tc>
        <w:tc>
          <w:tcPr>
            <w:tcW w:w="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4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w:t>
            </w:r>
          </w:p>
        </w:tc>
        <w:tc>
          <w:tcPr>
            <w:tcW w:w="4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4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7080" w:type="dxa"/>
            <w:vAlign w:val="bottom"/>
            <w:gridSpan w:val="2"/>
          </w:tcPr>
          <w:p>
            <w:pPr>
              <w:spacing w:after="0"/>
              <w:rPr>
                <w:sz w:val="20"/>
                <w:szCs w:val="20"/>
                <w:color w:val="auto"/>
              </w:rPr>
            </w:pPr>
            <w:r>
              <w:rPr>
                <w:rFonts w:ascii="Arial" w:cs="Arial" w:eastAsia="Arial" w:hAnsi="Arial"/>
                <w:sz w:val="18"/>
                <w:szCs w:val="18"/>
                <w:color w:val="auto"/>
              </w:rPr>
              <w:t>Total</w:t>
            </w:r>
          </w:p>
        </w:tc>
        <w:tc>
          <w:tcPr>
            <w:tcW w:w="120" w:type="dxa"/>
            <w:vAlign w:val="bottom"/>
            <w:gridSpan w:val="2"/>
          </w:tcPr>
          <w:p>
            <w:pPr>
              <w:jc w:val="right"/>
              <w:spacing w:after="0"/>
              <w:rPr>
                <w:sz w:val="20"/>
                <w:szCs w:val="20"/>
                <w:color w:val="auto"/>
              </w:rPr>
            </w:pPr>
            <w:r>
              <w:rPr>
                <w:rFonts w:ascii="Arial" w:cs="Arial" w:eastAsia="Arial" w:hAnsi="Arial"/>
                <w:sz w:val="18"/>
                <w:szCs w:val="18"/>
                <w:color w:val="auto"/>
                <w:w w:val="79"/>
              </w:rPr>
              <w:t>$</w:t>
            </w: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1,205</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1,472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1580" w:type="dxa"/>
            <w:vAlign w:val="bottom"/>
          </w:tcPr>
          <w:p>
            <w:pPr>
              <w:spacing w:after="0" w:line="20" w:lineRule="exact"/>
              <w:rPr>
                <w:sz w:val="1"/>
                <w:szCs w:val="1"/>
                <w:color w:val="auto"/>
              </w:rPr>
            </w:pPr>
          </w:p>
        </w:tc>
        <w:tc>
          <w:tcPr>
            <w:tcW w:w="550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Net income per share</w:t>
      </w:r>
    </w:p>
    <w:p>
      <w:pPr>
        <w:spacing w:after="0" w:line="96" w:lineRule="exact"/>
        <w:rPr>
          <w:sz w:val="20"/>
          <w:szCs w:val="20"/>
          <w:color w:val="auto"/>
        </w:rPr>
      </w:pPr>
    </w:p>
    <w:p>
      <w:pPr>
        <w:ind w:right="200" w:firstLine="456"/>
        <w:spacing w:after="0" w:line="306" w:lineRule="auto"/>
        <w:rPr>
          <w:sz w:val="20"/>
          <w:szCs w:val="20"/>
          <w:color w:val="auto"/>
        </w:rPr>
      </w:pPr>
      <w:r>
        <w:rPr>
          <w:rFonts w:ascii="Arial" w:cs="Arial" w:eastAsia="Arial" w:hAnsi="Arial"/>
          <w:sz w:val="16"/>
          <w:szCs w:val="16"/>
          <w:color w:val="auto"/>
        </w:rPr>
        <w:t>The Company reports both basic net income per share, which is based on the weighted average number of common shares outstanding, and diluted net income per share, which is based on the weighted average number of common shares outstanding and potentially dilutive common shares. The computations of basic and diluted net income per share are presented in the following table (in thousands, except per share amounts):</w:t>
      </w:r>
    </w:p>
    <w:p>
      <w:pPr>
        <w:spacing w:after="0" w:line="143"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556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760" w:type="dxa"/>
            <w:vAlign w:val="bottom"/>
            <w:gridSpan w:val="7"/>
          </w:tcPr>
          <w:p>
            <w:pPr>
              <w:ind w:left="12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55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3"/>
          </w:tcPr>
          <w:p>
            <w:pPr>
              <w:jc w:val="right"/>
              <w:ind w:right="240"/>
              <w:spacing w:after="0" w:line="129" w:lineRule="exact"/>
              <w:rPr>
                <w:sz w:val="20"/>
                <w:szCs w:val="20"/>
                <w:color w:val="auto"/>
              </w:rPr>
            </w:pPr>
            <w:r>
              <w:rPr>
                <w:rFonts w:ascii="Arial" w:cs="Arial" w:eastAsia="Arial" w:hAnsi="Arial"/>
                <w:sz w:val="14"/>
                <w:szCs w:val="14"/>
                <w:b w:val="1"/>
                <w:bCs w:val="1"/>
                <w:color w:val="auto"/>
                <w:w w:val="98"/>
              </w:rPr>
              <w:t>May 3,</w:t>
            </w:r>
          </w:p>
        </w:tc>
        <w:tc>
          <w:tcPr>
            <w:tcW w:w="4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gridSpan w:val="2"/>
          </w:tcPr>
          <w:p>
            <w:pPr>
              <w:jc w:val="right"/>
              <w:ind w:right="59"/>
              <w:spacing w:after="0" w:line="129" w:lineRule="exact"/>
              <w:rPr>
                <w:sz w:val="20"/>
                <w:szCs w:val="20"/>
                <w:color w:val="auto"/>
              </w:rPr>
            </w:pPr>
            <w:r>
              <w:rPr>
                <w:rFonts w:ascii="Arial" w:cs="Arial" w:eastAsia="Arial" w:hAnsi="Arial"/>
                <w:sz w:val="14"/>
                <w:szCs w:val="14"/>
                <w:b w:val="1"/>
                <w:bCs w:val="1"/>
                <w:color w:val="auto"/>
                <w:w w:val="98"/>
              </w:rPr>
              <w:t>May 4,</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560" w:type="dxa"/>
            <w:vAlign w:val="bottom"/>
            <w:tcBorders>
              <w:bottom w:val="single" w:sz="8" w:color="CCEEFF"/>
            </w:tcBorders>
          </w:tcPr>
          <w:p>
            <w:pPr>
              <w:spacing w:after="0"/>
              <w:rPr>
                <w:sz w:val="14"/>
                <w:szCs w:val="14"/>
                <w:color w:val="auto"/>
              </w:rPr>
            </w:pPr>
          </w:p>
        </w:tc>
        <w:tc>
          <w:tcPr>
            <w:tcW w:w="11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gridSpan w:val="2"/>
          </w:tcPr>
          <w:p>
            <w:pPr>
              <w:jc w:val="right"/>
              <w:ind w:right="132"/>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c>
          <w:tcPr>
            <w:tcW w:w="4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w w:val="89"/>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556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Numerator:</w:t>
            </w:r>
          </w:p>
        </w:tc>
        <w:tc>
          <w:tcPr>
            <w:tcW w:w="11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4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560" w:type="dxa"/>
            <w:vAlign w:val="bottom"/>
          </w:tcPr>
          <w:p>
            <w:pPr>
              <w:ind w:left="860"/>
              <w:spacing w:after="0"/>
              <w:rPr>
                <w:sz w:val="20"/>
                <w:szCs w:val="20"/>
                <w:color w:val="auto"/>
              </w:rPr>
            </w:pPr>
            <w:r>
              <w:rPr>
                <w:rFonts w:ascii="Arial" w:cs="Arial" w:eastAsia="Arial" w:hAnsi="Arial"/>
                <w:sz w:val="18"/>
                <w:szCs w:val="18"/>
                <w:color w:val="auto"/>
              </w:rPr>
              <w:t>Net income</w:t>
            </w:r>
          </w:p>
        </w:tc>
        <w:tc>
          <w:tcPr>
            <w:tcW w:w="1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99,479</w:t>
            </w:r>
          </w:p>
        </w:tc>
        <w:tc>
          <w:tcPr>
            <w:tcW w:w="100" w:type="dxa"/>
            <w:vAlign w:val="bottom"/>
          </w:tcPr>
          <w:p>
            <w:pPr>
              <w:spacing w:after="0"/>
              <w:rPr>
                <w:sz w:val="18"/>
                <w:szCs w:val="18"/>
                <w:color w:val="auto"/>
              </w:rPr>
            </w:pPr>
          </w:p>
        </w:tc>
        <w:tc>
          <w:tcPr>
            <w:tcW w:w="5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53,209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56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560" w:type="dxa"/>
            <w:vAlign w:val="bottom"/>
            <w:shd w:val="clear" w:color="auto" w:fill="CCEEFF"/>
          </w:tcPr>
          <w:p>
            <w:pPr>
              <w:spacing w:after="0"/>
              <w:rPr>
                <w:sz w:val="20"/>
                <w:szCs w:val="20"/>
                <w:color w:val="auto"/>
              </w:rPr>
            </w:pPr>
            <w:r>
              <w:rPr>
                <w:rFonts w:ascii="Arial" w:cs="Arial" w:eastAsia="Arial" w:hAnsi="Arial"/>
                <w:sz w:val="18"/>
                <w:szCs w:val="18"/>
                <w:color w:val="auto"/>
              </w:rPr>
              <w:t>Denominator:</w:t>
            </w:r>
          </w:p>
        </w:tc>
        <w:tc>
          <w:tcPr>
            <w:tcW w:w="1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60" w:type="dxa"/>
            <w:vAlign w:val="bottom"/>
          </w:tcPr>
          <w:p>
            <w:pPr>
              <w:ind w:left="440"/>
              <w:spacing w:after="0"/>
              <w:rPr>
                <w:sz w:val="20"/>
                <w:szCs w:val="20"/>
                <w:color w:val="auto"/>
              </w:rPr>
            </w:pPr>
            <w:r>
              <w:rPr>
                <w:rFonts w:ascii="Arial" w:cs="Arial" w:eastAsia="Arial" w:hAnsi="Arial"/>
                <w:sz w:val="18"/>
                <w:szCs w:val="18"/>
                <w:color w:val="auto"/>
              </w:rPr>
              <w:t>Weighted average shares — basic</w:t>
            </w:r>
          </w:p>
        </w:tc>
        <w:tc>
          <w:tcPr>
            <w:tcW w:w="1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gridSpan w:val="2"/>
          </w:tcPr>
          <w:p>
            <w:pPr>
              <w:jc w:val="right"/>
              <w:spacing w:after="0"/>
              <w:rPr>
                <w:sz w:val="20"/>
                <w:szCs w:val="20"/>
                <w:color w:val="auto"/>
              </w:rPr>
            </w:pPr>
            <w:r>
              <w:rPr>
                <w:rFonts w:ascii="Arial" w:cs="Arial" w:eastAsia="Arial" w:hAnsi="Arial"/>
                <w:sz w:val="18"/>
                <w:szCs w:val="18"/>
                <w:color w:val="auto"/>
                <w:w w:val="86"/>
              </w:rPr>
              <w:t>505,105</w:t>
            </w:r>
          </w:p>
        </w:tc>
        <w:tc>
          <w:tcPr>
            <w:tcW w:w="100" w:type="dxa"/>
            <w:vAlign w:val="bottom"/>
          </w:tcPr>
          <w:p>
            <w:pPr>
              <w:spacing w:after="0"/>
              <w:rPr>
                <w:sz w:val="18"/>
                <w:szCs w:val="18"/>
                <w:color w:val="auto"/>
              </w:rPr>
            </w:pPr>
          </w:p>
        </w:tc>
        <w:tc>
          <w:tcPr>
            <w:tcW w:w="1080" w:type="dxa"/>
            <w:vAlign w:val="bottom"/>
            <w:gridSpan w:val="4"/>
          </w:tcPr>
          <w:p>
            <w:pPr>
              <w:jc w:val="right"/>
              <w:spacing w:after="0"/>
              <w:rPr>
                <w:sz w:val="20"/>
                <w:szCs w:val="20"/>
                <w:color w:val="auto"/>
              </w:rPr>
            </w:pPr>
            <w:r>
              <w:rPr>
                <w:rFonts w:ascii="Arial" w:cs="Arial" w:eastAsia="Arial" w:hAnsi="Arial"/>
                <w:sz w:val="18"/>
                <w:szCs w:val="18"/>
                <w:color w:val="auto"/>
              </w:rPr>
              <w:t>502,180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60" w:type="dxa"/>
            <w:vAlign w:val="bottom"/>
            <w:shd w:val="clear" w:color="auto" w:fill="CCEEFF"/>
          </w:tcPr>
          <w:p>
            <w:pPr>
              <w:spacing w:after="0"/>
              <w:rPr>
                <w:sz w:val="20"/>
                <w:szCs w:val="20"/>
                <w:color w:val="auto"/>
              </w:rPr>
            </w:pPr>
            <w:r>
              <w:rPr>
                <w:rFonts w:ascii="Arial" w:cs="Arial" w:eastAsia="Arial" w:hAnsi="Arial"/>
                <w:sz w:val="18"/>
                <w:szCs w:val="18"/>
                <w:color w:val="auto"/>
              </w:rPr>
              <w:t>Effect of dilutive securities:</w:t>
            </w:r>
          </w:p>
        </w:tc>
        <w:tc>
          <w:tcPr>
            <w:tcW w:w="1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5560" w:type="dxa"/>
            <w:vAlign w:val="bottom"/>
          </w:tcPr>
          <w:p>
            <w:pPr>
              <w:ind w:left="440"/>
              <w:spacing w:after="0"/>
              <w:rPr>
                <w:sz w:val="20"/>
                <w:szCs w:val="20"/>
                <w:color w:val="auto"/>
              </w:rPr>
            </w:pPr>
            <w:r>
              <w:rPr>
                <w:rFonts w:ascii="Arial" w:cs="Arial" w:eastAsia="Arial" w:hAnsi="Arial"/>
                <w:sz w:val="18"/>
                <w:szCs w:val="18"/>
                <w:color w:val="auto"/>
              </w:rPr>
              <w:t>Share-based awards</w:t>
            </w:r>
          </w:p>
        </w:tc>
        <w:tc>
          <w:tcPr>
            <w:tcW w:w="11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15,646</w:t>
            </w:r>
          </w:p>
        </w:tc>
        <w:tc>
          <w:tcPr>
            <w:tcW w:w="10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3,207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55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shares — diluted</w:t>
            </w:r>
          </w:p>
        </w:tc>
        <w:tc>
          <w:tcPr>
            <w:tcW w:w="1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6"/>
              </w:rPr>
              <w:t>520,751</w:t>
            </w:r>
          </w:p>
        </w:tc>
        <w:tc>
          <w:tcPr>
            <w:tcW w:w="100" w:type="dxa"/>
            <w:vAlign w:val="bottom"/>
            <w:shd w:val="clear" w:color="auto" w:fill="CCEEFF"/>
          </w:tcPr>
          <w:p>
            <w:pPr>
              <w:spacing w:after="0"/>
              <w:rPr>
                <w:sz w:val="18"/>
                <w:szCs w:val="18"/>
                <w:color w:val="auto"/>
              </w:rPr>
            </w:pPr>
          </w:p>
        </w:tc>
        <w:tc>
          <w:tcPr>
            <w:tcW w:w="108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505,387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560" w:type="dxa"/>
            <w:vAlign w:val="bottom"/>
            <w:vMerge w:val="restart"/>
          </w:tcPr>
          <w:p>
            <w:pPr>
              <w:spacing w:after="0"/>
              <w:rPr>
                <w:sz w:val="20"/>
                <w:szCs w:val="20"/>
                <w:color w:val="auto"/>
              </w:rPr>
            </w:pPr>
            <w:r>
              <w:rPr>
                <w:rFonts w:ascii="Arial" w:cs="Arial" w:eastAsia="Arial" w:hAnsi="Arial"/>
                <w:sz w:val="18"/>
                <w:szCs w:val="18"/>
                <w:color w:val="auto"/>
              </w:rPr>
              <w:t>Net income per share:</w:t>
            </w:r>
          </w:p>
        </w:tc>
        <w:tc>
          <w:tcPr>
            <w:tcW w:w="1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560" w:type="dxa"/>
            <w:vAlign w:val="bottom"/>
            <w:vMerge w:val="continue"/>
          </w:tcPr>
          <w:p>
            <w:pPr>
              <w:spacing w:after="0"/>
              <w:rPr>
                <w:sz w:val="18"/>
                <w:szCs w:val="18"/>
                <w:color w:val="auto"/>
              </w:rPr>
            </w:pPr>
          </w:p>
        </w:tc>
        <w:tc>
          <w:tcPr>
            <w:tcW w:w="1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5560" w:type="dxa"/>
            <w:vAlign w:val="bottom"/>
            <w:shd w:val="clear" w:color="auto" w:fill="CCEEFF"/>
          </w:tcPr>
          <w:p>
            <w:pPr>
              <w:ind w:left="860"/>
              <w:spacing w:after="0"/>
              <w:rPr>
                <w:sz w:val="20"/>
                <w:szCs w:val="20"/>
                <w:color w:val="auto"/>
              </w:rPr>
            </w:pPr>
            <w:r>
              <w:rPr>
                <w:rFonts w:ascii="Arial" w:cs="Arial" w:eastAsia="Arial" w:hAnsi="Arial"/>
                <w:sz w:val="18"/>
                <w:szCs w:val="18"/>
                <w:color w:val="auto"/>
              </w:rPr>
              <w:t>Basic</w:t>
            </w:r>
          </w:p>
        </w:tc>
        <w:tc>
          <w:tcPr>
            <w:tcW w:w="1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0.20</w:t>
            </w:r>
          </w:p>
        </w:tc>
        <w:tc>
          <w:tcPr>
            <w:tcW w:w="100" w:type="dxa"/>
            <w:vAlign w:val="bottom"/>
            <w:shd w:val="clear" w:color="auto" w:fill="CCEEFF"/>
          </w:tcPr>
          <w:p>
            <w:pPr>
              <w:spacing w:after="0"/>
              <w:rPr>
                <w:sz w:val="18"/>
                <w:szCs w:val="18"/>
                <w:color w:val="auto"/>
              </w:rPr>
            </w:pPr>
          </w:p>
        </w:tc>
        <w:tc>
          <w:tcPr>
            <w:tcW w:w="5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560" w:type="dxa"/>
            <w:vAlign w:val="bottom"/>
          </w:tcPr>
          <w:p>
            <w:pPr>
              <w:ind w:left="860"/>
              <w:spacing w:after="0"/>
              <w:rPr>
                <w:sz w:val="20"/>
                <w:szCs w:val="20"/>
                <w:color w:val="auto"/>
              </w:rPr>
            </w:pPr>
            <w:r>
              <w:rPr>
                <w:rFonts w:ascii="Arial" w:cs="Arial" w:eastAsia="Arial" w:hAnsi="Arial"/>
                <w:sz w:val="18"/>
                <w:szCs w:val="18"/>
                <w:color w:val="auto"/>
              </w:rPr>
              <w:t>Diluted</w:t>
            </w:r>
          </w:p>
        </w:tc>
        <w:tc>
          <w:tcPr>
            <w:tcW w:w="1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0.19</w:t>
            </w:r>
          </w:p>
        </w:tc>
        <w:tc>
          <w:tcPr>
            <w:tcW w:w="100" w:type="dxa"/>
            <w:vAlign w:val="bottom"/>
          </w:tcPr>
          <w:p>
            <w:pPr>
              <w:spacing w:after="0"/>
              <w:rPr>
                <w:sz w:val="19"/>
                <w:szCs w:val="19"/>
                <w:color w:val="auto"/>
              </w:rPr>
            </w:pPr>
          </w:p>
        </w:tc>
        <w:tc>
          <w:tcPr>
            <w:tcW w:w="5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0.11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45"/>
        </w:trPr>
        <w:tc>
          <w:tcPr>
            <w:tcW w:w="556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760" w:type="dxa"/>
            <w:vAlign w:val="bottom"/>
            <w:gridSpan w:val="7"/>
          </w:tcPr>
          <w:p>
            <w:pPr>
              <w:ind w:left="22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55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Borders>
              <w:top w:val="single" w:sz="8" w:color="auto"/>
            </w:tcBorders>
            <w:gridSpan w:val="2"/>
          </w:tcPr>
          <w:p>
            <w:pPr>
              <w:jc w:val="right"/>
              <w:ind w:right="100"/>
              <w:spacing w:after="0" w:line="129" w:lineRule="exact"/>
              <w:rPr>
                <w:sz w:val="20"/>
                <w:szCs w:val="20"/>
                <w:color w:val="auto"/>
              </w:rPr>
            </w:pPr>
            <w:r>
              <w:rPr>
                <w:rFonts w:ascii="Arial" w:cs="Arial" w:eastAsia="Arial" w:hAnsi="Arial"/>
                <w:sz w:val="14"/>
                <w:szCs w:val="14"/>
                <w:b w:val="1"/>
                <w:bCs w:val="1"/>
                <w:color w:val="auto"/>
              </w:rPr>
              <w:t>May 3,</w:t>
            </w:r>
          </w:p>
        </w:tc>
        <w:tc>
          <w:tcPr>
            <w:tcW w:w="4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jc w:val="right"/>
              <w:ind w:right="19"/>
              <w:spacing w:after="0" w:line="129" w:lineRule="exact"/>
              <w:rPr>
                <w:sz w:val="20"/>
                <w:szCs w:val="20"/>
                <w:color w:val="auto"/>
              </w:rPr>
            </w:pPr>
            <w:r>
              <w:rPr>
                <w:rFonts w:ascii="Arial" w:cs="Arial" w:eastAsia="Arial" w:hAnsi="Arial"/>
                <w:sz w:val="14"/>
                <w:szCs w:val="14"/>
                <w:b w:val="1"/>
                <w:bCs w:val="1"/>
                <w:color w:val="auto"/>
                <w:w w:val="88"/>
              </w:rPr>
              <w:t>May 4,</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56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gridSpan w:val="2"/>
          </w:tcPr>
          <w:p>
            <w:pPr>
              <w:jc w:val="right"/>
              <w:spacing w:after="0"/>
              <w:rPr>
                <w:sz w:val="20"/>
                <w:szCs w:val="20"/>
                <w:color w:val="auto"/>
              </w:rPr>
            </w:pPr>
            <w:r>
              <w:rPr>
                <w:rFonts w:ascii="Arial" w:cs="Arial" w:eastAsia="Arial" w:hAnsi="Arial"/>
                <w:sz w:val="14"/>
                <w:szCs w:val="14"/>
                <w:b w:val="1"/>
                <w:bCs w:val="1"/>
                <w:color w:val="auto"/>
              </w:rPr>
              <w:t>2014</w:t>
            </w:r>
          </w:p>
        </w:tc>
        <w:tc>
          <w:tcPr>
            <w:tcW w:w="1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00" w:type="dxa"/>
            <w:vAlign w:val="bottom"/>
          </w:tcPr>
          <w:p>
            <w:pPr>
              <w:jc w:val="right"/>
              <w:ind w:right="79"/>
              <w:spacing w:after="0"/>
              <w:rPr>
                <w:sz w:val="20"/>
                <w:szCs w:val="20"/>
                <w:color w:val="auto"/>
              </w:rPr>
            </w:pPr>
            <w:r>
              <w:rPr>
                <w:rFonts w:ascii="Arial" w:cs="Arial" w:eastAsia="Arial" w:hAnsi="Arial"/>
                <w:sz w:val="14"/>
                <w:szCs w:val="14"/>
                <w:b w:val="1"/>
                <w:bCs w:val="1"/>
                <w:color w:val="auto"/>
              </w:rPr>
              <w:t>2013</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556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Anti-dilutive potential shares:</w:t>
            </w:r>
          </w:p>
        </w:tc>
        <w:tc>
          <w:tcPr>
            <w:tcW w:w="118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560" w:type="dxa"/>
            <w:vAlign w:val="bottom"/>
          </w:tcPr>
          <w:p>
            <w:pPr>
              <w:ind w:left="440"/>
              <w:spacing w:after="0"/>
              <w:rPr>
                <w:sz w:val="20"/>
                <w:szCs w:val="20"/>
                <w:color w:val="auto"/>
              </w:rPr>
            </w:pPr>
            <w:r>
              <w:rPr>
                <w:rFonts w:ascii="Arial" w:cs="Arial" w:eastAsia="Arial" w:hAnsi="Arial"/>
                <w:sz w:val="18"/>
                <w:szCs w:val="18"/>
                <w:color w:val="auto"/>
              </w:rPr>
              <w:t>Weighted average shares outstanding from stock options</w:t>
            </w:r>
          </w:p>
        </w:tc>
        <w:tc>
          <w:tcPr>
            <w:tcW w:w="1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80" w:type="dxa"/>
            <w:vAlign w:val="bottom"/>
            <w:gridSpan w:val="3"/>
          </w:tcPr>
          <w:p>
            <w:pPr>
              <w:jc w:val="right"/>
              <w:spacing w:after="0"/>
              <w:rPr>
                <w:sz w:val="20"/>
                <w:szCs w:val="20"/>
                <w:color w:val="auto"/>
              </w:rPr>
            </w:pPr>
            <w:r>
              <w:rPr>
                <w:rFonts w:ascii="Arial" w:cs="Arial" w:eastAsia="Arial" w:hAnsi="Arial"/>
                <w:sz w:val="18"/>
                <w:szCs w:val="18"/>
                <w:color w:val="auto"/>
              </w:rPr>
              <w:t>21,453</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40,631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56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55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exercise price</w:t>
            </w:r>
          </w:p>
        </w:tc>
        <w:tc>
          <w:tcPr>
            <w:tcW w:w="1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$ 17.86</w:t>
            </w:r>
          </w:p>
        </w:tc>
        <w:tc>
          <w:tcPr>
            <w:tcW w:w="5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15.24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56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Anti-dilutive potential shares for stock options are excluded from the calculation of diluted earnings per share for the periods reported above because either their exercise price exceeded the average market price during the period or certain stock options with exercise prices less than the average market price were determined to be anti-dilutive based on applying the treasury stock method. The anti-dilutive shares reported above also include shares from stock options that contain market conditions for vesting since the market value of the Company’s stock as of May 3, 2014 and May 4, 2013 was lower than the required market condition. For the three months ended May 3, 2014 and May 4, 2013, there were 2.4 million and 2.8 million anti-dilutive shares, respectively, from stock options that contain market conditions.</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Derivative Financial Instruments</w:t>
      </w:r>
    </w:p>
    <w:p>
      <w:pPr>
        <w:spacing w:after="0" w:line="9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Company manages some of its foreign currency exchange rate risk through the purchase of foreign currency exchange contracts that hedge against the short-term effect of currency fluctuations. Beginning in fiscal 2015, the Company entered into contracts to hedge the Chinese yuan in addition to the Israeli shekel as operating expenses in China continue to grow. The Company’s policy is to enter into foreign currency forward contracts with maturities generally less than 12 months that mitigate the effect of rate fluctuations on certain local currency denominated operating expenses. All derivative instruments are recorded at fair value in either prepaid expenses and other current assets or accrued liabilities. The Company reports cash flows from derivative instruments in cash flows from operating activities. The Company uses quoted prices to value its derivative instruments.</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420"/>
          </w:cols>
          <w:pgMar w:left="240" w:top="459" w:right="23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notional amounts of outstanding forward contracts were as follows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860" w:type="dxa"/>
            <w:vAlign w:val="bottom"/>
          </w:tcPr>
          <w:p>
            <w:pPr>
              <w:spacing w:after="0"/>
              <w:rPr>
                <w:sz w:val="14"/>
                <w:szCs w:val="14"/>
                <w:color w:val="auto"/>
              </w:rPr>
            </w:pPr>
          </w:p>
        </w:tc>
        <w:tc>
          <w:tcPr>
            <w:tcW w:w="28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28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Buy Contracts</w:t>
            </w: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3860" w:type="dxa"/>
            <w:vAlign w:val="bottom"/>
          </w:tcPr>
          <w:p>
            <w:pPr>
              <w:spacing w:after="0"/>
              <w:rPr>
                <w:sz w:val="11"/>
                <w:szCs w:val="11"/>
                <w:color w:val="auto"/>
              </w:rPr>
            </w:pPr>
          </w:p>
        </w:tc>
        <w:tc>
          <w:tcPr>
            <w:tcW w:w="2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jc w:val="right"/>
              <w:ind w:right="60"/>
              <w:spacing w:after="0" w:line="129" w:lineRule="exact"/>
              <w:rPr>
                <w:sz w:val="20"/>
                <w:szCs w:val="20"/>
                <w:color w:val="auto"/>
              </w:rPr>
            </w:pPr>
            <w:r>
              <w:rPr>
                <w:rFonts w:ascii="Arial" w:cs="Arial" w:eastAsia="Arial" w:hAnsi="Arial"/>
                <w:sz w:val="14"/>
                <w:szCs w:val="14"/>
                <w:b w:val="1"/>
                <w:bCs w:val="1"/>
                <w:color w:val="auto"/>
                <w:w w:val="98"/>
              </w:rPr>
              <w:t>May 3,</w:t>
            </w:r>
          </w:p>
        </w:tc>
        <w:tc>
          <w:tcPr>
            <w:tcW w:w="1200" w:type="dxa"/>
            <w:vAlign w:val="bottom"/>
            <w:gridSpan w:val="3"/>
          </w:tcPr>
          <w:p>
            <w:pPr>
              <w:jc w:val="right"/>
              <w:spacing w:after="0" w:line="129" w:lineRule="exact"/>
              <w:rPr>
                <w:sz w:val="20"/>
                <w:szCs w:val="20"/>
                <w:color w:val="auto"/>
              </w:rPr>
            </w:pPr>
            <w:r>
              <w:rPr>
                <w:rFonts w:ascii="Arial" w:cs="Arial" w:eastAsia="Arial" w:hAnsi="Arial"/>
                <w:sz w:val="14"/>
                <w:szCs w:val="14"/>
                <w:b w:val="1"/>
                <w:bCs w:val="1"/>
                <w:color w:val="auto"/>
              </w:rPr>
              <w:t>February 1,</w:t>
            </w:r>
          </w:p>
        </w:tc>
        <w:tc>
          <w:tcPr>
            <w:tcW w:w="100" w:type="dxa"/>
            <w:vAlign w:val="bottom"/>
          </w:tcPr>
          <w:p>
            <w:pPr>
              <w:spacing w:after="0"/>
              <w:rPr>
                <w:sz w:val="11"/>
                <w:szCs w:val="11"/>
                <w:color w:val="auto"/>
              </w:rPr>
            </w:pPr>
          </w:p>
        </w:tc>
      </w:tr>
      <w:tr>
        <w:trPr>
          <w:trHeight w:val="161"/>
        </w:trPr>
        <w:tc>
          <w:tcPr>
            <w:tcW w:w="3860" w:type="dxa"/>
            <w:vAlign w:val="bottom"/>
            <w:tcBorders>
              <w:bottom w:val="single" w:sz="8" w:color="CCEEFF"/>
            </w:tcBorders>
          </w:tcPr>
          <w:p>
            <w:pPr>
              <w:spacing w:after="0"/>
              <w:rPr>
                <w:sz w:val="14"/>
                <w:szCs w:val="14"/>
                <w:color w:val="auto"/>
              </w:rPr>
            </w:pPr>
          </w:p>
        </w:tc>
        <w:tc>
          <w:tcPr>
            <w:tcW w:w="28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20"/>
              <w:spacing w:after="0"/>
              <w:rPr>
                <w:sz w:val="20"/>
                <w:szCs w:val="20"/>
                <w:color w:val="auto"/>
              </w:rPr>
            </w:pPr>
            <w:r>
              <w:rPr>
                <w:rFonts w:ascii="Arial" w:cs="Arial" w:eastAsia="Arial" w:hAnsi="Arial"/>
                <w:sz w:val="14"/>
                <w:szCs w:val="14"/>
                <w:b w:val="1"/>
                <w:bCs w:val="1"/>
                <w:color w:val="auto"/>
              </w:rPr>
              <w:t>2014</w:t>
            </w:r>
          </w:p>
        </w:tc>
        <w:tc>
          <w:tcPr>
            <w:tcW w:w="52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83"/>
              </w:rPr>
              <w:t>2014</w:t>
            </w:r>
          </w:p>
        </w:tc>
        <w:tc>
          <w:tcPr>
            <w:tcW w:w="100" w:type="dxa"/>
            <w:vAlign w:val="bottom"/>
            <w:tcBorders>
              <w:bottom w:val="single" w:sz="8" w:color="CCEEFF"/>
            </w:tcBorders>
          </w:tcPr>
          <w:p>
            <w:pPr>
              <w:spacing w:after="0"/>
              <w:rPr>
                <w:sz w:val="14"/>
                <w:szCs w:val="14"/>
                <w:color w:val="auto"/>
              </w:rPr>
            </w:pPr>
          </w:p>
        </w:tc>
      </w:tr>
      <w:tr>
        <w:trPr>
          <w:trHeight w:val="210"/>
        </w:trPr>
        <w:tc>
          <w:tcPr>
            <w:tcW w:w="38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Israeli shekel</w:t>
            </w:r>
          </w:p>
        </w:tc>
        <w:tc>
          <w:tcPr>
            <w:tcW w:w="28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57,793</w:t>
            </w:r>
          </w:p>
        </w:tc>
        <w:tc>
          <w:tcPr>
            <w:tcW w:w="520" w:type="dxa"/>
            <w:vAlign w:val="bottom"/>
            <w:shd w:val="clear" w:color="auto" w:fill="CCEEFF"/>
          </w:tcPr>
          <w:p>
            <w:pPr>
              <w:spacing w:after="0"/>
              <w:rPr>
                <w:sz w:val="18"/>
                <w:szCs w:val="18"/>
                <w:color w:val="auto"/>
              </w:rPr>
            </w:pPr>
          </w:p>
        </w:tc>
        <w:tc>
          <w:tcPr>
            <w:tcW w:w="180" w:type="dxa"/>
            <w:vAlign w:val="bottom"/>
            <w:shd w:val="clear" w:color="auto" w:fill="CCEEFF"/>
          </w:tcPr>
          <w:p>
            <w:pPr>
              <w:jc w:val="right"/>
              <w:ind w:right="23"/>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39,670</w:t>
            </w:r>
          </w:p>
        </w:tc>
        <w:tc>
          <w:tcPr>
            <w:tcW w:w="100" w:type="dxa"/>
            <w:vAlign w:val="bottom"/>
            <w:shd w:val="clear" w:color="auto" w:fill="CCEEFF"/>
          </w:tcPr>
          <w:p>
            <w:pPr>
              <w:spacing w:after="0"/>
              <w:rPr>
                <w:sz w:val="18"/>
                <w:szCs w:val="18"/>
                <w:color w:val="auto"/>
              </w:rPr>
            </w:pPr>
          </w:p>
        </w:tc>
      </w:tr>
      <w:tr>
        <w:trPr>
          <w:trHeight w:val="216"/>
        </w:trPr>
        <w:tc>
          <w:tcPr>
            <w:tcW w:w="3860" w:type="dxa"/>
            <w:vAlign w:val="bottom"/>
          </w:tcPr>
          <w:p>
            <w:pPr>
              <w:spacing w:after="0"/>
              <w:rPr>
                <w:sz w:val="20"/>
                <w:szCs w:val="20"/>
                <w:color w:val="auto"/>
              </w:rPr>
            </w:pPr>
            <w:r>
              <w:rPr>
                <w:rFonts w:ascii="Arial" w:cs="Arial" w:eastAsia="Arial" w:hAnsi="Arial"/>
                <w:sz w:val="18"/>
                <w:szCs w:val="18"/>
                <w:color w:val="auto"/>
              </w:rPr>
              <w:t>Chinese yuan</w:t>
            </w:r>
          </w:p>
        </w:tc>
        <w:tc>
          <w:tcPr>
            <w:tcW w:w="28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55,122</w:t>
            </w:r>
          </w:p>
        </w:tc>
        <w:tc>
          <w:tcPr>
            <w:tcW w:w="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00" w:type="dxa"/>
            <w:vAlign w:val="bottom"/>
            <w:gridSpan w:val="2"/>
          </w:tcPr>
          <w:p>
            <w:pPr>
              <w:ind w:left="240"/>
              <w:spacing w:after="0"/>
              <w:rPr>
                <w:sz w:val="20"/>
                <w:szCs w:val="20"/>
                <w:color w:val="auto"/>
              </w:rPr>
            </w:pPr>
            <w:r>
              <w:rPr>
                <w:rFonts w:ascii="Arial" w:cs="Arial" w:eastAsia="Arial" w:hAnsi="Arial"/>
                <w:sz w:val="18"/>
                <w:szCs w:val="18"/>
                <w:color w:val="auto"/>
              </w:rPr>
              <w:t>—</w:t>
            </w:r>
          </w:p>
        </w:tc>
      </w:tr>
      <w:tr>
        <w:trPr>
          <w:trHeight w:val="216"/>
        </w:trPr>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Euro</w:t>
            </w:r>
          </w:p>
        </w:tc>
        <w:tc>
          <w:tcPr>
            <w:tcW w:w="28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5,821</w:t>
            </w:r>
          </w:p>
        </w:tc>
        <w:tc>
          <w:tcPr>
            <w:tcW w:w="5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5,718</w:t>
            </w:r>
          </w:p>
        </w:tc>
        <w:tc>
          <w:tcPr>
            <w:tcW w:w="100" w:type="dxa"/>
            <w:vAlign w:val="bottom"/>
            <w:shd w:val="clear" w:color="auto" w:fill="CCEEFF"/>
          </w:tcPr>
          <w:p>
            <w:pPr>
              <w:spacing w:after="0"/>
              <w:rPr>
                <w:sz w:val="18"/>
                <w:szCs w:val="18"/>
                <w:color w:val="auto"/>
              </w:rPr>
            </w:pPr>
          </w:p>
        </w:tc>
      </w:tr>
      <w:tr>
        <w:trPr>
          <w:trHeight w:val="223"/>
        </w:trPr>
        <w:tc>
          <w:tcPr>
            <w:tcW w:w="3860" w:type="dxa"/>
            <w:vAlign w:val="bottom"/>
          </w:tcPr>
          <w:p>
            <w:pPr>
              <w:spacing w:after="0"/>
              <w:rPr>
                <w:sz w:val="20"/>
                <w:szCs w:val="20"/>
                <w:color w:val="auto"/>
              </w:rPr>
            </w:pPr>
            <w:r>
              <w:rPr>
                <w:rFonts w:ascii="Arial" w:cs="Arial" w:eastAsia="Arial" w:hAnsi="Arial"/>
                <w:sz w:val="18"/>
                <w:szCs w:val="18"/>
                <w:color w:val="auto"/>
              </w:rPr>
              <w:t>Swedish krona</w:t>
            </w:r>
          </w:p>
        </w:tc>
        <w:tc>
          <w:tcPr>
            <w:tcW w:w="28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1,273</w:t>
            </w:r>
          </w:p>
        </w:tc>
        <w:tc>
          <w:tcPr>
            <w:tcW w:w="520" w:type="dxa"/>
            <w:vAlign w:val="bottom"/>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3,709</w:t>
            </w:r>
          </w:p>
        </w:tc>
        <w:tc>
          <w:tcPr>
            <w:tcW w:w="100" w:type="dxa"/>
            <w:vAlign w:val="bottom"/>
          </w:tcPr>
          <w:p>
            <w:pPr>
              <w:spacing w:after="0"/>
              <w:rPr>
                <w:sz w:val="19"/>
                <w:szCs w:val="19"/>
                <w:color w:val="auto"/>
              </w:rPr>
            </w:pPr>
          </w:p>
        </w:tc>
      </w:tr>
      <w:tr>
        <w:trPr>
          <w:trHeight w:val="216"/>
        </w:trPr>
        <w:tc>
          <w:tcPr>
            <w:tcW w:w="3860" w:type="dxa"/>
            <w:vAlign w:val="bottom"/>
            <w:shd w:val="clear" w:color="auto" w:fill="CCEEFF"/>
          </w:tcPr>
          <w:p>
            <w:pPr>
              <w:spacing w:after="0"/>
              <w:rPr>
                <w:sz w:val="18"/>
                <w:szCs w:val="18"/>
                <w:color w:val="auto"/>
              </w:rPr>
            </w:pPr>
          </w:p>
        </w:tc>
        <w:tc>
          <w:tcPr>
            <w:tcW w:w="29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120,009</w:t>
            </w:r>
          </w:p>
        </w:tc>
        <w:tc>
          <w:tcPr>
            <w:tcW w:w="700" w:type="dxa"/>
            <w:vAlign w:val="bottom"/>
            <w:gridSpan w:val="2"/>
            <w:shd w:val="clear" w:color="auto" w:fill="CCEEFF"/>
          </w:tcPr>
          <w:p>
            <w:pPr>
              <w:jc w:val="right"/>
              <w:ind w:right="23"/>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49,097</w:t>
            </w:r>
          </w:p>
        </w:tc>
        <w:tc>
          <w:tcPr>
            <w:tcW w:w="100" w:type="dxa"/>
            <w:vAlign w:val="bottom"/>
            <w:shd w:val="clear" w:color="auto" w:fill="CCEEFF"/>
          </w:tcPr>
          <w:p>
            <w:pPr>
              <w:spacing w:after="0"/>
              <w:rPr>
                <w:sz w:val="18"/>
                <w:szCs w:val="18"/>
                <w:color w:val="auto"/>
              </w:rPr>
            </w:pPr>
          </w:p>
        </w:tc>
      </w:tr>
      <w:tr>
        <w:trPr>
          <w:trHeight w:val="20"/>
        </w:trPr>
        <w:tc>
          <w:tcPr>
            <w:tcW w:w="3860" w:type="dxa"/>
            <w:vAlign w:val="bottom"/>
          </w:tcPr>
          <w:p>
            <w:pPr>
              <w:spacing w:after="0" w:line="20" w:lineRule="exact"/>
              <w:rPr>
                <w:sz w:val="1"/>
                <w:szCs w:val="1"/>
                <w:color w:val="auto"/>
              </w:rPr>
            </w:pPr>
          </w:p>
        </w:tc>
        <w:tc>
          <w:tcPr>
            <w:tcW w:w="28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20" w:firstLine="456"/>
        <w:spacing w:after="0" w:line="298" w:lineRule="auto"/>
        <w:rPr>
          <w:sz w:val="20"/>
          <w:szCs w:val="20"/>
          <w:color w:val="auto"/>
        </w:rPr>
      </w:pPr>
      <w:r>
        <w:rPr>
          <w:rFonts w:ascii="Arial" w:cs="Arial" w:eastAsia="Arial" w:hAnsi="Arial"/>
          <w:sz w:val="16"/>
          <w:szCs w:val="16"/>
          <w:i w:val="1"/>
          <w:iCs w:val="1"/>
          <w:color w:val="auto"/>
        </w:rPr>
        <w:t xml:space="preserve">Cash Flow Hedges. </w:t>
      </w:r>
      <w:r>
        <w:rPr>
          <w:rFonts w:ascii="Arial" w:cs="Arial" w:eastAsia="Arial" w:hAnsi="Arial"/>
          <w:sz w:val="16"/>
          <w:szCs w:val="16"/>
          <w:color w:val="auto"/>
        </w:rPr>
        <w:t>The Company designates and documents its foreign currency forward exchange contracts as cash flow hedges for certain operating</w:t>
      </w:r>
      <w:r>
        <w:rPr>
          <w:rFonts w:ascii="Arial" w:cs="Arial" w:eastAsia="Arial" w:hAnsi="Arial"/>
          <w:sz w:val="16"/>
          <w:szCs w:val="16"/>
          <w:i w:val="1"/>
          <w:iCs w:val="1"/>
          <w:color w:val="auto"/>
        </w:rPr>
        <w:t xml:space="preserve"> </w:t>
      </w:r>
      <w:r>
        <w:rPr>
          <w:rFonts w:ascii="Arial" w:cs="Arial" w:eastAsia="Arial" w:hAnsi="Arial"/>
          <w:sz w:val="16"/>
          <w:szCs w:val="16"/>
          <w:color w:val="auto"/>
        </w:rPr>
        <w:t>expenses denominated in Israeli shekels, Chinese yuan and Swedish krona. The Company evaluates and calculates the effectiveness of each hedge at least quarterly. The effective change is recorded in accumulated other comprehensive income and is subsequently reclassified to operating expense when the hedged expense is recognized. Ineffectiveness is recorded in interest and other income, net.</w:t>
      </w:r>
    </w:p>
    <w:p>
      <w:pPr>
        <w:spacing w:after="0" w:line="113" w:lineRule="exact"/>
        <w:rPr>
          <w:sz w:val="20"/>
          <w:szCs w:val="20"/>
          <w:color w:val="auto"/>
        </w:rPr>
      </w:pPr>
    </w:p>
    <w:p>
      <w:pPr>
        <w:jc w:val="both"/>
        <w:ind w:right="140" w:firstLine="456"/>
        <w:spacing w:after="0" w:line="306" w:lineRule="auto"/>
        <w:rPr>
          <w:sz w:val="20"/>
          <w:szCs w:val="20"/>
          <w:color w:val="auto"/>
        </w:rPr>
      </w:pPr>
      <w:r>
        <w:rPr>
          <w:rFonts w:ascii="Arial" w:cs="Arial" w:eastAsia="Arial" w:hAnsi="Arial"/>
          <w:sz w:val="16"/>
          <w:szCs w:val="16"/>
          <w:i w:val="1"/>
          <w:iCs w:val="1"/>
          <w:color w:val="auto"/>
        </w:rPr>
        <w:t xml:space="preserve">Other Foreign Currency Forward Contracts. </w:t>
      </w:r>
      <w:r>
        <w:rPr>
          <w:rFonts w:ascii="Arial" w:cs="Arial" w:eastAsia="Arial" w:hAnsi="Arial"/>
          <w:sz w:val="16"/>
          <w:szCs w:val="16"/>
          <w:color w:val="auto"/>
        </w:rPr>
        <w:t>The Company enters into foreign currency forward exchange contracts to hedge certain assets and liabilities</w:t>
      </w:r>
      <w:r>
        <w:rPr>
          <w:rFonts w:ascii="Arial" w:cs="Arial" w:eastAsia="Arial" w:hAnsi="Arial"/>
          <w:sz w:val="16"/>
          <w:szCs w:val="16"/>
          <w:i w:val="1"/>
          <w:iCs w:val="1"/>
          <w:color w:val="auto"/>
        </w:rPr>
        <w:t xml:space="preserve"> </w:t>
      </w:r>
      <w:r>
        <w:rPr>
          <w:rFonts w:ascii="Arial" w:cs="Arial" w:eastAsia="Arial" w:hAnsi="Arial"/>
          <w:sz w:val="16"/>
          <w:szCs w:val="16"/>
          <w:color w:val="auto"/>
        </w:rPr>
        <w:t>denominated in various foreign currencies that it does not designate as hedges for accounting purposes. The maturities of these contracts are generally less than 12 months. Gains or losses arising from the remeasurement of these contracts to fair value each period are recorded in interest and other income, net.</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fair value of foreign currency exchange contracts was not significant as of any period presented.</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Fair Value Measurements</w:t>
      </w:r>
    </w:p>
    <w:p>
      <w:pPr>
        <w:spacing w:after="0" w:line="96"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1—Observable inputs that reflect quoted prices for identical assets or liabilities in active markets.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2—Include other inputs that are directly or indirectly observable in the marketplace.</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3—Unobservable inputs that are supported by little or no market activity.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fair value hierarchy also requires an entity to maximize the use of observable inputs and minimize the use of unobservable inputs when measuring fair</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value.</w:t>
      </w:r>
    </w:p>
    <w:p>
      <w:pPr>
        <w:spacing w:after="0" w:line="165"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The Company’s Level 1 assets include institutional money-market funds that are classified as cash equivalents and marketable investments in U.S. government and agency debt, which are valued primarily using quoted market prices. The Company’s Level 2 assets include its marketable investments in time deposits, corporate debt securities, foreign government and agency debt, municipal debt securities and asset backed securities as the market inputs to value these instruments consist of market yields, reported trades and broker/dealer quotes, which are corroborated with observable market data. In addition, forward contracts and the severance pay fund are classified within Level 2 as the valuation inputs are based on quoted prices and market observable data of similar instruments. The Company’s Level 3 assets include its investments in auction rate securities, which are classified within Level 3 because there are currently no active markets for the auction rate securities and consequently the Company is unable to obtain independent valuations from market sources. Therefore, the auction rate securities are valued using a discounted cash flow model. Some of the inputs to the cash flow model are unobservable in the market. The total amount of assets measured using Level 3 valuation methodologies represented 0.2% of total assets as of May 3, 2014.</w:t>
      </w:r>
    </w:p>
    <w:p>
      <w:pPr>
        <w:spacing w:after="0" w:line="10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00"/>
          </w:cols>
          <w:pgMar w:left="240" w:top="459" w:right="25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tables below set forth, by level, the Company’s assets that were accounted for at fair value as of May 3, 2014 and February 1, 2014. The tables do not include assets and liabilities that are measured at historical cost or any basis other than fair value (in thousands):</w:t>
      </w:r>
    </w:p>
    <w:p>
      <w:pPr>
        <w:spacing w:after="0" w:line="156"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40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40" w:type="dxa"/>
            <w:vAlign w:val="bottom"/>
            <w:gridSpan w:val="3"/>
          </w:tcPr>
          <w:p>
            <w:pPr>
              <w:spacing w:after="0"/>
              <w:rPr>
                <w:sz w:val="20"/>
                <w:szCs w:val="20"/>
                <w:color w:val="auto"/>
              </w:rPr>
            </w:pPr>
            <w:r>
              <w:rPr>
                <w:rFonts w:ascii="Arial" w:cs="Arial" w:eastAsia="Arial" w:hAnsi="Arial"/>
                <w:sz w:val="14"/>
                <w:szCs w:val="14"/>
                <w:b w:val="1"/>
                <w:bCs w:val="1"/>
                <w:color w:val="auto"/>
                <w:w w:val="95"/>
              </w:rPr>
              <w:t>Portion of Carrying</w:t>
            </w:r>
          </w:p>
        </w:tc>
        <w:tc>
          <w:tcPr>
            <w:tcW w:w="0" w:type="dxa"/>
            <w:vAlign w:val="bottom"/>
          </w:tcPr>
          <w:p>
            <w:pPr>
              <w:spacing w:after="0"/>
              <w:rPr>
                <w:sz w:val="1"/>
                <w:szCs w:val="1"/>
                <w:color w:val="auto"/>
              </w:rPr>
            </w:pPr>
          </w:p>
        </w:tc>
      </w:tr>
      <w:tr>
        <w:trPr>
          <w:trHeight w:val="149"/>
        </w:trPr>
        <w:tc>
          <w:tcPr>
            <w:tcW w:w="408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240" w:type="dxa"/>
            <w:vAlign w:val="bottom"/>
            <w:gridSpan w:val="3"/>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Value Measured at</w:t>
            </w:r>
          </w:p>
        </w:tc>
        <w:tc>
          <w:tcPr>
            <w:tcW w:w="0" w:type="dxa"/>
            <w:vAlign w:val="bottom"/>
          </w:tcPr>
          <w:p>
            <w:pPr>
              <w:spacing w:after="0"/>
              <w:rPr>
                <w:sz w:val="1"/>
                <w:szCs w:val="1"/>
                <w:color w:val="auto"/>
              </w:rPr>
            </w:pPr>
          </w:p>
        </w:tc>
      </w:tr>
      <w:tr>
        <w:trPr>
          <w:trHeight w:val="149"/>
        </w:trPr>
        <w:tc>
          <w:tcPr>
            <w:tcW w:w="408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9"/>
              </w:rPr>
              <w:t>Fair Value</w:t>
            </w:r>
          </w:p>
        </w:tc>
        <w:tc>
          <w:tcPr>
            <w:tcW w:w="0" w:type="dxa"/>
            <w:vAlign w:val="bottom"/>
          </w:tcPr>
          <w:p>
            <w:pPr>
              <w:spacing w:after="0"/>
              <w:rPr>
                <w:sz w:val="1"/>
                <w:szCs w:val="1"/>
                <w:color w:val="auto"/>
              </w:rPr>
            </w:pPr>
          </w:p>
        </w:tc>
      </w:tr>
      <w:tr>
        <w:trPr>
          <w:trHeight w:val="161"/>
        </w:trPr>
        <w:tc>
          <w:tcPr>
            <w:tcW w:w="40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33"/>
              <w:spacing w:after="0"/>
              <w:rPr>
                <w:sz w:val="20"/>
                <w:szCs w:val="20"/>
                <w:color w:val="auto"/>
              </w:rPr>
            </w:pPr>
            <w:r>
              <w:rPr>
                <w:rFonts w:ascii="Arial" w:cs="Arial" w:eastAsia="Arial" w:hAnsi="Arial"/>
                <w:sz w:val="14"/>
                <w:szCs w:val="14"/>
                <w:b w:val="1"/>
                <w:bCs w:val="1"/>
                <w:color w:val="auto"/>
                <w:w w:val="92"/>
              </w:rPr>
              <w:t>Level 1</w:t>
            </w: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53"/>
              <w:spacing w:after="0"/>
              <w:rPr>
                <w:sz w:val="20"/>
                <w:szCs w:val="20"/>
                <w:color w:val="auto"/>
              </w:rPr>
            </w:pPr>
            <w:r>
              <w:rPr>
                <w:rFonts w:ascii="Arial" w:cs="Arial" w:eastAsia="Arial" w:hAnsi="Arial"/>
                <w:sz w:val="14"/>
                <w:szCs w:val="14"/>
                <w:b w:val="1"/>
                <w:bCs w:val="1"/>
                <w:color w:val="auto"/>
                <w:w w:val="88"/>
              </w:rPr>
              <w:t>Level 2</w:t>
            </w:r>
          </w:p>
        </w:tc>
        <w:tc>
          <w:tcPr>
            <w:tcW w:w="500" w:type="dxa"/>
            <w:vAlign w:val="bottom"/>
          </w:tcPr>
          <w:p>
            <w:pPr>
              <w:spacing w:after="0"/>
              <w:rPr>
                <w:sz w:val="14"/>
                <w:szCs w:val="14"/>
                <w:color w:val="auto"/>
              </w:rPr>
            </w:pPr>
          </w:p>
        </w:tc>
        <w:tc>
          <w:tcPr>
            <w:tcW w:w="580" w:type="dxa"/>
            <w:vAlign w:val="bottom"/>
            <w:gridSpan w:val="2"/>
          </w:tcPr>
          <w:p>
            <w:pPr>
              <w:jc w:val="right"/>
              <w:spacing w:after="0"/>
              <w:rPr>
                <w:sz w:val="20"/>
                <w:szCs w:val="20"/>
                <w:color w:val="auto"/>
              </w:rPr>
            </w:pPr>
            <w:r>
              <w:rPr>
                <w:rFonts w:ascii="Arial" w:cs="Arial" w:eastAsia="Arial" w:hAnsi="Arial"/>
                <w:sz w:val="14"/>
                <w:szCs w:val="14"/>
                <w:b w:val="1"/>
                <w:bCs w:val="1"/>
                <w:color w:val="auto"/>
              </w:rPr>
              <w:t>Level 3</w:t>
            </w: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2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1"/>
              </w:rPr>
              <w:t>at May 3, 2014</w:t>
            </w:r>
          </w:p>
        </w:tc>
        <w:tc>
          <w:tcPr>
            <w:tcW w:w="0" w:type="dxa"/>
            <w:vAlign w:val="bottom"/>
          </w:tcPr>
          <w:p>
            <w:pPr>
              <w:spacing w:after="0"/>
              <w:rPr>
                <w:sz w:val="1"/>
                <w:szCs w:val="1"/>
                <w:color w:val="auto"/>
              </w:rPr>
            </w:pPr>
          </w:p>
        </w:tc>
      </w:tr>
      <w:tr>
        <w:trPr>
          <w:trHeight w:val="196"/>
        </w:trPr>
        <w:tc>
          <w:tcPr>
            <w:tcW w:w="408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Items measured at fair value on a recurring basis:</w:t>
            </w:r>
          </w:p>
        </w:tc>
        <w:tc>
          <w:tcPr>
            <w:tcW w:w="8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102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080" w:type="dxa"/>
            <w:vAlign w:val="bottom"/>
          </w:tcPr>
          <w:p>
            <w:pPr>
              <w:spacing w:after="0"/>
              <w:rPr>
                <w:sz w:val="20"/>
                <w:szCs w:val="20"/>
                <w:color w:val="auto"/>
              </w:rPr>
            </w:pPr>
            <w:r>
              <w:rPr>
                <w:rFonts w:ascii="Arial" w:cs="Arial" w:eastAsia="Arial" w:hAnsi="Arial"/>
                <w:sz w:val="18"/>
                <w:szCs w:val="18"/>
                <w:color w:val="auto"/>
              </w:rPr>
              <w:t>Assets</w:t>
            </w:r>
          </w:p>
        </w:tc>
        <w:tc>
          <w:tcPr>
            <w:tcW w:w="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U.S. government and agency debt</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15,800</w:t>
            </w: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tcPr>
          <w:p>
            <w:pPr>
              <w:ind w:left="500"/>
              <w:spacing w:after="0"/>
              <w:rPr>
                <w:sz w:val="20"/>
                <w:szCs w:val="20"/>
                <w:color w:val="auto"/>
              </w:rPr>
            </w:pPr>
            <w:r>
              <w:rPr>
                <w:rFonts w:ascii="Arial" w:cs="Arial" w:eastAsia="Arial" w:hAnsi="Arial"/>
                <w:sz w:val="18"/>
                <w:szCs w:val="18"/>
                <w:color w:val="auto"/>
                <w:w w:val="99"/>
              </w:rPr>
              <w:t>$</w:t>
            </w:r>
          </w:p>
        </w:tc>
        <w:tc>
          <w:tcPr>
            <w:tcW w:w="1020" w:type="dxa"/>
            <w:vAlign w:val="bottom"/>
          </w:tcPr>
          <w:p>
            <w:pPr>
              <w:jc w:val="right"/>
              <w:spacing w:after="0"/>
              <w:rPr>
                <w:sz w:val="20"/>
                <w:szCs w:val="20"/>
                <w:color w:val="auto"/>
              </w:rPr>
            </w:pPr>
            <w:r>
              <w:rPr>
                <w:rFonts w:ascii="Arial" w:cs="Arial" w:eastAsia="Arial" w:hAnsi="Arial"/>
                <w:sz w:val="18"/>
                <w:szCs w:val="18"/>
                <w:color w:val="auto"/>
              </w:rPr>
              <w:t>15,800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Money market funds</w:t>
            </w:r>
          </w:p>
        </w:tc>
        <w:tc>
          <w:tcPr>
            <w:tcW w:w="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6,893</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6,893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Time deposits</w:t>
            </w:r>
          </w:p>
        </w:tc>
        <w:tc>
          <w:tcPr>
            <w:tcW w:w="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209,645</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209,645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Municipal debt securities</w:t>
            </w:r>
          </w:p>
        </w:tc>
        <w:tc>
          <w:tcPr>
            <w:tcW w:w="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2,300</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Corporate debt securities</w:t>
            </w:r>
          </w:p>
        </w:tc>
        <w:tc>
          <w:tcPr>
            <w:tcW w:w="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2,100</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2,100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U.S. government and agency debt</w:t>
            </w:r>
          </w:p>
        </w:tc>
        <w:tc>
          <w:tcPr>
            <w:tcW w:w="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290,396</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290,396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Corporate debt securities</w:t>
            </w:r>
          </w:p>
        </w:tc>
        <w:tc>
          <w:tcPr>
            <w:tcW w:w="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599,416</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599,416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Asset backed securities</w:t>
            </w:r>
          </w:p>
        </w:tc>
        <w:tc>
          <w:tcPr>
            <w:tcW w:w="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74,565</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74,565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Foreign government and agency debt</w:t>
            </w:r>
          </w:p>
        </w:tc>
        <w:tc>
          <w:tcPr>
            <w:tcW w:w="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25,425</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25,425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Municipal debt securities</w:t>
            </w:r>
          </w:p>
        </w:tc>
        <w:tc>
          <w:tcPr>
            <w:tcW w:w="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15,339</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15,339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Prepaid expenses and other current assets:</w:t>
            </w:r>
          </w:p>
        </w:tc>
        <w:tc>
          <w:tcPr>
            <w:tcW w:w="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Foreign currency forward contracts</w:t>
            </w:r>
          </w:p>
        </w:tc>
        <w:tc>
          <w:tcPr>
            <w:tcW w:w="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650</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650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Auction rate securities</w:t>
            </w:r>
          </w:p>
        </w:tc>
        <w:tc>
          <w:tcPr>
            <w:tcW w:w="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13,456</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13,456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080" w:type="dxa"/>
            <w:vAlign w:val="bottom"/>
          </w:tcPr>
          <w:p>
            <w:pPr>
              <w:ind w:left="440"/>
              <w:spacing w:after="0"/>
              <w:rPr>
                <w:sz w:val="20"/>
                <w:szCs w:val="20"/>
                <w:color w:val="auto"/>
              </w:rPr>
            </w:pPr>
            <w:r>
              <w:rPr>
                <w:rFonts w:ascii="Arial" w:cs="Arial" w:eastAsia="Arial" w:hAnsi="Arial"/>
                <w:sz w:val="18"/>
                <w:szCs w:val="18"/>
                <w:color w:val="auto"/>
              </w:rPr>
              <w:t>Severance pay fund</w:t>
            </w:r>
          </w:p>
        </w:tc>
        <w:tc>
          <w:tcPr>
            <w:tcW w:w="8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2,194</w:t>
            </w:r>
          </w:p>
        </w:tc>
        <w:tc>
          <w:tcPr>
            <w:tcW w:w="5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2,194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313,089</w:t>
            </w: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931,634</w:t>
            </w: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13,456</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1,258,179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080" w:type="dxa"/>
            <w:vAlign w:val="bottom"/>
            <w:vMerge w:val="restart"/>
          </w:tcPr>
          <w:p>
            <w:pPr>
              <w:spacing w:after="0"/>
              <w:rPr>
                <w:sz w:val="20"/>
                <w:szCs w:val="20"/>
                <w:color w:val="auto"/>
              </w:rPr>
            </w:pPr>
            <w:r>
              <w:rPr>
                <w:rFonts w:ascii="Arial" w:cs="Arial" w:eastAsia="Arial" w:hAnsi="Arial"/>
                <w:sz w:val="18"/>
                <w:szCs w:val="18"/>
                <w:color w:val="auto"/>
              </w:rPr>
              <w:t>Liabilities</w:t>
            </w:r>
          </w:p>
        </w:tc>
        <w:tc>
          <w:tcPr>
            <w:tcW w:w="8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080" w:type="dxa"/>
            <w:vAlign w:val="bottom"/>
            <w:vMerge w:val="continue"/>
          </w:tcPr>
          <w:p>
            <w:pPr>
              <w:spacing w:after="0"/>
              <w:rPr>
                <w:sz w:val="18"/>
                <w:szCs w:val="18"/>
                <w:color w:val="auto"/>
              </w:rPr>
            </w:pPr>
          </w:p>
        </w:tc>
        <w:tc>
          <w:tcPr>
            <w:tcW w:w="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Foreign currency forward contracts</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422</w:t>
            </w: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tcPr>
          <w:p>
            <w:pPr>
              <w:ind w:left="500"/>
              <w:spacing w:after="0"/>
              <w:rPr>
                <w:sz w:val="20"/>
                <w:szCs w:val="20"/>
                <w:color w:val="auto"/>
              </w:rPr>
            </w:pPr>
            <w:r>
              <w:rPr>
                <w:rFonts w:ascii="Arial" w:cs="Arial" w:eastAsia="Arial" w:hAnsi="Arial"/>
                <w:sz w:val="18"/>
                <w:szCs w:val="18"/>
                <w:color w:val="auto"/>
                <w:w w:val="99"/>
              </w:rPr>
              <w:t>$</w:t>
            </w:r>
          </w:p>
        </w:tc>
        <w:tc>
          <w:tcPr>
            <w:tcW w:w="1020" w:type="dxa"/>
            <w:vAlign w:val="bottom"/>
          </w:tcPr>
          <w:p>
            <w:pPr>
              <w:jc w:val="right"/>
              <w:spacing w:after="0"/>
              <w:rPr>
                <w:sz w:val="20"/>
                <w:szCs w:val="20"/>
                <w:color w:val="auto"/>
              </w:rPr>
            </w:pPr>
            <w:r>
              <w:rPr>
                <w:rFonts w:ascii="Arial" w:cs="Arial" w:eastAsia="Arial" w:hAnsi="Arial"/>
                <w:sz w:val="18"/>
                <w:szCs w:val="18"/>
                <w:color w:val="auto"/>
              </w:rPr>
              <w:t>422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080" w:type="dxa"/>
            <w:vAlign w:val="bottom"/>
          </w:tcPr>
          <w:p>
            <w:pPr>
              <w:spacing w:after="0" w:line="20" w:lineRule="exact"/>
              <w:rPr>
                <w:sz w:val="1"/>
                <w:szCs w:val="1"/>
                <w:color w:val="auto"/>
              </w:rPr>
            </w:pPr>
          </w:p>
        </w:tc>
        <w:tc>
          <w:tcPr>
            <w:tcW w:w="820" w:type="dxa"/>
            <w:vAlign w:val="bottom"/>
            <w:vMerge w:val="restart"/>
          </w:tcPr>
          <w:p>
            <w:pPr>
              <w:jc w:val="right"/>
              <w:spacing w:after="0"/>
              <w:rPr>
                <w:sz w:val="20"/>
                <w:szCs w:val="20"/>
                <w:color w:val="auto"/>
              </w:rPr>
            </w:pPr>
            <w:r>
              <w:rPr>
                <w:rFonts w:ascii="Arial" w:cs="Arial" w:eastAsia="Arial" w:hAnsi="Arial"/>
                <w:sz w:val="18"/>
                <w:szCs w:val="18"/>
                <w:color w:val="auto"/>
              </w:rPr>
              <w:t>13</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4080" w:type="dxa"/>
            <w:vAlign w:val="bottom"/>
          </w:tcPr>
          <w:p>
            <w:pPr>
              <w:spacing w:after="0"/>
              <w:rPr>
                <w:sz w:val="24"/>
                <w:szCs w:val="24"/>
                <w:color w:val="auto"/>
              </w:rPr>
            </w:pPr>
          </w:p>
        </w:tc>
        <w:tc>
          <w:tcPr>
            <w:tcW w:w="82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80"/>
          </w:cols>
          <w:pgMar w:left="240" w:top="459" w:right="37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34"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3400" w:type="dxa"/>
            <w:vAlign w:val="bottom"/>
          </w:tcPr>
          <w:p>
            <w:pPr>
              <w:spacing w:after="0"/>
              <w:rPr>
                <w:sz w:val="14"/>
                <w:szCs w:val="14"/>
                <w:color w:val="auto"/>
              </w:rPr>
            </w:pPr>
          </w:p>
        </w:tc>
        <w:tc>
          <w:tcPr>
            <w:tcW w:w="15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600" w:type="dxa"/>
            <w:vAlign w:val="bottom"/>
            <w:gridSpan w:val="5"/>
          </w:tcPr>
          <w:p>
            <w:pPr>
              <w:ind w:left="360"/>
              <w:spacing w:after="0"/>
              <w:rPr>
                <w:sz w:val="20"/>
                <w:szCs w:val="20"/>
                <w:color w:val="auto"/>
              </w:rPr>
            </w:pPr>
            <w:r>
              <w:rPr>
                <w:rFonts w:ascii="Arial" w:cs="Arial" w:eastAsia="Arial" w:hAnsi="Arial"/>
                <w:sz w:val="14"/>
                <w:szCs w:val="14"/>
                <w:b w:val="1"/>
                <w:bCs w:val="1"/>
                <w:color w:val="auto"/>
                <w:w w:val="95"/>
              </w:rPr>
              <w:t>Portion of Carrying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340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240" w:type="dxa"/>
            <w:vAlign w:val="bottom"/>
            <w:gridSpan w:val="4"/>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Value Measured at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340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20" w:type="dxa"/>
            <w:vAlign w:val="bottom"/>
            <w:gridSpan w:val="3"/>
          </w:tcPr>
          <w:p>
            <w:pPr>
              <w:jc w:val="center"/>
              <w:ind w:right="340"/>
              <w:spacing w:after="0" w:line="149" w:lineRule="exact"/>
              <w:rPr>
                <w:sz w:val="20"/>
                <w:szCs w:val="20"/>
                <w:color w:val="auto"/>
              </w:rPr>
            </w:pPr>
            <w:r>
              <w:rPr>
                <w:rFonts w:ascii="Arial" w:cs="Arial" w:eastAsia="Arial" w:hAnsi="Arial"/>
                <w:sz w:val="14"/>
                <w:szCs w:val="14"/>
                <w:b w:val="1"/>
                <w:bCs w:val="1"/>
                <w:color w:val="auto"/>
                <w:w w:val="89"/>
              </w:rPr>
              <w:t>Fair Value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3400" w:type="dxa"/>
            <w:vAlign w:val="bottom"/>
          </w:tcPr>
          <w:p>
            <w:pPr>
              <w:spacing w:after="0"/>
              <w:rPr>
                <w:sz w:val="14"/>
                <w:szCs w:val="14"/>
                <w:color w:val="auto"/>
              </w:rPr>
            </w:pPr>
          </w:p>
        </w:tc>
        <w:tc>
          <w:tcPr>
            <w:tcW w:w="15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Pr>
          <w:p>
            <w:pPr>
              <w:jc w:val="right"/>
              <w:ind w:right="33"/>
              <w:spacing w:after="0"/>
              <w:rPr>
                <w:sz w:val="20"/>
                <w:szCs w:val="20"/>
                <w:color w:val="auto"/>
              </w:rPr>
            </w:pPr>
            <w:r>
              <w:rPr>
                <w:rFonts w:ascii="Arial" w:cs="Arial" w:eastAsia="Arial" w:hAnsi="Arial"/>
                <w:sz w:val="14"/>
                <w:szCs w:val="14"/>
                <w:b w:val="1"/>
                <w:bCs w:val="1"/>
                <w:color w:val="auto"/>
                <w:w w:val="92"/>
              </w:rPr>
              <w:t>Level 1</w:t>
            </w: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53"/>
              <w:spacing w:after="0"/>
              <w:rPr>
                <w:sz w:val="20"/>
                <w:szCs w:val="20"/>
                <w:color w:val="auto"/>
              </w:rPr>
            </w:pPr>
            <w:r>
              <w:rPr>
                <w:rFonts w:ascii="Arial" w:cs="Arial" w:eastAsia="Arial" w:hAnsi="Arial"/>
                <w:sz w:val="14"/>
                <w:szCs w:val="14"/>
                <w:b w:val="1"/>
                <w:bCs w:val="1"/>
                <w:color w:val="auto"/>
                <w:w w:val="88"/>
              </w:rPr>
              <w:t>Level 2</w:t>
            </w:r>
          </w:p>
        </w:tc>
        <w:tc>
          <w:tcPr>
            <w:tcW w:w="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80" w:type="dxa"/>
            <w:vAlign w:val="bottom"/>
            <w:gridSpan w:val="3"/>
          </w:tcPr>
          <w:p>
            <w:pPr>
              <w:jc w:val="right"/>
              <w:spacing w:after="0"/>
              <w:rPr>
                <w:sz w:val="20"/>
                <w:szCs w:val="20"/>
                <w:color w:val="auto"/>
              </w:rPr>
            </w:pPr>
            <w:r>
              <w:rPr>
                <w:rFonts w:ascii="Arial" w:cs="Arial" w:eastAsia="Arial" w:hAnsi="Arial"/>
                <w:sz w:val="14"/>
                <w:szCs w:val="14"/>
                <w:b w:val="1"/>
                <w:bCs w:val="1"/>
                <w:color w:val="auto"/>
              </w:rPr>
              <w:t>Level 3</w:t>
            </w:r>
          </w:p>
        </w:tc>
        <w:tc>
          <w:tcPr>
            <w:tcW w:w="1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240" w:type="dxa"/>
            <w:vAlign w:val="bottom"/>
            <w:gridSpan w:val="4"/>
          </w:tcPr>
          <w:p>
            <w:pPr>
              <w:spacing w:after="0"/>
              <w:rPr>
                <w:sz w:val="20"/>
                <w:szCs w:val="20"/>
                <w:color w:val="auto"/>
              </w:rPr>
            </w:pPr>
            <w:r>
              <w:rPr>
                <w:rFonts w:ascii="Arial" w:cs="Arial" w:eastAsia="Arial" w:hAnsi="Arial"/>
                <w:sz w:val="14"/>
                <w:szCs w:val="14"/>
                <w:b w:val="1"/>
                <w:bCs w:val="1"/>
                <w:color w:val="auto"/>
                <w:w w:val="96"/>
              </w:rPr>
              <w:t>at February 1, 2014</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300" w:type="dxa"/>
            <w:vAlign w:val="bottom"/>
            <w:tcBorders>
              <w:top w:val="single" w:sz="8" w:color="CCEEFF"/>
            </w:tcBorders>
            <w:gridSpan w:val="2"/>
            <w:shd w:val="clear" w:color="auto" w:fill="CCEEFF"/>
          </w:tcPr>
          <w:p>
            <w:pPr>
              <w:spacing w:after="0" w:line="196" w:lineRule="exact"/>
              <w:rPr>
                <w:sz w:val="20"/>
                <w:szCs w:val="20"/>
                <w:color w:val="auto"/>
              </w:rPr>
            </w:pPr>
            <w:r>
              <w:rPr>
                <w:rFonts w:ascii="Arial" w:cs="Arial" w:eastAsia="Arial" w:hAnsi="Arial"/>
                <w:sz w:val="18"/>
                <w:szCs w:val="18"/>
                <w:color w:val="auto"/>
              </w:rPr>
              <w:t>Items measured at fair value on a recurring basis:</w:t>
            </w:r>
          </w:p>
        </w:tc>
        <w:tc>
          <w:tcPr>
            <w:tcW w:w="158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38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30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36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8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tcPr>
          <w:p>
            <w:pPr>
              <w:spacing w:after="0"/>
              <w:rPr>
                <w:sz w:val="20"/>
                <w:szCs w:val="20"/>
                <w:color w:val="auto"/>
              </w:rPr>
            </w:pPr>
            <w:r>
              <w:rPr>
                <w:rFonts w:ascii="Arial" w:cs="Arial" w:eastAsia="Arial" w:hAnsi="Arial"/>
                <w:sz w:val="18"/>
                <w:szCs w:val="18"/>
                <w:color w:val="auto"/>
              </w:rPr>
              <w:t>Assets</w:t>
            </w:r>
          </w:p>
        </w:tc>
        <w:tc>
          <w:tcPr>
            <w:tcW w:w="1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1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tcPr>
          <w:p>
            <w:pPr>
              <w:ind w:left="420"/>
              <w:spacing w:after="0"/>
              <w:rPr>
                <w:sz w:val="20"/>
                <w:szCs w:val="20"/>
                <w:color w:val="auto"/>
              </w:rPr>
            </w:pPr>
            <w:r>
              <w:rPr>
                <w:rFonts w:ascii="Arial" w:cs="Arial" w:eastAsia="Arial" w:hAnsi="Arial"/>
                <w:sz w:val="18"/>
                <w:szCs w:val="18"/>
                <w:color w:val="auto"/>
              </w:rPr>
              <w:t>U.S. government and agency debt</w:t>
            </w:r>
          </w:p>
        </w:tc>
        <w:tc>
          <w:tcPr>
            <w:tcW w:w="168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11,999</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660" w:type="dxa"/>
            <w:vAlign w:val="bottom"/>
            <w:gridSpan w:val="3"/>
          </w:tcPr>
          <w:p>
            <w:pPr>
              <w:ind w:left="46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3"/>
          </w:tcPr>
          <w:p>
            <w:pPr>
              <w:ind w:left="480"/>
              <w:spacing w:after="0"/>
              <w:rPr>
                <w:sz w:val="20"/>
                <w:szCs w:val="20"/>
                <w:color w:val="auto"/>
              </w:rPr>
            </w:pPr>
            <w:r>
              <w:rPr>
                <w:rFonts w:ascii="Arial" w:cs="Arial" w:eastAsia="Arial" w:hAnsi="Arial"/>
                <w:sz w:val="18"/>
                <w:szCs w:val="18"/>
                <w:color w:val="auto"/>
              </w:rPr>
              <w:t>$</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11,999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Money market funds</w:t>
            </w:r>
          </w:p>
        </w:tc>
        <w:tc>
          <w:tcPr>
            <w:tcW w:w="1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2,804</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2,804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tcPr>
          <w:p>
            <w:pPr>
              <w:ind w:left="420"/>
              <w:spacing w:after="0"/>
              <w:rPr>
                <w:sz w:val="20"/>
                <w:szCs w:val="20"/>
                <w:color w:val="auto"/>
              </w:rPr>
            </w:pPr>
            <w:r>
              <w:rPr>
                <w:rFonts w:ascii="Arial" w:cs="Arial" w:eastAsia="Arial" w:hAnsi="Arial"/>
                <w:sz w:val="18"/>
                <w:szCs w:val="18"/>
                <w:color w:val="auto"/>
              </w:rPr>
              <w:t>Time deposits</w:t>
            </w:r>
          </w:p>
        </w:tc>
        <w:tc>
          <w:tcPr>
            <w:tcW w:w="1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247,958</w:t>
            </w:r>
          </w:p>
        </w:tc>
        <w:tc>
          <w:tcPr>
            <w:tcW w:w="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247,958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Municipal debt securities</w:t>
            </w:r>
          </w:p>
        </w:tc>
        <w:tc>
          <w:tcPr>
            <w:tcW w:w="1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4,800</w:t>
            </w:r>
          </w:p>
        </w:tc>
        <w:tc>
          <w:tcPr>
            <w:tcW w:w="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4,800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tcPr>
          <w:p>
            <w:pPr>
              <w:ind w:left="420"/>
              <w:spacing w:after="0"/>
              <w:rPr>
                <w:sz w:val="20"/>
                <w:szCs w:val="20"/>
                <w:color w:val="auto"/>
              </w:rPr>
            </w:pPr>
            <w:r>
              <w:rPr>
                <w:rFonts w:ascii="Arial" w:cs="Arial" w:eastAsia="Arial" w:hAnsi="Arial"/>
                <w:sz w:val="18"/>
                <w:szCs w:val="18"/>
                <w:color w:val="auto"/>
              </w:rPr>
              <w:t>Corporate debt securities</w:t>
            </w:r>
          </w:p>
        </w:tc>
        <w:tc>
          <w:tcPr>
            <w:tcW w:w="1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3,400</w:t>
            </w:r>
          </w:p>
        </w:tc>
        <w:tc>
          <w:tcPr>
            <w:tcW w:w="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3,400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1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tcPr>
          <w:p>
            <w:pPr>
              <w:ind w:left="420"/>
              <w:spacing w:after="0"/>
              <w:rPr>
                <w:sz w:val="20"/>
                <w:szCs w:val="20"/>
                <w:color w:val="auto"/>
              </w:rPr>
            </w:pPr>
            <w:r>
              <w:rPr>
                <w:rFonts w:ascii="Arial" w:cs="Arial" w:eastAsia="Arial" w:hAnsi="Arial"/>
                <w:sz w:val="18"/>
                <w:szCs w:val="18"/>
                <w:color w:val="auto"/>
              </w:rPr>
              <w:t>U.S. government and agency debt</w:t>
            </w:r>
          </w:p>
        </w:tc>
        <w:tc>
          <w:tcPr>
            <w:tcW w:w="1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301,479</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301,479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589,514</w:t>
            </w:r>
          </w:p>
        </w:tc>
        <w:tc>
          <w:tcPr>
            <w:tcW w:w="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589,514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tcPr>
          <w:p>
            <w:pPr>
              <w:ind w:left="420"/>
              <w:spacing w:after="0"/>
              <w:rPr>
                <w:sz w:val="20"/>
                <w:szCs w:val="20"/>
                <w:color w:val="auto"/>
              </w:rPr>
            </w:pPr>
            <w:r>
              <w:rPr>
                <w:rFonts w:ascii="Arial" w:cs="Arial" w:eastAsia="Arial" w:hAnsi="Arial"/>
                <w:sz w:val="18"/>
                <w:szCs w:val="18"/>
                <w:color w:val="auto"/>
              </w:rPr>
              <w:t>Asset backed securities</w:t>
            </w:r>
          </w:p>
        </w:tc>
        <w:tc>
          <w:tcPr>
            <w:tcW w:w="1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76,271</w:t>
            </w:r>
          </w:p>
        </w:tc>
        <w:tc>
          <w:tcPr>
            <w:tcW w:w="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76,271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Foreign government and agency debt</w:t>
            </w:r>
          </w:p>
        </w:tc>
        <w:tc>
          <w:tcPr>
            <w:tcW w:w="1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20,292</w:t>
            </w:r>
          </w:p>
        </w:tc>
        <w:tc>
          <w:tcPr>
            <w:tcW w:w="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20,292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tcPr>
          <w:p>
            <w:pPr>
              <w:ind w:left="420"/>
              <w:spacing w:after="0"/>
              <w:rPr>
                <w:sz w:val="20"/>
                <w:szCs w:val="20"/>
                <w:color w:val="auto"/>
              </w:rPr>
            </w:pPr>
            <w:r>
              <w:rPr>
                <w:rFonts w:ascii="Arial" w:cs="Arial" w:eastAsia="Arial" w:hAnsi="Arial"/>
                <w:sz w:val="18"/>
                <w:szCs w:val="18"/>
                <w:color w:val="auto"/>
              </w:rPr>
              <w:t>Municipal debt securities</w:t>
            </w:r>
          </w:p>
        </w:tc>
        <w:tc>
          <w:tcPr>
            <w:tcW w:w="1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16,099</w:t>
            </w:r>
          </w:p>
        </w:tc>
        <w:tc>
          <w:tcPr>
            <w:tcW w:w="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16,099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Prepaid expenses and other current assets:</w:t>
            </w:r>
          </w:p>
        </w:tc>
        <w:tc>
          <w:tcPr>
            <w:tcW w:w="1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tcPr>
          <w:p>
            <w:pPr>
              <w:ind w:left="420"/>
              <w:spacing w:after="0"/>
              <w:rPr>
                <w:sz w:val="20"/>
                <w:szCs w:val="20"/>
                <w:color w:val="auto"/>
              </w:rPr>
            </w:pPr>
            <w:r>
              <w:rPr>
                <w:rFonts w:ascii="Arial" w:cs="Arial" w:eastAsia="Arial" w:hAnsi="Arial"/>
                <w:sz w:val="18"/>
                <w:szCs w:val="18"/>
                <w:color w:val="auto"/>
              </w:rPr>
              <w:t>Foreign currency forward contracts</w:t>
            </w:r>
          </w:p>
        </w:tc>
        <w:tc>
          <w:tcPr>
            <w:tcW w:w="1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1,012</w:t>
            </w:r>
          </w:p>
        </w:tc>
        <w:tc>
          <w:tcPr>
            <w:tcW w:w="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1,012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tcPr>
          <w:p>
            <w:pPr>
              <w:ind w:left="420"/>
              <w:spacing w:after="0"/>
              <w:rPr>
                <w:sz w:val="20"/>
                <w:szCs w:val="20"/>
                <w:color w:val="auto"/>
              </w:rPr>
            </w:pPr>
            <w:r>
              <w:rPr>
                <w:rFonts w:ascii="Arial" w:cs="Arial" w:eastAsia="Arial" w:hAnsi="Arial"/>
                <w:sz w:val="18"/>
                <w:szCs w:val="18"/>
                <w:color w:val="auto"/>
              </w:rPr>
              <w:t>Auction rate securities</w:t>
            </w:r>
          </w:p>
        </w:tc>
        <w:tc>
          <w:tcPr>
            <w:tcW w:w="1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1040" w:type="dxa"/>
            <w:vAlign w:val="bottom"/>
            <w:gridSpan w:val="5"/>
          </w:tcPr>
          <w:p>
            <w:pPr>
              <w:jc w:val="right"/>
              <w:spacing w:after="0"/>
              <w:rPr>
                <w:sz w:val="20"/>
                <w:szCs w:val="20"/>
                <w:color w:val="auto"/>
              </w:rPr>
            </w:pPr>
            <w:r>
              <w:rPr>
                <w:rFonts w:ascii="Arial" w:cs="Arial" w:eastAsia="Arial" w:hAnsi="Arial"/>
                <w:sz w:val="18"/>
                <w:szCs w:val="18"/>
                <w:color w:val="auto"/>
              </w:rPr>
              <w:t>16,279</w:t>
            </w: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16,279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300" w:type="dxa"/>
            <w:vAlign w:val="bottom"/>
            <w:gridSpan w:val="2"/>
          </w:tcPr>
          <w:p>
            <w:pPr>
              <w:ind w:left="420"/>
              <w:spacing w:after="0"/>
              <w:rPr>
                <w:sz w:val="20"/>
                <w:szCs w:val="20"/>
                <w:color w:val="auto"/>
              </w:rPr>
            </w:pPr>
            <w:r>
              <w:rPr>
                <w:rFonts w:ascii="Arial" w:cs="Arial" w:eastAsia="Arial" w:hAnsi="Arial"/>
                <w:sz w:val="18"/>
                <w:szCs w:val="18"/>
                <w:color w:val="auto"/>
              </w:rPr>
              <w:t>Severance pay fund</w:t>
            </w:r>
          </w:p>
        </w:tc>
        <w:tc>
          <w:tcPr>
            <w:tcW w:w="15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2,193</w:t>
            </w:r>
          </w:p>
        </w:tc>
        <w:tc>
          <w:tcPr>
            <w:tcW w:w="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3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2,193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assets</w:t>
            </w:r>
          </w:p>
        </w:tc>
        <w:tc>
          <w:tcPr>
            <w:tcW w:w="1680" w:type="dxa"/>
            <w:vAlign w:val="bottom"/>
            <w:gridSpan w:val="3"/>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316,282</w:t>
            </w: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961,539</w:t>
            </w:r>
          </w:p>
        </w:tc>
        <w:tc>
          <w:tcPr>
            <w:tcW w:w="1040" w:type="dxa"/>
            <w:vAlign w:val="bottom"/>
            <w:gridSpan w:val="5"/>
            <w:shd w:val="clear" w:color="auto" w:fill="CCEEFF"/>
          </w:tcPr>
          <w:p>
            <w:pPr>
              <w:ind w:left="460"/>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16,279</w:t>
            </w:r>
          </w:p>
        </w:tc>
        <w:tc>
          <w:tcPr>
            <w:tcW w:w="700" w:type="dxa"/>
            <w:vAlign w:val="bottom"/>
            <w:gridSpan w:val="3"/>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1,294,100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320" w:type="dxa"/>
            <w:vAlign w:val="bottom"/>
            <w:gridSpan w:val="3"/>
            <w:vMerge w:val="restart"/>
          </w:tcPr>
          <w:p>
            <w:pPr>
              <w:spacing w:after="0"/>
              <w:rPr>
                <w:sz w:val="20"/>
                <w:szCs w:val="20"/>
                <w:color w:val="auto"/>
              </w:rPr>
            </w:pPr>
            <w:r>
              <w:rPr>
                <w:rFonts w:ascii="Arial" w:cs="Arial" w:eastAsia="Arial" w:hAnsi="Arial"/>
                <w:sz w:val="18"/>
                <w:szCs w:val="18"/>
                <w:color w:val="auto"/>
              </w:rPr>
              <w:t>Liabilities</w:t>
            </w:r>
          </w:p>
        </w:tc>
        <w:tc>
          <w:tcPr>
            <w:tcW w:w="15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4320" w:type="dxa"/>
            <w:vAlign w:val="bottom"/>
            <w:gridSpan w:val="3"/>
            <w:vMerge w:val="continue"/>
          </w:tcPr>
          <w:p>
            <w:pPr>
              <w:spacing w:after="0"/>
              <w:rPr>
                <w:sz w:val="18"/>
                <w:szCs w:val="18"/>
                <w:color w:val="auto"/>
              </w:rPr>
            </w:pPr>
          </w:p>
        </w:tc>
        <w:tc>
          <w:tcPr>
            <w:tcW w:w="1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15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300" w:type="dxa"/>
            <w:vAlign w:val="bottom"/>
            <w:gridSpan w:val="2"/>
          </w:tcPr>
          <w:p>
            <w:pPr>
              <w:ind w:left="420"/>
              <w:spacing w:after="0"/>
              <w:rPr>
                <w:sz w:val="20"/>
                <w:szCs w:val="20"/>
                <w:color w:val="auto"/>
              </w:rPr>
            </w:pPr>
            <w:r>
              <w:rPr>
                <w:rFonts w:ascii="Arial" w:cs="Arial" w:eastAsia="Arial" w:hAnsi="Arial"/>
                <w:sz w:val="18"/>
                <w:szCs w:val="18"/>
                <w:color w:val="auto"/>
              </w:rPr>
              <w:t>Foreign currency forward contracts</w:t>
            </w:r>
          </w:p>
        </w:tc>
        <w:tc>
          <w:tcPr>
            <w:tcW w:w="1580" w:type="dxa"/>
            <w:vAlign w:val="bottom"/>
          </w:tcPr>
          <w:p>
            <w:pPr>
              <w:spacing w:after="0"/>
              <w:rPr>
                <w:sz w:val="18"/>
                <w:szCs w:val="18"/>
                <w:color w:val="auto"/>
              </w:rPr>
            </w:pPr>
          </w:p>
        </w:tc>
        <w:tc>
          <w:tcPr>
            <w:tcW w:w="100" w:type="dxa"/>
            <w:vAlign w:val="bottom"/>
            <w:gridSpan w:val="2"/>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26</w:t>
            </w:r>
          </w:p>
        </w:tc>
        <w:tc>
          <w:tcPr>
            <w:tcW w:w="660" w:type="dxa"/>
            <w:vAlign w:val="bottom"/>
            <w:gridSpan w:val="3"/>
          </w:tcPr>
          <w:p>
            <w:pPr>
              <w:ind w:left="46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700" w:type="dxa"/>
            <w:vAlign w:val="bottom"/>
            <w:gridSpan w:val="3"/>
          </w:tcPr>
          <w:p>
            <w:pPr>
              <w:ind w:left="480"/>
              <w:spacing w:after="0"/>
              <w:rPr>
                <w:sz w:val="20"/>
                <w:szCs w:val="20"/>
                <w:color w:val="auto"/>
              </w:rPr>
            </w:pPr>
            <w:r>
              <w:rPr>
                <w:rFonts w:ascii="Arial" w:cs="Arial" w:eastAsia="Arial" w:hAnsi="Arial"/>
                <w:sz w:val="18"/>
                <w:szCs w:val="18"/>
                <w:color w:val="auto"/>
              </w:rPr>
              <w:t>$</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26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gridSpan w:val="2"/>
          </w:tcPr>
          <w:p>
            <w:pPr>
              <w:spacing w:after="0" w:line="20" w:lineRule="exact"/>
              <w:rPr>
                <w:sz w:val="1"/>
                <w:szCs w:val="1"/>
                <w:color w:val="auto"/>
              </w:rPr>
            </w:pPr>
          </w:p>
        </w:tc>
        <w:tc>
          <w:tcPr>
            <w:tcW w:w="4980" w:type="dxa"/>
            <w:vAlign w:val="bottom"/>
            <w:gridSpan w:val="2"/>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gridSpan w:val="2"/>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6580" w:type="dxa"/>
            <w:vAlign w:val="bottom"/>
            <w:gridSpan w:val="7"/>
          </w:tcPr>
          <w:p>
            <w:pPr>
              <w:spacing w:after="0"/>
              <w:rPr>
                <w:sz w:val="20"/>
                <w:szCs w:val="20"/>
                <w:color w:val="auto"/>
              </w:rPr>
            </w:pPr>
            <w:r>
              <w:rPr>
                <w:rFonts w:ascii="Arial" w:cs="Arial" w:eastAsia="Arial" w:hAnsi="Arial"/>
                <w:sz w:val="18"/>
                <w:szCs w:val="18"/>
                <w:color w:val="auto"/>
                <w:w w:val="91"/>
              </w:rPr>
              <w:t>The following table summarizes the change in fair value for Level 3 assets (in thousands):</w:t>
            </w: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340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660" w:type="dxa"/>
            <w:vAlign w:val="bottom"/>
            <w:tcBorders>
              <w:bottom w:val="single" w:sz="8" w:color="auto"/>
            </w:tcBorders>
            <w:gridSpan w:val="7"/>
          </w:tcPr>
          <w:p>
            <w:pPr>
              <w:jc w:val="right"/>
              <w:ind w:right="152"/>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3400" w:type="dxa"/>
            <w:vAlign w:val="bottom"/>
          </w:tcPr>
          <w:p>
            <w:pPr>
              <w:spacing w:after="0"/>
              <w:rPr>
                <w:sz w:val="11"/>
                <w:szCs w:val="11"/>
                <w:color w:val="auto"/>
              </w:rPr>
            </w:pPr>
          </w:p>
        </w:tc>
        <w:tc>
          <w:tcPr>
            <w:tcW w:w="15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gridSpan w:val="3"/>
          </w:tcPr>
          <w:p>
            <w:pPr>
              <w:jc w:val="right"/>
              <w:ind w:right="180"/>
              <w:spacing w:after="0" w:line="129" w:lineRule="exact"/>
              <w:rPr>
                <w:sz w:val="20"/>
                <w:szCs w:val="20"/>
                <w:color w:val="auto"/>
              </w:rPr>
            </w:pPr>
            <w:r>
              <w:rPr>
                <w:rFonts w:ascii="Arial" w:cs="Arial" w:eastAsia="Arial" w:hAnsi="Arial"/>
                <w:sz w:val="14"/>
                <w:szCs w:val="14"/>
                <w:b w:val="1"/>
                <w:bCs w:val="1"/>
                <w:color w:val="auto"/>
              </w:rPr>
              <w:t>May 3,</w:t>
            </w:r>
          </w:p>
        </w:tc>
        <w:tc>
          <w:tcPr>
            <w:tcW w:w="3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gridSpan w:val="2"/>
          </w:tcPr>
          <w:p>
            <w:pPr>
              <w:jc w:val="right"/>
              <w:ind w:right="32"/>
              <w:spacing w:after="0" w:line="129" w:lineRule="exact"/>
              <w:rPr>
                <w:sz w:val="20"/>
                <w:szCs w:val="20"/>
                <w:color w:val="auto"/>
              </w:rPr>
            </w:pPr>
            <w:r>
              <w:rPr>
                <w:rFonts w:ascii="Arial" w:cs="Arial" w:eastAsia="Arial" w:hAnsi="Arial"/>
                <w:sz w:val="14"/>
                <w:szCs w:val="14"/>
                <w:b w:val="1"/>
                <w:bCs w:val="1"/>
                <w:color w:val="auto"/>
              </w:rPr>
              <w:t>May 4,</w:t>
            </w:r>
          </w:p>
        </w:tc>
        <w:tc>
          <w:tcPr>
            <w:tcW w:w="1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3400" w:type="dxa"/>
            <w:vAlign w:val="bottom"/>
          </w:tcPr>
          <w:p>
            <w:pPr>
              <w:spacing w:after="0"/>
              <w:rPr>
                <w:sz w:val="14"/>
                <w:szCs w:val="14"/>
                <w:color w:val="auto"/>
              </w:rPr>
            </w:pPr>
          </w:p>
        </w:tc>
        <w:tc>
          <w:tcPr>
            <w:tcW w:w="15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60" w:type="dxa"/>
            <w:vAlign w:val="bottom"/>
            <w:gridSpan w:val="3"/>
          </w:tcPr>
          <w:p>
            <w:pPr>
              <w:jc w:val="right"/>
              <w:ind w:right="92"/>
              <w:spacing w:after="0"/>
              <w:rPr>
                <w:sz w:val="20"/>
                <w:szCs w:val="20"/>
                <w:color w:val="auto"/>
              </w:rPr>
            </w:pPr>
            <w:r>
              <w:rPr>
                <w:rFonts w:ascii="Arial" w:cs="Arial" w:eastAsia="Arial" w:hAnsi="Arial"/>
                <w:sz w:val="14"/>
                <w:szCs w:val="14"/>
                <w:b w:val="1"/>
                <w:bCs w:val="1"/>
                <w:color w:val="auto"/>
              </w:rPr>
              <w:t>2014</w:t>
            </w:r>
          </w:p>
        </w:tc>
        <w:tc>
          <w:tcPr>
            <w:tcW w:w="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700" w:type="dxa"/>
            <w:vAlign w:val="bottom"/>
            <w:gridSpan w:val="3"/>
          </w:tcPr>
          <w:p>
            <w:pPr>
              <w:jc w:val="right"/>
              <w:ind w:right="92"/>
              <w:spacing w:after="0"/>
              <w:rPr>
                <w:sz w:val="20"/>
                <w:szCs w:val="20"/>
                <w:color w:val="auto"/>
              </w:rPr>
            </w:pPr>
            <w:r>
              <w:rPr>
                <w:rFonts w:ascii="Arial" w:cs="Arial" w:eastAsia="Arial" w:hAnsi="Arial"/>
                <w:sz w:val="14"/>
                <w:szCs w:val="14"/>
                <w:b w:val="1"/>
                <w:bCs w:val="1"/>
                <w:color w:val="auto"/>
              </w:rPr>
              <w:t>2013</w:t>
            </w:r>
          </w:p>
        </w:tc>
        <w:tc>
          <w:tcPr>
            <w:tcW w:w="1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34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Beginning balance</w:t>
            </w:r>
          </w:p>
        </w:tc>
        <w:tc>
          <w:tcPr>
            <w:tcW w:w="158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CCEEFF"/>
            </w:tcBorders>
            <w:shd w:val="clear" w:color="auto" w:fill="CCEEFF"/>
          </w:tcPr>
          <w:p>
            <w:pPr>
              <w:spacing w:after="0"/>
              <w:rPr>
                <w:sz w:val="18"/>
                <w:szCs w:val="18"/>
                <w:color w:val="auto"/>
              </w:rPr>
            </w:pPr>
          </w:p>
        </w:tc>
        <w:tc>
          <w:tcPr>
            <w:tcW w:w="4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2"/>
              </w:rPr>
              <w:t>$16,279</w:t>
            </w:r>
          </w:p>
        </w:tc>
        <w:tc>
          <w:tcPr>
            <w:tcW w:w="8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6"/>
              </w:rPr>
              <w:t>$16,769</w:t>
            </w:r>
          </w:p>
        </w:tc>
        <w:tc>
          <w:tcPr>
            <w:tcW w:w="120" w:type="dxa"/>
            <w:vAlign w:val="bottom"/>
            <w:tcBorders>
              <w:top w:val="single" w:sz="8" w:color="CCEEFF"/>
            </w:tcBorders>
            <w:shd w:val="clear" w:color="auto" w:fill="CCEEFF"/>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3400" w:type="dxa"/>
            <w:vAlign w:val="bottom"/>
          </w:tcPr>
          <w:p>
            <w:pPr>
              <w:spacing w:after="0"/>
              <w:rPr>
                <w:sz w:val="20"/>
                <w:szCs w:val="20"/>
                <w:color w:val="auto"/>
              </w:rPr>
            </w:pPr>
            <w:r>
              <w:rPr>
                <w:rFonts w:ascii="Arial" w:cs="Arial" w:eastAsia="Arial" w:hAnsi="Arial"/>
                <w:sz w:val="18"/>
                <w:szCs w:val="18"/>
                <w:color w:val="auto"/>
              </w:rPr>
              <w:t>Sales and redemptions</w:t>
            </w:r>
          </w:p>
        </w:tc>
        <w:tc>
          <w:tcPr>
            <w:tcW w:w="15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740" w:type="dxa"/>
            <w:vAlign w:val="bottom"/>
            <w:gridSpan w:val="4"/>
          </w:tcPr>
          <w:p>
            <w:pPr>
              <w:jc w:val="right"/>
              <w:ind w:right="40"/>
              <w:spacing w:after="0"/>
              <w:rPr>
                <w:sz w:val="20"/>
                <w:szCs w:val="20"/>
                <w:color w:val="auto"/>
              </w:rPr>
            </w:pPr>
            <w:r>
              <w:rPr>
                <w:rFonts w:ascii="Arial" w:cs="Arial" w:eastAsia="Arial" w:hAnsi="Arial"/>
                <w:sz w:val="18"/>
                <w:szCs w:val="18"/>
                <w:color w:val="auto"/>
              </w:rPr>
              <w:t>(3,000)</w:t>
            </w:r>
          </w:p>
        </w:tc>
        <w:tc>
          <w:tcPr>
            <w:tcW w:w="300" w:type="dxa"/>
            <w:vAlign w:val="bottom"/>
          </w:tcPr>
          <w:p>
            <w:pPr>
              <w:spacing w:after="0"/>
              <w:rPr>
                <w:sz w:val="18"/>
                <w:szCs w:val="18"/>
                <w:color w:val="auto"/>
              </w:rPr>
            </w:pPr>
          </w:p>
        </w:tc>
        <w:tc>
          <w:tcPr>
            <w:tcW w:w="820" w:type="dxa"/>
            <w:vAlign w:val="bottom"/>
            <w:gridSpan w:val="4"/>
          </w:tcPr>
          <w:p>
            <w:pPr>
              <w:jc w:val="right"/>
              <w:spacing w:after="0"/>
              <w:rPr>
                <w:sz w:val="20"/>
                <w:szCs w:val="20"/>
                <w:color w:val="auto"/>
              </w:rPr>
            </w:pPr>
            <w:r>
              <w:rPr>
                <w:rFonts w:ascii="Arial" w:cs="Arial" w:eastAsia="Arial" w:hAnsi="Arial"/>
                <w:sz w:val="18"/>
                <w:szCs w:val="18"/>
                <w:color w:val="auto"/>
              </w:rPr>
              <w:t>(300)</w:t>
            </w: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080" w:type="dxa"/>
            <w:vAlign w:val="bottom"/>
            <w:gridSpan w:val="4"/>
            <w:shd w:val="clear" w:color="auto" w:fill="CCEEFF"/>
          </w:tcPr>
          <w:p>
            <w:pPr>
              <w:spacing w:after="0"/>
              <w:rPr>
                <w:sz w:val="20"/>
                <w:szCs w:val="20"/>
                <w:color w:val="auto"/>
              </w:rPr>
            </w:pPr>
            <w:r>
              <w:rPr>
                <w:rFonts w:ascii="Arial" w:cs="Arial" w:eastAsia="Arial" w:hAnsi="Arial"/>
                <w:sz w:val="18"/>
                <w:szCs w:val="18"/>
                <w:color w:val="auto"/>
                <w:w w:val="87"/>
              </w:rPr>
              <w:t>Unrealized losses included in accumulated other comprehensive income</w:t>
            </w: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177</w:t>
            </w:r>
          </w:p>
        </w:tc>
        <w:tc>
          <w:tcPr>
            <w:tcW w:w="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81</w:t>
            </w:r>
          </w:p>
        </w:tc>
        <w:tc>
          <w:tcPr>
            <w:tcW w:w="120" w:type="dxa"/>
            <w:vAlign w:val="bottom"/>
            <w:shd w:val="clear" w:color="auto" w:fill="CCEEFF"/>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4300" w:type="dxa"/>
            <w:vAlign w:val="bottom"/>
            <w:gridSpan w:val="2"/>
          </w:tcPr>
          <w:p>
            <w:pPr>
              <w:ind w:left="900"/>
              <w:spacing w:after="0"/>
              <w:rPr>
                <w:sz w:val="20"/>
                <w:szCs w:val="20"/>
                <w:color w:val="auto"/>
              </w:rPr>
            </w:pPr>
            <w:r>
              <w:rPr>
                <w:rFonts w:ascii="Arial" w:cs="Arial" w:eastAsia="Arial" w:hAnsi="Arial"/>
                <w:sz w:val="18"/>
                <w:szCs w:val="18"/>
                <w:color w:val="auto"/>
              </w:rPr>
              <w:t>Ending balance</w:t>
            </w:r>
          </w:p>
        </w:tc>
        <w:tc>
          <w:tcPr>
            <w:tcW w:w="15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660" w:type="dxa"/>
            <w:vAlign w:val="bottom"/>
            <w:gridSpan w:val="3"/>
          </w:tcPr>
          <w:p>
            <w:pPr>
              <w:jc w:val="right"/>
              <w:spacing w:after="0"/>
              <w:rPr>
                <w:sz w:val="20"/>
                <w:szCs w:val="20"/>
                <w:color w:val="auto"/>
              </w:rPr>
            </w:pPr>
            <w:r>
              <w:rPr>
                <w:rFonts w:ascii="Arial" w:cs="Arial" w:eastAsia="Arial" w:hAnsi="Arial"/>
                <w:sz w:val="18"/>
                <w:szCs w:val="18"/>
                <w:u w:val="single" w:color="auto"/>
                <w:color w:val="auto"/>
                <w:w w:val="95"/>
              </w:rPr>
              <w:t>$</w:t>
            </w:r>
            <w:r>
              <w:rPr>
                <w:rFonts w:ascii="Arial" w:cs="Arial" w:eastAsia="Arial" w:hAnsi="Arial"/>
                <w:sz w:val="18"/>
                <w:szCs w:val="18"/>
                <w:color w:val="auto"/>
                <w:w w:val="95"/>
              </w:rPr>
              <w:t>13,456</w:t>
            </w:r>
          </w:p>
        </w:tc>
        <w:tc>
          <w:tcPr>
            <w:tcW w:w="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700" w:type="dxa"/>
            <w:vAlign w:val="bottom"/>
            <w:gridSpan w:val="3"/>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16,550</w:t>
            </w:r>
          </w:p>
        </w:tc>
        <w:tc>
          <w:tcPr>
            <w:tcW w:w="1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3400" w:type="dxa"/>
            <w:vAlign w:val="bottom"/>
          </w:tcPr>
          <w:p>
            <w:pPr>
              <w:spacing w:after="0" w:line="20" w:lineRule="exact"/>
              <w:rPr>
                <w:sz w:val="1"/>
                <w:szCs w:val="1"/>
                <w:color w:val="auto"/>
              </w:rPr>
            </w:pPr>
          </w:p>
        </w:tc>
        <w:tc>
          <w:tcPr>
            <w:tcW w:w="1580" w:type="dxa"/>
            <w:vAlign w:val="bottom"/>
            <w:vMerge w:val="restart"/>
          </w:tcPr>
          <w:p>
            <w:pPr>
              <w:jc w:val="right"/>
              <w:ind w:right="472"/>
              <w:spacing w:after="0"/>
              <w:rPr>
                <w:sz w:val="20"/>
                <w:szCs w:val="20"/>
                <w:color w:val="auto"/>
              </w:rPr>
            </w:pPr>
            <w:r>
              <w:rPr>
                <w:rFonts w:ascii="Arial" w:cs="Arial" w:eastAsia="Arial" w:hAnsi="Arial"/>
                <w:sz w:val="18"/>
                <w:szCs w:val="18"/>
                <w:color w:val="auto"/>
              </w:rPr>
              <w:t>14</w:t>
            </w: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3400" w:type="dxa"/>
            <w:vAlign w:val="bottom"/>
          </w:tcPr>
          <w:p>
            <w:pPr>
              <w:spacing w:after="0"/>
              <w:rPr>
                <w:sz w:val="24"/>
                <w:szCs w:val="24"/>
                <w:color w:val="auto"/>
              </w:rPr>
            </w:pPr>
          </w:p>
        </w:tc>
        <w:tc>
          <w:tcPr>
            <w:tcW w:w="1580" w:type="dxa"/>
            <w:vAlign w:val="bottom"/>
            <w:vMerge w:val="continue"/>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960"/>
          </w:cols>
          <w:pgMar w:left="240" w:top="459" w:right="69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Acquired Intangible Assets, Net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carrying amount of acquired intangible assets, net, are as follows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0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080" w:type="dxa"/>
            <w:vAlign w:val="bottom"/>
            <w:tcBorders>
              <w:bottom w:val="single" w:sz="8" w:color="auto"/>
            </w:tcBorders>
            <w:gridSpan w:val="3"/>
          </w:tcPr>
          <w:p>
            <w:pPr>
              <w:jc w:val="center"/>
              <w:ind w:right="280"/>
              <w:spacing w:after="0"/>
              <w:rPr>
                <w:sz w:val="20"/>
                <w:szCs w:val="20"/>
                <w:color w:val="auto"/>
              </w:rPr>
            </w:pPr>
            <w:r>
              <w:rPr>
                <w:rFonts w:ascii="Arial" w:cs="Arial" w:eastAsia="Arial" w:hAnsi="Arial"/>
                <w:sz w:val="14"/>
                <w:szCs w:val="14"/>
                <w:b w:val="1"/>
                <w:bCs w:val="1"/>
                <w:color w:val="auto"/>
                <w:w w:val="92"/>
              </w:rPr>
              <w:t>May 3, 2014</w:t>
            </w:r>
          </w:p>
        </w:tc>
        <w:tc>
          <w:tcPr>
            <w:tcW w:w="580" w:type="dxa"/>
            <w:vAlign w:val="bottom"/>
            <w:tcBorders>
              <w:bottom w:val="single" w:sz="8" w:color="auto"/>
            </w:tcBorders>
          </w:tcPr>
          <w:p>
            <w:pPr>
              <w:spacing w:after="0"/>
              <w:rPr>
                <w:sz w:val="14"/>
                <w:szCs w:val="14"/>
                <w:color w:val="auto"/>
              </w:rPr>
            </w:pP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180" w:type="dxa"/>
            <w:vAlign w:val="bottom"/>
            <w:tcBorders>
              <w:bottom w:val="single" w:sz="8" w:color="auto"/>
            </w:tcBorders>
            <w:gridSpan w:val="4"/>
          </w:tcPr>
          <w:p>
            <w:pPr>
              <w:jc w:val="center"/>
              <w:spacing w:after="0"/>
              <w:rPr>
                <w:sz w:val="20"/>
                <w:szCs w:val="20"/>
                <w:color w:val="auto"/>
              </w:rPr>
            </w:pPr>
            <w:r>
              <w:rPr>
                <w:rFonts w:ascii="Arial" w:cs="Arial" w:eastAsia="Arial" w:hAnsi="Arial"/>
                <w:sz w:val="14"/>
                <w:szCs w:val="14"/>
                <w:b w:val="1"/>
                <w:bCs w:val="1"/>
                <w:color w:val="auto"/>
                <w:w w:val="88"/>
              </w:rPr>
              <w:t>February 1, 2014</w:t>
            </w: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0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080" w:type="dxa"/>
            <w:vAlign w:val="bottom"/>
            <w:gridSpan w:val="3"/>
          </w:tcPr>
          <w:p>
            <w:pPr>
              <w:jc w:val="center"/>
              <w:ind w:right="28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5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980" w:type="dxa"/>
            <w:vAlign w:val="bottom"/>
            <w:gridSpan w:val="3"/>
          </w:tcPr>
          <w:p>
            <w:pPr>
              <w:jc w:val="center"/>
              <w:ind w:right="18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50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80" w:type="dxa"/>
            <w:vAlign w:val="bottom"/>
          </w:tcPr>
          <w:p>
            <w:pPr>
              <w:jc w:val="right"/>
              <w:ind w:right="59"/>
              <w:spacing w:after="0" w:line="149" w:lineRule="exact"/>
              <w:rPr>
                <w:sz w:val="20"/>
                <w:szCs w:val="20"/>
                <w:color w:val="auto"/>
              </w:rPr>
            </w:pPr>
            <w:r>
              <w:rPr>
                <w:rFonts w:ascii="Arial" w:cs="Arial" w:eastAsia="Arial" w:hAnsi="Arial"/>
                <w:sz w:val="14"/>
                <w:szCs w:val="14"/>
                <w:b w:val="1"/>
                <w:bCs w:val="1"/>
                <w:color w:val="auto"/>
              </w:rPr>
              <w:t>Gross</w:t>
            </w:r>
          </w:p>
        </w:tc>
        <w:tc>
          <w:tcPr>
            <w:tcW w:w="280" w:type="dxa"/>
            <w:vAlign w:val="bottom"/>
          </w:tcPr>
          <w:p>
            <w:pPr>
              <w:spacing w:after="0"/>
              <w:rPr>
                <w:sz w:val="12"/>
                <w:szCs w:val="12"/>
                <w:color w:val="auto"/>
              </w:rPr>
            </w:pPr>
          </w:p>
        </w:tc>
        <w:tc>
          <w:tcPr>
            <w:tcW w:w="1080" w:type="dxa"/>
            <w:vAlign w:val="bottom"/>
            <w:gridSpan w:val="3"/>
          </w:tcPr>
          <w:p>
            <w:pPr>
              <w:jc w:val="center"/>
              <w:ind w:right="280"/>
              <w:spacing w:after="0" w:line="149" w:lineRule="exact"/>
              <w:rPr>
                <w:sz w:val="20"/>
                <w:szCs w:val="20"/>
                <w:color w:val="auto"/>
              </w:rPr>
            </w:pPr>
            <w:r>
              <w:rPr>
                <w:rFonts w:ascii="Arial" w:cs="Arial" w:eastAsia="Arial" w:hAnsi="Arial"/>
                <w:sz w:val="14"/>
                <w:szCs w:val="14"/>
                <w:b w:val="1"/>
                <w:bCs w:val="1"/>
                <w:color w:val="auto"/>
                <w:w w:val="88"/>
              </w:rPr>
              <w:t>Amortization</w:t>
            </w:r>
          </w:p>
        </w:tc>
        <w:tc>
          <w:tcPr>
            <w:tcW w:w="74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88"/>
              </w:rPr>
              <w:t>Net</w:t>
            </w:r>
          </w:p>
        </w:tc>
        <w:tc>
          <w:tcPr>
            <w:tcW w:w="140" w:type="dxa"/>
            <w:vAlign w:val="bottom"/>
          </w:tcPr>
          <w:p>
            <w:pPr>
              <w:spacing w:after="0"/>
              <w:rPr>
                <w:sz w:val="12"/>
                <w:szCs w:val="12"/>
                <w:color w:val="auto"/>
              </w:rPr>
            </w:pPr>
          </w:p>
        </w:tc>
        <w:tc>
          <w:tcPr>
            <w:tcW w:w="68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3"/>
              </w:rPr>
              <w:t>Gross</w:t>
            </w:r>
          </w:p>
        </w:tc>
        <w:tc>
          <w:tcPr>
            <w:tcW w:w="200" w:type="dxa"/>
            <w:vAlign w:val="bottom"/>
          </w:tcPr>
          <w:p>
            <w:pPr>
              <w:spacing w:after="0"/>
              <w:rPr>
                <w:sz w:val="12"/>
                <w:szCs w:val="12"/>
                <w:color w:val="auto"/>
              </w:rPr>
            </w:pPr>
          </w:p>
        </w:tc>
        <w:tc>
          <w:tcPr>
            <w:tcW w:w="980" w:type="dxa"/>
            <w:vAlign w:val="bottom"/>
            <w:gridSpan w:val="3"/>
          </w:tcPr>
          <w:p>
            <w:pPr>
              <w:jc w:val="center"/>
              <w:ind w:right="200"/>
              <w:spacing w:after="0" w:line="149" w:lineRule="exact"/>
              <w:rPr>
                <w:sz w:val="20"/>
                <w:szCs w:val="20"/>
                <w:color w:val="auto"/>
              </w:rPr>
            </w:pPr>
            <w:r>
              <w:rPr>
                <w:rFonts w:ascii="Arial" w:cs="Arial" w:eastAsia="Arial" w:hAnsi="Arial"/>
                <w:sz w:val="14"/>
                <w:szCs w:val="14"/>
                <w:b w:val="1"/>
                <w:bCs w:val="1"/>
                <w:color w:val="auto"/>
                <w:w w:val="91"/>
              </w:rPr>
              <w:t>Amortization</w:t>
            </w:r>
          </w:p>
        </w:tc>
        <w:tc>
          <w:tcPr>
            <w:tcW w:w="100" w:type="dxa"/>
            <w:vAlign w:val="bottom"/>
          </w:tcPr>
          <w:p>
            <w:pPr>
              <w:spacing w:after="0"/>
              <w:rPr>
                <w:sz w:val="12"/>
                <w:szCs w:val="12"/>
                <w:color w:val="auto"/>
              </w:rPr>
            </w:pPr>
          </w:p>
        </w:tc>
        <w:tc>
          <w:tcPr>
            <w:tcW w:w="68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8"/>
              </w:rPr>
              <w:t>Net</w:t>
            </w:r>
          </w:p>
        </w:tc>
        <w:tc>
          <w:tcPr>
            <w:tcW w:w="0" w:type="dxa"/>
            <w:vAlign w:val="bottom"/>
          </w:tcPr>
          <w:p>
            <w:pPr>
              <w:spacing w:after="0"/>
              <w:rPr>
                <w:sz w:val="1"/>
                <w:szCs w:val="1"/>
                <w:color w:val="auto"/>
              </w:rPr>
            </w:pPr>
          </w:p>
        </w:tc>
      </w:tr>
      <w:tr>
        <w:trPr>
          <w:trHeight w:val="149"/>
        </w:trPr>
        <w:tc>
          <w:tcPr>
            <w:tcW w:w="5000" w:type="dxa"/>
            <w:vAlign w:val="bottom"/>
          </w:tcPr>
          <w:p>
            <w:pPr>
              <w:spacing w:after="0"/>
              <w:rPr>
                <w:sz w:val="12"/>
                <w:szCs w:val="12"/>
                <w:color w:val="auto"/>
              </w:rPr>
            </w:pPr>
          </w:p>
        </w:tc>
        <w:tc>
          <w:tcPr>
            <w:tcW w:w="96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6"/>
              </w:rPr>
              <w:t>Range of</w:t>
            </w:r>
          </w:p>
        </w:tc>
        <w:tc>
          <w:tcPr>
            <w:tcW w:w="58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90"/>
              </w:rPr>
              <w:t>Carrying</w:t>
            </w:r>
          </w:p>
        </w:tc>
        <w:tc>
          <w:tcPr>
            <w:tcW w:w="2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0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0"/>
              </w:rPr>
              <w:t>and</w:t>
            </w:r>
          </w:p>
        </w:tc>
        <w:tc>
          <w:tcPr>
            <w:tcW w:w="74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90"/>
              </w:rPr>
              <w:t>Carrying</w:t>
            </w:r>
          </w:p>
        </w:tc>
        <w:tc>
          <w:tcPr>
            <w:tcW w:w="140" w:type="dxa"/>
            <w:vAlign w:val="bottom"/>
          </w:tcPr>
          <w:p>
            <w:pPr>
              <w:spacing w:after="0"/>
              <w:rPr>
                <w:sz w:val="12"/>
                <w:szCs w:val="12"/>
                <w:color w:val="auto"/>
              </w:rPr>
            </w:pPr>
          </w:p>
        </w:tc>
        <w:tc>
          <w:tcPr>
            <w:tcW w:w="68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90"/>
              </w:rPr>
              <w:t>Carrying</w:t>
            </w:r>
          </w:p>
        </w:tc>
        <w:tc>
          <w:tcPr>
            <w:tcW w:w="2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and</w:t>
            </w:r>
          </w:p>
        </w:tc>
        <w:tc>
          <w:tcPr>
            <w:tcW w:w="100" w:type="dxa"/>
            <w:vAlign w:val="bottom"/>
          </w:tcPr>
          <w:p>
            <w:pPr>
              <w:spacing w:after="0"/>
              <w:rPr>
                <w:sz w:val="12"/>
                <w:szCs w:val="12"/>
                <w:color w:val="auto"/>
              </w:rPr>
            </w:pPr>
          </w:p>
        </w:tc>
        <w:tc>
          <w:tcPr>
            <w:tcW w:w="68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Carrying</w:t>
            </w:r>
          </w:p>
        </w:tc>
        <w:tc>
          <w:tcPr>
            <w:tcW w:w="0" w:type="dxa"/>
            <w:vAlign w:val="bottom"/>
          </w:tcPr>
          <w:p>
            <w:pPr>
              <w:spacing w:after="0"/>
              <w:rPr>
                <w:sz w:val="1"/>
                <w:szCs w:val="1"/>
                <w:color w:val="auto"/>
              </w:rPr>
            </w:pPr>
          </w:p>
        </w:tc>
      </w:tr>
      <w:tr>
        <w:trPr>
          <w:trHeight w:val="161"/>
        </w:trPr>
        <w:tc>
          <w:tcPr>
            <w:tcW w:w="5000" w:type="dxa"/>
            <w:vAlign w:val="bottom"/>
          </w:tcPr>
          <w:p>
            <w:pPr>
              <w:spacing w:after="0"/>
              <w:rPr>
                <w:sz w:val="14"/>
                <w:szCs w:val="14"/>
                <w:color w:val="auto"/>
              </w:rPr>
            </w:pPr>
          </w:p>
        </w:tc>
        <w:tc>
          <w:tcPr>
            <w:tcW w:w="96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7"/>
              </w:rPr>
              <w:t>Useful Lives</w:t>
            </w: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85"/>
              </w:rPr>
              <w:t>Amounts</w:t>
            </w:r>
          </w:p>
        </w:tc>
        <w:tc>
          <w:tcPr>
            <w:tcW w:w="280" w:type="dxa"/>
            <w:vAlign w:val="bottom"/>
          </w:tcPr>
          <w:p>
            <w:pPr>
              <w:spacing w:after="0"/>
              <w:rPr>
                <w:sz w:val="14"/>
                <w:szCs w:val="14"/>
                <w:color w:val="auto"/>
              </w:rPr>
            </w:pPr>
          </w:p>
        </w:tc>
        <w:tc>
          <w:tcPr>
            <w:tcW w:w="1080" w:type="dxa"/>
            <w:vAlign w:val="bottom"/>
            <w:gridSpan w:val="3"/>
          </w:tcPr>
          <w:p>
            <w:pPr>
              <w:jc w:val="center"/>
              <w:ind w:right="280"/>
              <w:spacing w:after="0"/>
              <w:rPr>
                <w:sz w:val="20"/>
                <w:szCs w:val="20"/>
                <w:color w:val="auto"/>
              </w:rPr>
            </w:pPr>
            <w:r>
              <w:rPr>
                <w:rFonts w:ascii="Arial" w:cs="Arial" w:eastAsia="Arial" w:hAnsi="Arial"/>
                <w:sz w:val="14"/>
                <w:szCs w:val="14"/>
                <w:b w:val="1"/>
                <w:bCs w:val="1"/>
                <w:color w:val="auto"/>
                <w:w w:val="94"/>
              </w:rPr>
              <w:t>Write-Offs</w:t>
            </w:r>
          </w:p>
        </w:tc>
        <w:tc>
          <w:tcPr>
            <w:tcW w:w="74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90"/>
              </w:rPr>
              <w:t>Amount</w:t>
            </w:r>
          </w:p>
        </w:tc>
        <w:tc>
          <w:tcPr>
            <w:tcW w:w="140" w:type="dxa"/>
            <w:vAlign w:val="bottom"/>
          </w:tcPr>
          <w:p>
            <w:pPr>
              <w:spacing w:after="0"/>
              <w:rPr>
                <w:sz w:val="14"/>
                <w:szCs w:val="14"/>
                <w:color w:val="auto"/>
              </w:rPr>
            </w:pPr>
          </w:p>
        </w:tc>
        <w:tc>
          <w:tcPr>
            <w:tcW w:w="68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5"/>
              </w:rPr>
              <w:t>Amounts</w:t>
            </w:r>
          </w:p>
        </w:tc>
        <w:tc>
          <w:tcPr>
            <w:tcW w:w="200" w:type="dxa"/>
            <w:vAlign w:val="bottom"/>
          </w:tcPr>
          <w:p>
            <w:pPr>
              <w:spacing w:after="0"/>
              <w:rPr>
                <w:sz w:val="14"/>
                <w:szCs w:val="14"/>
                <w:color w:val="auto"/>
              </w:rPr>
            </w:pPr>
          </w:p>
        </w:tc>
        <w:tc>
          <w:tcPr>
            <w:tcW w:w="980" w:type="dxa"/>
            <w:vAlign w:val="bottom"/>
            <w:gridSpan w:val="3"/>
          </w:tcPr>
          <w:p>
            <w:pPr>
              <w:jc w:val="center"/>
              <w:ind w:right="200"/>
              <w:spacing w:after="0"/>
              <w:rPr>
                <w:sz w:val="20"/>
                <w:szCs w:val="20"/>
                <w:color w:val="auto"/>
              </w:rPr>
            </w:pPr>
            <w:r>
              <w:rPr>
                <w:rFonts w:ascii="Arial" w:cs="Arial" w:eastAsia="Arial" w:hAnsi="Arial"/>
                <w:sz w:val="14"/>
                <w:szCs w:val="14"/>
                <w:b w:val="1"/>
                <w:bCs w:val="1"/>
                <w:color w:val="auto"/>
                <w:w w:val="91"/>
              </w:rPr>
              <w:t>Write-Offs</w:t>
            </w:r>
          </w:p>
        </w:tc>
        <w:tc>
          <w:tcPr>
            <w:tcW w:w="100" w:type="dxa"/>
            <w:vAlign w:val="bottom"/>
          </w:tcPr>
          <w:p>
            <w:pPr>
              <w:spacing w:after="0"/>
              <w:rPr>
                <w:sz w:val="14"/>
                <w:szCs w:val="14"/>
                <w:color w:val="auto"/>
              </w:rPr>
            </w:pPr>
          </w:p>
        </w:tc>
        <w:tc>
          <w:tcPr>
            <w:tcW w:w="68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90"/>
              </w:rPr>
              <w:t>Amount</w:t>
            </w:r>
          </w:p>
        </w:tc>
        <w:tc>
          <w:tcPr>
            <w:tcW w:w="0" w:type="dxa"/>
            <w:vAlign w:val="bottom"/>
          </w:tcPr>
          <w:p>
            <w:pPr>
              <w:spacing w:after="0"/>
              <w:rPr>
                <w:sz w:val="1"/>
                <w:szCs w:val="1"/>
                <w:color w:val="auto"/>
              </w:rPr>
            </w:pPr>
          </w:p>
        </w:tc>
      </w:tr>
      <w:tr>
        <w:trPr>
          <w:trHeight w:val="210"/>
        </w:trPr>
        <w:tc>
          <w:tcPr>
            <w:tcW w:w="50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Purchased technology</w:t>
            </w:r>
          </w:p>
        </w:tc>
        <w:tc>
          <w:tcPr>
            <w:tcW w:w="7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4"/>
              </w:rPr>
              <w:t>4 -6 years</w:t>
            </w:r>
          </w:p>
        </w:tc>
        <w:tc>
          <w:tcPr>
            <w:tcW w:w="22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$49,240</w:t>
            </w:r>
          </w:p>
        </w:tc>
        <w:tc>
          <w:tcPr>
            <w:tcW w:w="28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ind w:right="6"/>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(22,879)</w:t>
            </w:r>
          </w:p>
        </w:tc>
        <w:tc>
          <w:tcPr>
            <w:tcW w:w="28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9"/>
              </w:rPr>
              <w:t>$26,361</w:t>
            </w:r>
          </w:p>
        </w:tc>
        <w:tc>
          <w:tcPr>
            <w:tcW w:w="1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9"/>
              </w:rPr>
              <w:t>$49,240</w:t>
            </w:r>
          </w:p>
        </w:tc>
        <w:tc>
          <w:tcPr>
            <w:tcW w:w="1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(20,634)</w:t>
            </w:r>
          </w:p>
        </w:tc>
        <w:tc>
          <w:tcPr>
            <w:tcW w:w="2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$28,606</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000" w:type="dxa"/>
            <w:vAlign w:val="bottom"/>
          </w:tcPr>
          <w:p>
            <w:pPr>
              <w:spacing w:after="0"/>
              <w:rPr>
                <w:sz w:val="20"/>
                <w:szCs w:val="20"/>
                <w:color w:val="auto"/>
              </w:rPr>
            </w:pPr>
            <w:r>
              <w:rPr>
                <w:rFonts w:ascii="Arial" w:cs="Arial" w:eastAsia="Arial" w:hAnsi="Arial"/>
                <w:sz w:val="18"/>
                <w:szCs w:val="18"/>
                <w:color w:val="auto"/>
              </w:rPr>
              <w:t>Core technology</w:t>
            </w:r>
          </w:p>
        </w:tc>
        <w:tc>
          <w:tcPr>
            <w:tcW w:w="960" w:type="dxa"/>
            <w:vAlign w:val="bottom"/>
            <w:gridSpan w:val="2"/>
          </w:tcPr>
          <w:p>
            <w:pPr>
              <w:jc w:val="center"/>
              <w:ind w:right="220"/>
              <w:spacing w:after="0"/>
              <w:rPr>
                <w:sz w:val="20"/>
                <w:szCs w:val="20"/>
                <w:color w:val="auto"/>
              </w:rPr>
            </w:pPr>
            <w:r>
              <w:rPr>
                <w:rFonts w:ascii="Arial" w:cs="Arial" w:eastAsia="Arial" w:hAnsi="Arial"/>
                <w:sz w:val="18"/>
                <w:szCs w:val="18"/>
                <w:color w:val="auto"/>
                <w:w w:val="86"/>
              </w:rPr>
              <w:t>5 - 8 years</w:t>
            </w:r>
          </w:p>
        </w:tc>
        <w:tc>
          <w:tcPr>
            <w:tcW w:w="580" w:type="dxa"/>
            <w:vAlign w:val="bottom"/>
          </w:tcPr>
          <w:p>
            <w:pPr>
              <w:jc w:val="right"/>
              <w:spacing w:after="0"/>
              <w:rPr>
                <w:sz w:val="20"/>
                <w:szCs w:val="20"/>
                <w:color w:val="auto"/>
              </w:rPr>
            </w:pPr>
            <w:r>
              <w:rPr>
                <w:rFonts w:ascii="Arial" w:cs="Arial" w:eastAsia="Arial" w:hAnsi="Arial"/>
                <w:sz w:val="18"/>
                <w:szCs w:val="18"/>
                <w:color w:val="auto"/>
              </w:rPr>
              <w:t>2,350</w:t>
            </w: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00" w:type="dxa"/>
            <w:vAlign w:val="bottom"/>
            <w:gridSpan w:val="2"/>
          </w:tcPr>
          <w:p>
            <w:pPr>
              <w:jc w:val="right"/>
              <w:ind w:right="220"/>
              <w:spacing w:after="0"/>
              <w:rPr>
                <w:sz w:val="20"/>
                <w:szCs w:val="20"/>
                <w:color w:val="auto"/>
              </w:rPr>
            </w:pPr>
            <w:r>
              <w:rPr>
                <w:rFonts w:ascii="Arial" w:cs="Arial" w:eastAsia="Arial" w:hAnsi="Arial"/>
                <w:sz w:val="18"/>
                <w:szCs w:val="18"/>
                <w:color w:val="auto"/>
              </w:rPr>
              <w:t>(1,672)</w:t>
            </w: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rPr>
              <w:t>678</w:t>
            </w:r>
          </w:p>
        </w:tc>
        <w:tc>
          <w:tcPr>
            <w:tcW w:w="820" w:type="dxa"/>
            <w:vAlign w:val="bottom"/>
            <w:gridSpan w:val="3"/>
          </w:tcPr>
          <w:p>
            <w:pPr>
              <w:jc w:val="right"/>
              <w:ind w:right="100"/>
              <w:spacing w:after="0"/>
              <w:rPr>
                <w:sz w:val="20"/>
                <w:szCs w:val="20"/>
                <w:color w:val="auto"/>
              </w:rPr>
            </w:pPr>
            <w:r>
              <w:rPr>
                <w:rFonts w:ascii="Arial" w:cs="Arial" w:eastAsia="Arial" w:hAnsi="Arial"/>
                <w:sz w:val="18"/>
                <w:szCs w:val="18"/>
                <w:color w:val="auto"/>
              </w:rPr>
              <w:t>2,350</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(1,583)</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767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Trade names</w:t>
            </w:r>
          </w:p>
        </w:tc>
        <w:tc>
          <w:tcPr>
            <w:tcW w:w="960" w:type="dxa"/>
            <w:vAlign w:val="bottom"/>
            <w:gridSpan w:val="2"/>
            <w:shd w:val="clear" w:color="auto" w:fill="CCEEFF"/>
          </w:tcPr>
          <w:p>
            <w:pPr>
              <w:jc w:val="center"/>
              <w:ind w:right="220"/>
              <w:spacing w:after="0"/>
              <w:rPr>
                <w:sz w:val="20"/>
                <w:szCs w:val="20"/>
                <w:color w:val="auto"/>
              </w:rPr>
            </w:pPr>
            <w:r>
              <w:rPr>
                <w:rFonts w:ascii="Arial" w:cs="Arial" w:eastAsia="Arial" w:hAnsi="Arial"/>
                <w:sz w:val="18"/>
                <w:szCs w:val="18"/>
                <w:color w:val="auto"/>
                <w:w w:val="84"/>
              </w:rPr>
              <w:t>5 years</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1,300</w:t>
            </w: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(632)</w:t>
            </w:r>
          </w:p>
        </w:tc>
        <w:tc>
          <w:tcPr>
            <w:tcW w:w="7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668</w:t>
            </w:r>
          </w:p>
        </w:tc>
        <w:tc>
          <w:tcPr>
            <w:tcW w:w="8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1,300</w:t>
            </w: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(568)</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732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000" w:type="dxa"/>
            <w:vAlign w:val="bottom"/>
          </w:tcPr>
          <w:p>
            <w:pPr>
              <w:spacing w:after="0"/>
              <w:rPr>
                <w:sz w:val="20"/>
                <w:szCs w:val="20"/>
                <w:color w:val="auto"/>
              </w:rPr>
            </w:pPr>
            <w:r>
              <w:rPr>
                <w:rFonts w:ascii="Arial" w:cs="Arial" w:eastAsia="Arial" w:hAnsi="Arial"/>
                <w:sz w:val="18"/>
                <w:szCs w:val="18"/>
                <w:color w:val="auto"/>
              </w:rPr>
              <w:t>Customer intangibles</w:t>
            </w:r>
          </w:p>
        </w:tc>
        <w:tc>
          <w:tcPr>
            <w:tcW w:w="960" w:type="dxa"/>
            <w:vAlign w:val="bottom"/>
            <w:gridSpan w:val="2"/>
          </w:tcPr>
          <w:p>
            <w:pPr>
              <w:jc w:val="center"/>
              <w:ind w:right="220"/>
              <w:spacing w:after="0"/>
              <w:rPr>
                <w:sz w:val="20"/>
                <w:szCs w:val="20"/>
                <w:color w:val="auto"/>
              </w:rPr>
            </w:pPr>
            <w:r>
              <w:rPr>
                <w:rFonts w:ascii="Arial" w:cs="Arial" w:eastAsia="Arial" w:hAnsi="Arial"/>
                <w:sz w:val="18"/>
                <w:szCs w:val="18"/>
                <w:color w:val="auto"/>
                <w:w w:val="86"/>
              </w:rPr>
              <w:t>5 - 6 years</w:t>
            </w:r>
          </w:p>
        </w:tc>
        <w:tc>
          <w:tcPr>
            <w:tcW w:w="580" w:type="dxa"/>
            <w:vAlign w:val="bottom"/>
          </w:tcPr>
          <w:p>
            <w:pPr>
              <w:jc w:val="right"/>
              <w:spacing w:after="0"/>
              <w:rPr>
                <w:sz w:val="20"/>
                <w:szCs w:val="20"/>
                <w:color w:val="auto"/>
              </w:rPr>
            </w:pPr>
            <w:r>
              <w:rPr>
                <w:rFonts w:ascii="Arial" w:cs="Arial" w:eastAsia="Arial" w:hAnsi="Arial"/>
                <w:sz w:val="18"/>
                <w:szCs w:val="18"/>
                <w:color w:val="auto"/>
              </w:rPr>
              <w:t>28,600</w:t>
            </w: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(14,446)</w:t>
            </w:r>
          </w:p>
        </w:tc>
        <w:tc>
          <w:tcPr>
            <w:tcW w:w="740" w:type="dxa"/>
            <w:vAlign w:val="bottom"/>
            <w:gridSpan w:val="2"/>
          </w:tcPr>
          <w:p>
            <w:pPr>
              <w:jc w:val="right"/>
              <w:ind w:right="160"/>
              <w:spacing w:after="0"/>
              <w:rPr>
                <w:sz w:val="20"/>
                <w:szCs w:val="20"/>
                <w:color w:val="auto"/>
              </w:rPr>
            </w:pPr>
            <w:r>
              <w:rPr>
                <w:rFonts w:ascii="Arial" w:cs="Arial" w:eastAsia="Arial" w:hAnsi="Arial"/>
                <w:sz w:val="18"/>
                <w:szCs w:val="18"/>
                <w:color w:val="auto"/>
              </w:rPr>
              <w:t>14,154</w:t>
            </w:r>
          </w:p>
        </w:tc>
        <w:tc>
          <w:tcPr>
            <w:tcW w:w="820" w:type="dxa"/>
            <w:vAlign w:val="bottom"/>
            <w:gridSpan w:val="3"/>
          </w:tcPr>
          <w:p>
            <w:pPr>
              <w:jc w:val="right"/>
              <w:ind w:right="100"/>
              <w:spacing w:after="0"/>
              <w:rPr>
                <w:sz w:val="20"/>
                <w:szCs w:val="20"/>
                <w:color w:val="auto"/>
              </w:rPr>
            </w:pPr>
            <w:r>
              <w:rPr>
                <w:rFonts w:ascii="Arial" w:cs="Arial" w:eastAsia="Arial" w:hAnsi="Arial"/>
                <w:sz w:val="18"/>
                <w:szCs w:val="18"/>
                <w:color w:val="auto"/>
              </w:rPr>
              <w:t>28,600</w:t>
            </w: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w w:val="98"/>
              </w:rPr>
              <w:t>(13,056)</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15,544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IPR&amp;D</w:t>
            </w:r>
          </w:p>
        </w:tc>
        <w:tc>
          <w:tcPr>
            <w:tcW w:w="7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9"/>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jc w:val="right"/>
              <w:ind w:right="15"/>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8"/>
                <w:szCs w:val="18"/>
                <w:color w:val="auto"/>
              </w:rPr>
            </w:pPr>
          </w:p>
        </w:tc>
        <w:tc>
          <w:tcPr>
            <w:tcW w:w="580" w:type="dxa"/>
            <w:vAlign w:val="bottom"/>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3,386</w:t>
            </w: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3,386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00" w:type="dxa"/>
            <w:vAlign w:val="bottom"/>
            <w:vMerge w:val="restart"/>
          </w:tcPr>
          <w:p>
            <w:pPr>
              <w:ind w:left="440"/>
              <w:spacing w:after="0"/>
              <w:rPr>
                <w:sz w:val="20"/>
                <w:szCs w:val="20"/>
                <w:color w:val="auto"/>
              </w:rPr>
            </w:pPr>
            <w:r>
              <w:rPr>
                <w:rFonts w:ascii="Arial" w:cs="Arial" w:eastAsia="Arial" w:hAnsi="Arial"/>
                <w:sz w:val="18"/>
                <w:szCs w:val="18"/>
                <w:color w:val="auto"/>
              </w:rPr>
              <w:t>Total intangible assets, net</w:t>
            </w:r>
          </w:p>
        </w:tc>
        <w:tc>
          <w:tcPr>
            <w:tcW w:w="7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000" w:type="dxa"/>
            <w:vAlign w:val="bottom"/>
            <w:vMerge w:val="continue"/>
          </w:tcPr>
          <w:p>
            <w:pPr>
              <w:spacing w:after="0"/>
              <w:rPr>
                <w:sz w:val="19"/>
                <w:szCs w:val="19"/>
                <w:color w:val="auto"/>
              </w:rPr>
            </w:pPr>
          </w:p>
        </w:tc>
        <w:tc>
          <w:tcPr>
            <w:tcW w:w="7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81,490</w:t>
            </w:r>
          </w:p>
        </w:tc>
        <w:tc>
          <w:tcPr>
            <w:tcW w:w="280" w:type="dxa"/>
            <w:vAlign w:val="bottom"/>
          </w:tcPr>
          <w:p>
            <w:pPr>
              <w:spacing w:after="0"/>
              <w:rPr>
                <w:sz w:val="19"/>
                <w:szCs w:val="19"/>
                <w:color w:val="auto"/>
              </w:rPr>
            </w:pPr>
          </w:p>
        </w:tc>
        <w:tc>
          <w:tcPr>
            <w:tcW w:w="180" w:type="dxa"/>
            <w:vAlign w:val="bottom"/>
          </w:tcPr>
          <w:p>
            <w:pPr>
              <w:jc w:val="right"/>
              <w:ind w:right="6"/>
              <w:spacing w:after="0"/>
              <w:rPr>
                <w:sz w:val="20"/>
                <w:szCs w:val="20"/>
                <w:color w:val="auto"/>
              </w:rPr>
            </w:pPr>
            <w:r>
              <w:rPr>
                <w:rFonts w:ascii="Arial" w:cs="Arial" w:eastAsia="Arial" w:hAnsi="Arial"/>
                <w:sz w:val="18"/>
                <w:szCs w:val="18"/>
                <w:color w:val="auto"/>
                <w:w w:val="79"/>
              </w:rPr>
              <w:t>$</w:t>
            </w:r>
          </w:p>
        </w:tc>
        <w:tc>
          <w:tcPr>
            <w:tcW w:w="9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(39,629)</w:t>
            </w:r>
          </w:p>
        </w:tc>
        <w:tc>
          <w:tcPr>
            <w:tcW w:w="740" w:type="dxa"/>
            <w:vAlign w:val="bottom"/>
            <w:gridSpan w:val="2"/>
          </w:tcPr>
          <w:p>
            <w:pPr>
              <w:jc w:val="right"/>
              <w:ind w:right="160"/>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41,861</w:t>
            </w:r>
          </w:p>
        </w:tc>
        <w:tc>
          <w:tcPr>
            <w:tcW w:w="820" w:type="dxa"/>
            <w:vAlign w:val="bottom"/>
            <w:gridSpan w:val="3"/>
          </w:tcPr>
          <w:p>
            <w:pPr>
              <w:jc w:val="right"/>
              <w:ind w:right="1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84,876</w:t>
            </w: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w w:val="98"/>
              </w:rPr>
              <w:t>(35,841)</w:t>
            </w:r>
          </w:p>
        </w:tc>
        <w:tc>
          <w:tcPr>
            <w:tcW w:w="6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49,035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500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The Company recorded a charge to write-off $3.4 million of IPR&amp;D in the three months ended May 3, 2014, upon the Company’s decision to discontinue the related project.</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5"/>
          <w:szCs w:val="15"/>
          <w:color w:val="auto"/>
        </w:rPr>
        <w:t>Based on the identified intangible assets recorded at May 3, 2014, the future amortization expense for the next five fiscal years is as follows (in thousands):</w:t>
      </w:r>
    </w:p>
    <w:p>
      <w:pPr>
        <w:spacing w:after="0" w:line="242"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4420" w:type="dxa"/>
            <w:vAlign w:val="bottom"/>
            <w:gridSpan w:val="3"/>
          </w:tcPr>
          <w:p>
            <w:pPr>
              <w:spacing w:after="0"/>
              <w:rPr>
                <w:sz w:val="20"/>
                <w:szCs w:val="20"/>
                <w:color w:val="auto"/>
              </w:rPr>
            </w:pPr>
            <w:r>
              <w:rPr>
                <w:rFonts w:ascii="Arial" w:cs="Arial" w:eastAsia="Arial" w:hAnsi="Arial"/>
                <w:sz w:val="14"/>
                <w:szCs w:val="14"/>
                <w:b w:val="1"/>
                <w:bCs w:val="1"/>
                <w:color w:val="auto"/>
              </w:rPr>
              <w:t>Fiscal Year</w:t>
            </w:r>
          </w:p>
        </w:tc>
        <w:tc>
          <w:tcPr>
            <w:tcW w:w="26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74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44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Remainder of fiscal 2015</w:t>
            </w:r>
          </w:p>
        </w:tc>
        <w:tc>
          <w:tcPr>
            <w:tcW w:w="3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$11,163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 w:type="dxa"/>
            <w:vAlign w:val="bottom"/>
          </w:tcPr>
          <w:p>
            <w:pPr>
              <w:spacing w:after="0"/>
              <w:rPr>
                <w:sz w:val="20"/>
                <w:szCs w:val="20"/>
                <w:color w:val="auto"/>
              </w:rPr>
            </w:pPr>
            <w:r>
              <w:rPr>
                <w:rFonts w:ascii="Arial" w:cs="Arial" w:eastAsia="Arial" w:hAnsi="Arial"/>
                <w:sz w:val="18"/>
                <w:szCs w:val="18"/>
                <w:color w:val="auto"/>
              </w:rPr>
              <w:t>2016</w:t>
            </w:r>
          </w:p>
        </w:tc>
        <w:tc>
          <w:tcPr>
            <w:tcW w:w="3740" w:type="dxa"/>
            <w:vAlign w:val="bottom"/>
          </w:tcPr>
          <w:p>
            <w:pPr>
              <w:spacing w:after="0"/>
              <w:rPr>
                <w:sz w:val="18"/>
                <w:szCs w:val="18"/>
                <w:color w:val="auto"/>
              </w:rPr>
            </w:pPr>
          </w:p>
        </w:tc>
        <w:tc>
          <w:tcPr>
            <w:tcW w:w="3240" w:type="dxa"/>
            <w:vAlign w:val="bottom"/>
            <w:gridSpan w:val="2"/>
          </w:tcPr>
          <w:p>
            <w:pPr>
              <w:jc w:val="right"/>
              <w:spacing w:after="0"/>
              <w:rPr>
                <w:sz w:val="20"/>
                <w:szCs w:val="20"/>
                <w:color w:val="auto"/>
              </w:rPr>
            </w:pPr>
            <w:r>
              <w:rPr>
                <w:rFonts w:ascii="Arial" w:cs="Arial" w:eastAsia="Arial" w:hAnsi="Arial"/>
                <w:sz w:val="18"/>
                <w:szCs w:val="18"/>
                <w:color w:val="auto"/>
              </w:rPr>
              <w:t>12,212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 w:type="dxa"/>
            <w:vAlign w:val="bottom"/>
            <w:shd w:val="clear" w:color="auto" w:fill="CCEEFF"/>
          </w:tcPr>
          <w:p>
            <w:pPr>
              <w:spacing w:after="0"/>
              <w:rPr>
                <w:sz w:val="20"/>
                <w:szCs w:val="20"/>
                <w:color w:val="auto"/>
              </w:rPr>
            </w:pPr>
            <w:r>
              <w:rPr>
                <w:rFonts w:ascii="Arial" w:cs="Arial" w:eastAsia="Arial" w:hAnsi="Arial"/>
                <w:sz w:val="18"/>
                <w:szCs w:val="18"/>
                <w:color w:val="auto"/>
              </w:rPr>
              <w:t>2017</w:t>
            </w:r>
          </w:p>
        </w:tc>
        <w:tc>
          <w:tcPr>
            <w:tcW w:w="3740" w:type="dxa"/>
            <w:vAlign w:val="bottom"/>
            <w:shd w:val="clear" w:color="auto" w:fill="CCEEFF"/>
          </w:tcPr>
          <w:p>
            <w:pPr>
              <w:spacing w:after="0"/>
              <w:rPr>
                <w:sz w:val="18"/>
                <w:szCs w:val="18"/>
                <w:color w:val="auto"/>
              </w:rPr>
            </w:pPr>
          </w:p>
        </w:tc>
        <w:tc>
          <w:tcPr>
            <w:tcW w:w="3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11,027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 w:type="dxa"/>
            <w:vAlign w:val="bottom"/>
          </w:tcPr>
          <w:p>
            <w:pPr>
              <w:spacing w:after="0"/>
              <w:rPr>
                <w:sz w:val="20"/>
                <w:szCs w:val="20"/>
                <w:color w:val="auto"/>
              </w:rPr>
            </w:pPr>
            <w:r>
              <w:rPr>
                <w:rFonts w:ascii="Arial" w:cs="Arial" w:eastAsia="Arial" w:hAnsi="Arial"/>
                <w:sz w:val="18"/>
                <w:szCs w:val="18"/>
                <w:color w:val="auto"/>
              </w:rPr>
              <w:t>2018</w:t>
            </w:r>
          </w:p>
        </w:tc>
        <w:tc>
          <w:tcPr>
            <w:tcW w:w="3740" w:type="dxa"/>
            <w:vAlign w:val="bottom"/>
          </w:tcPr>
          <w:p>
            <w:pPr>
              <w:spacing w:after="0"/>
              <w:rPr>
                <w:sz w:val="18"/>
                <w:szCs w:val="18"/>
                <w:color w:val="auto"/>
              </w:rPr>
            </w:pPr>
          </w:p>
        </w:tc>
        <w:tc>
          <w:tcPr>
            <w:tcW w:w="3240" w:type="dxa"/>
            <w:vAlign w:val="bottom"/>
            <w:gridSpan w:val="2"/>
          </w:tcPr>
          <w:p>
            <w:pPr>
              <w:jc w:val="right"/>
              <w:spacing w:after="0"/>
              <w:rPr>
                <w:sz w:val="20"/>
                <w:szCs w:val="20"/>
                <w:color w:val="auto"/>
              </w:rPr>
            </w:pPr>
            <w:r>
              <w:rPr>
                <w:rFonts w:ascii="Arial" w:cs="Arial" w:eastAsia="Arial" w:hAnsi="Arial"/>
                <w:sz w:val="18"/>
                <w:szCs w:val="18"/>
                <w:color w:val="auto"/>
              </w:rPr>
              <w:t>5,599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 w:type="dxa"/>
            <w:vAlign w:val="bottom"/>
            <w:shd w:val="clear" w:color="auto" w:fill="CCEEFF"/>
          </w:tcPr>
          <w:p>
            <w:pPr>
              <w:spacing w:after="0"/>
              <w:rPr>
                <w:sz w:val="20"/>
                <w:szCs w:val="20"/>
                <w:color w:val="auto"/>
              </w:rPr>
            </w:pPr>
            <w:r>
              <w:rPr>
                <w:rFonts w:ascii="Arial" w:cs="Arial" w:eastAsia="Arial" w:hAnsi="Arial"/>
                <w:sz w:val="18"/>
                <w:szCs w:val="18"/>
                <w:color w:val="auto"/>
              </w:rPr>
              <w:t>2019</w:t>
            </w:r>
          </w:p>
        </w:tc>
        <w:tc>
          <w:tcPr>
            <w:tcW w:w="3740" w:type="dxa"/>
            <w:vAlign w:val="bottom"/>
            <w:shd w:val="clear" w:color="auto" w:fill="CCEEFF"/>
          </w:tcPr>
          <w:p>
            <w:pPr>
              <w:spacing w:after="0"/>
              <w:rPr>
                <w:sz w:val="18"/>
                <w:szCs w:val="18"/>
                <w:color w:val="auto"/>
              </w:rPr>
            </w:pPr>
          </w:p>
        </w:tc>
        <w:tc>
          <w:tcPr>
            <w:tcW w:w="3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1,860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400" w:type="dxa"/>
            <w:vAlign w:val="bottom"/>
            <w:gridSpan w:val="2"/>
          </w:tcPr>
          <w:p>
            <w:pPr>
              <w:spacing w:after="0"/>
              <w:rPr>
                <w:sz w:val="20"/>
                <w:szCs w:val="20"/>
                <w:color w:val="auto"/>
              </w:rPr>
            </w:pPr>
            <w:r>
              <w:rPr>
                <w:rFonts w:ascii="Arial" w:cs="Arial" w:eastAsia="Arial" w:hAnsi="Arial"/>
                <w:sz w:val="18"/>
                <w:szCs w:val="18"/>
                <w:color w:val="auto"/>
              </w:rPr>
              <w:t>Thereafter</w:t>
            </w:r>
          </w:p>
        </w:tc>
        <w:tc>
          <w:tcPr>
            <w:tcW w:w="2660" w:type="dxa"/>
            <w:vAlign w:val="bottom"/>
          </w:tcPr>
          <w:p>
            <w:pPr>
              <w:spacing w:after="0"/>
              <w:rPr>
                <w:sz w:val="19"/>
                <w:szCs w:val="19"/>
                <w:color w:val="auto"/>
              </w:rPr>
            </w:pPr>
          </w:p>
        </w:tc>
        <w:tc>
          <w:tcPr>
            <w:tcW w:w="58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3740" w:type="dxa"/>
            <w:vAlign w:val="bottom"/>
            <w:shd w:val="clear" w:color="auto" w:fill="CCEEFF"/>
          </w:tcPr>
          <w:p>
            <w:pPr>
              <w:spacing w:after="0"/>
              <w:rPr>
                <w:sz w:val="18"/>
                <w:szCs w:val="18"/>
                <w:color w:val="auto"/>
              </w:rPr>
            </w:pPr>
          </w:p>
        </w:tc>
        <w:tc>
          <w:tcPr>
            <w:tcW w:w="32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41,861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374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Restructuring</w:t>
      </w:r>
    </w:p>
    <w:p>
      <w:pPr>
        <w:spacing w:after="0" w:line="96" w:lineRule="exact"/>
        <w:rPr>
          <w:sz w:val="20"/>
          <w:szCs w:val="20"/>
          <w:color w:val="auto"/>
        </w:rPr>
      </w:pPr>
    </w:p>
    <w:p>
      <w:pPr>
        <w:ind w:right="180" w:firstLine="456"/>
        <w:spacing w:after="0" w:line="294" w:lineRule="auto"/>
        <w:rPr>
          <w:sz w:val="20"/>
          <w:szCs w:val="20"/>
          <w:color w:val="auto"/>
        </w:rPr>
      </w:pPr>
      <w:r>
        <w:rPr>
          <w:rFonts w:ascii="Arial" w:cs="Arial" w:eastAsia="Arial" w:hAnsi="Arial"/>
          <w:sz w:val="16"/>
          <w:szCs w:val="16"/>
          <w:color w:val="auto"/>
        </w:rPr>
        <w:t>In connection with ongoing evaluations of its business, the Company decided to streamline its operations, primarily in Israel to align with its overall strategic plan and to discontinue the development of a product it originally acquired from a business that it previously purchased. As a result, the Company recorded a total $8.5 million restructuring charge in the three months ended May 3, 2014. The charge included $4.6 million for severance costs and $0.5 million for other exit-related costs primarily associated with previous facility closures and the write-off of equipment. In addition, the charge included $3.4 million to write off an acquired intangible asset due to the Company’s decision to discontinue the related project.</w:t>
      </w:r>
    </w:p>
    <w:p>
      <w:pPr>
        <w:spacing w:after="0" w:line="116" w:lineRule="exact"/>
        <w:rPr>
          <w:sz w:val="20"/>
          <w:szCs w:val="20"/>
          <w:color w:val="auto"/>
        </w:rPr>
      </w:pPr>
    </w:p>
    <w:p>
      <w:pPr>
        <w:ind w:right="440" w:firstLine="456"/>
        <w:spacing w:after="0" w:line="268" w:lineRule="auto"/>
        <w:rPr>
          <w:sz w:val="20"/>
          <w:szCs w:val="20"/>
          <w:color w:val="auto"/>
        </w:rPr>
      </w:pPr>
      <w:r>
        <w:rPr>
          <w:rFonts w:ascii="Arial" w:cs="Arial" w:eastAsia="Arial" w:hAnsi="Arial"/>
          <w:sz w:val="18"/>
          <w:szCs w:val="18"/>
          <w:color w:val="auto"/>
        </w:rPr>
        <w:t>During the three months ended May 3, 2014, the Company also continued to make payments and incur ongoing operating expenses related to vacated facilities under previous restructure actions.</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restructuring charges by functional line item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460" w:type="dxa"/>
            <w:vAlign w:val="bottom"/>
          </w:tcPr>
          <w:p>
            <w:pPr>
              <w:spacing w:after="0"/>
              <w:rPr>
                <w:sz w:val="14"/>
                <w:szCs w:val="14"/>
                <w:color w:val="auto"/>
              </w:rPr>
            </w:pPr>
          </w:p>
        </w:tc>
        <w:tc>
          <w:tcPr>
            <w:tcW w:w="35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560" w:type="dxa"/>
            <w:vAlign w:val="bottom"/>
            <w:gridSpan w:val="5"/>
          </w:tcPr>
          <w:p>
            <w:pPr>
              <w:ind w:left="6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3460" w:type="dxa"/>
            <w:vAlign w:val="bottom"/>
          </w:tcPr>
          <w:p>
            <w:pPr>
              <w:spacing w:after="0"/>
              <w:rPr>
                <w:sz w:val="11"/>
                <w:szCs w:val="11"/>
                <w:color w:val="auto"/>
              </w:rPr>
            </w:pPr>
          </w:p>
        </w:tc>
        <w:tc>
          <w:tcPr>
            <w:tcW w:w="3560" w:type="dxa"/>
            <w:vAlign w:val="bottom"/>
          </w:tcPr>
          <w:p>
            <w:pPr>
              <w:spacing w:after="0"/>
              <w:rPr>
                <w:sz w:val="11"/>
                <w:szCs w:val="11"/>
                <w:color w:val="auto"/>
              </w:rPr>
            </w:pPr>
          </w:p>
        </w:tc>
        <w:tc>
          <w:tcPr>
            <w:tcW w:w="56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rPr>
              <w:t>May 3,</w:t>
            </w:r>
          </w:p>
        </w:tc>
        <w:tc>
          <w:tcPr>
            <w:tcW w:w="520" w:type="dxa"/>
            <w:vAlign w:val="bottom"/>
            <w:tcBorders>
              <w:top w:val="single" w:sz="8" w:color="auto"/>
            </w:tcBorders>
          </w:tcPr>
          <w:p>
            <w:pPr>
              <w:spacing w:after="0"/>
              <w:rPr>
                <w:sz w:val="11"/>
                <w:szCs w:val="11"/>
                <w:color w:val="auto"/>
              </w:rPr>
            </w:pPr>
          </w:p>
        </w:tc>
        <w:tc>
          <w:tcPr>
            <w:tcW w:w="480" w:type="dxa"/>
            <w:vAlign w:val="bottom"/>
            <w:tcBorders>
              <w:top w:val="single" w:sz="8" w:color="auto"/>
            </w:tcBorders>
            <w:gridSpan w:val="2"/>
          </w:tcPr>
          <w:p>
            <w:pPr>
              <w:ind w:left="40"/>
              <w:spacing w:after="0" w:line="129" w:lineRule="exact"/>
              <w:rPr>
                <w:sz w:val="20"/>
                <w:szCs w:val="20"/>
                <w:color w:val="auto"/>
              </w:rPr>
            </w:pPr>
            <w:r>
              <w:rPr>
                <w:rFonts w:ascii="Arial" w:cs="Arial" w:eastAsia="Arial" w:hAnsi="Arial"/>
                <w:sz w:val="14"/>
                <w:szCs w:val="14"/>
                <w:b w:val="1"/>
                <w:bCs w:val="1"/>
                <w:color w:val="auto"/>
                <w:w w:val="98"/>
              </w:rPr>
              <w:t>May 4,</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460" w:type="dxa"/>
            <w:vAlign w:val="bottom"/>
            <w:tcBorders>
              <w:bottom w:val="single" w:sz="8" w:color="CCEEFF"/>
            </w:tcBorders>
          </w:tcPr>
          <w:p>
            <w:pPr>
              <w:spacing w:after="0"/>
              <w:rPr>
                <w:sz w:val="14"/>
                <w:szCs w:val="14"/>
                <w:color w:val="auto"/>
              </w:rPr>
            </w:pPr>
          </w:p>
        </w:tc>
        <w:tc>
          <w:tcPr>
            <w:tcW w:w="35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jc w:val="right"/>
              <w:ind w:right="78"/>
              <w:spacing w:after="0"/>
              <w:rPr>
                <w:sz w:val="20"/>
                <w:szCs w:val="20"/>
                <w:color w:val="auto"/>
              </w:rPr>
            </w:pPr>
            <w:r>
              <w:rPr>
                <w:rFonts w:ascii="Arial" w:cs="Arial" w:eastAsia="Arial" w:hAnsi="Arial"/>
                <w:sz w:val="14"/>
                <w:szCs w:val="14"/>
                <w:b w:val="1"/>
                <w:bCs w:val="1"/>
                <w:color w:val="auto"/>
                <w:w w:val="89"/>
              </w:rPr>
              <w:t>2014</w:t>
            </w:r>
          </w:p>
        </w:tc>
        <w:tc>
          <w:tcPr>
            <w:tcW w:w="5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4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Research and development</w:t>
            </w:r>
          </w:p>
        </w:tc>
        <w:tc>
          <w:tcPr>
            <w:tcW w:w="35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4,682</w:t>
            </w:r>
          </w:p>
        </w:tc>
        <w:tc>
          <w:tcPr>
            <w:tcW w:w="5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00" w:type="dxa"/>
            <w:vAlign w:val="bottom"/>
            <w:shd w:val="clear" w:color="auto" w:fill="CCEEFF"/>
          </w:tcPr>
          <w:p>
            <w:pPr>
              <w:ind w:left="14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460" w:type="dxa"/>
            <w:vAlign w:val="bottom"/>
          </w:tcPr>
          <w:p>
            <w:pPr>
              <w:spacing w:after="0"/>
              <w:rPr>
                <w:sz w:val="20"/>
                <w:szCs w:val="20"/>
                <w:color w:val="auto"/>
              </w:rPr>
            </w:pPr>
            <w:r>
              <w:rPr>
                <w:rFonts w:ascii="Arial" w:cs="Arial" w:eastAsia="Arial" w:hAnsi="Arial"/>
                <w:sz w:val="18"/>
                <w:szCs w:val="18"/>
                <w:color w:val="auto"/>
              </w:rPr>
              <w:t>Selling and marketing</w:t>
            </w:r>
          </w:p>
        </w:tc>
        <w:tc>
          <w:tcPr>
            <w:tcW w:w="3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rPr>
              <w:t>48</w:t>
            </w:r>
          </w:p>
        </w:tc>
        <w:tc>
          <w:tcPr>
            <w:tcW w:w="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gridSpan w:val="2"/>
          </w:tcPr>
          <w:p>
            <w:pPr>
              <w:ind w:left="1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46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3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358</w:t>
            </w:r>
          </w:p>
        </w:tc>
        <w:tc>
          <w:tcPr>
            <w:tcW w:w="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0" w:type="dxa"/>
            <w:vAlign w:val="bottom"/>
            <w:shd w:val="clear" w:color="auto" w:fill="CCEEFF"/>
          </w:tcPr>
          <w:p>
            <w:pPr>
              <w:ind w:left="140"/>
              <w:spacing w:after="0"/>
              <w:rPr>
                <w:sz w:val="20"/>
                <w:szCs w:val="20"/>
                <w:color w:val="auto"/>
              </w:rPr>
            </w:pPr>
            <w:r>
              <w:rPr>
                <w:rFonts w:ascii="Arial" w:cs="Arial" w:eastAsia="Arial" w:hAnsi="Arial"/>
                <w:sz w:val="18"/>
                <w:szCs w:val="18"/>
                <w:color w:val="auto"/>
                <w:w w:val="79"/>
              </w:rPr>
              <w:t>228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3460" w:type="dxa"/>
            <w:vAlign w:val="bottom"/>
          </w:tcPr>
          <w:p>
            <w:pPr>
              <w:spacing w:after="0"/>
              <w:rPr>
                <w:sz w:val="20"/>
                <w:szCs w:val="20"/>
                <w:color w:val="auto"/>
              </w:rPr>
            </w:pPr>
            <w:r>
              <w:rPr>
                <w:rFonts w:ascii="Arial" w:cs="Arial" w:eastAsia="Arial" w:hAnsi="Arial"/>
                <w:sz w:val="18"/>
                <w:szCs w:val="18"/>
                <w:color w:val="auto"/>
              </w:rPr>
              <w:t>Write-off of acquired intangible assets</w:t>
            </w:r>
          </w:p>
        </w:tc>
        <w:tc>
          <w:tcPr>
            <w:tcW w:w="35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7"/>
              </w:rPr>
              <w:t>3,386</w:t>
            </w:r>
          </w:p>
        </w:tc>
        <w:tc>
          <w:tcPr>
            <w:tcW w:w="5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400" w:type="dxa"/>
            <w:vAlign w:val="bottom"/>
            <w:tcBorders>
              <w:bottom w:val="single" w:sz="8" w:color="auto"/>
            </w:tcBorders>
          </w:tcPr>
          <w:p>
            <w:pPr>
              <w:ind w:left="14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3460" w:type="dxa"/>
            <w:vAlign w:val="bottom"/>
            <w:shd w:val="clear" w:color="auto" w:fill="CCEEFF"/>
          </w:tcPr>
          <w:p>
            <w:pPr>
              <w:spacing w:after="0"/>
              <w:rPr>
                <w:sz w:val="18"/>
                <w:szCs w:val="18"/>
                <w:color w:val="auto"/>
              </w:rPr>
            </w:pPr>
          </w:p>
        </w:tc>
        <w:tc>
          <w:tcPr>
            <w:tcW w:w="3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8,474</w:t>
            </w: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ind w:left="140"/>
              <w:spacing w:after="0"/>
              <w:rPr>
                <w:sz w:val="20"/>
                <w:szCs w:val="20"/>
                <w:color w:val="auto"/>
              </w:rPr>
            </w:pPr>
            <w:r>
              <w:rPr>
                <w:rFonts w:ascii="Arial" w:cs="Arial" w:eastAsia="Arial" w:hAnsi="Arial"/>
                <w:sz w:val="18"/>
                <w:szCs w:val="18"/>
                <w:color w:val="auto"/>
                <w:w w:val="79"/>
              </w:rPr>
              <w:t>228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460" w:type="dxa"/>
            <w:vAlign w:val="bottom"/>
          </w:tcPr>
          <w:p>
            <w:pPr>
              <w:spacing w:after="0" w:line="20" w:lineRule="exact"/>
              <w:rPr>
                <w:sz w:val="1"/>
                <w:szCs w:val="1"/>
                <w:color w:val="auto"/>
              </w:rPr>
            </w:pPr>
          </w:p>
        </w:tc>
        <w:tc>
          <w:tcPr>
            <w:tcW w:w="3560" w:type="dxa"/>
            <w:vAlign w:val="bottom"/>
            <w:vMerge w:val="restart"/>
          </w:tcPr>
          <w:p>
            <w:pPr>
              <w:jc w:val="right"/>
              <w:ind w:right="2512"/>
              <w:spacing w:after="0"/>
              <w:rPr>
                <w:sz w:val="20"/>
                <w:szCs w:val="20"/>
                <w:color w:val="auto"/>
              </w:rPr>
            </w:pPr>
            <w:r>
              <w:rPr>
                <w:rFonts w:ascii="Arial" w:cs="Arial" w:eastAsia="Arial" w:hAnsi="Arial"/>
                <w:sz w:val="18"/>
                <w:szCs w:val="18"/>
                <w:color w:val="auto"/>
              </w:rPr>
              <w:t>15</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3460" w:type="dxa"/>
            <w:vAlign w:val="bottom"/>
          </w:tcPr>
          <w:p>
            <w:pPr>
              <w:spacing w:after="0"/>
              <w:rPr>
                <w:sz w:val="24"/>
                <w:szCs w:val="24"/>
                <w:color w:val="auto"/>
              </w:rPr>
            </w:pPr>
          </w:p>
        </w:tc>
        <w:tc>
          <w:tcPr>
            <w:tcW w:w="356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The following table sets forth a reconciliation of the beginning and ending restructuring liability balances by each major type of costs associated with the restructuring charges for the three months ended May 3, 2014 (in thousands):</w:t>
      </w:r>
    </w:p>
    <w:p>
      <w:pPr>
        <w:spacing w:after="0" w:line="156"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880" w:type="dxa"/>
            <w:vAlign w:val="bottom"/>
          </w:tcPr>
          <w:p>
            <w:pPr>
              <w:spacing w:after="0"/>
              <w:rPr>
                <w:sz w:val="14"/>
                <w:szCs w:val="14"/>
                <w:color w:val="auto"/>
              </w:rPr>
            </w:pPr>
          </w:p>
        </w:tc>
        <w:tc>
          <w:tcPr>
            <w:tcW w:w="1320" w:type="dxa"/>
            <w:vAlign w:val="bottom"/>
            <w:gridSpan w:val="3"/>
          </w:tcPr>
          <w:p>
            <w:pPr>
              <w:ind w:left="60"/>
              <w:spacing w:after="0"/>
              <w:rPr>
                <w:sz w:val="20"/>
                <w:szCs w:val="20"/>
                <w:color w:val="auto"/>
              </w:rPr>
            </w:pPr>
            <w:r>
              <w:rPr>
                <w:rFonts w:ascii="Arial" w:cs="Arial" w:eastAsia="Arial" w:hAnsi="Arial"/>
                <w:sz w:val="14"/>
                <w:szCs w:val="14"/>
                <w:b w:val="1"/>
                <w:bCs w:val="1"/>
                <w:color w:val="auto"/>
              </w:rPr>
              <w:t>Severance</w:t>
            </w:r>
          </w:p>
        </w:tc>
        <w:tc>
          <w:tcPr>
            <w:tcW w:w="80" w:type="dxa"/>
            <w:vAlign w:val="bottom"/>
          </w:tcPr>
          <w:p>
            <w:pPr>
              <w:spacing w:after="0"/>
              <w:rPr>
                <w:sz w:val="14"/>
                <w:szCs w:val="14"/>
                <w:color w:val="auto"/>
              </w:rPr>
            </w:pPr>
          </w:p>
        </w:tc>
        <w:tc>
          <w:tcPr>
            <w:tcW w:w="94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w w:val="83"/>
              </w:rPr>
              <w:t>Facilities</w:t>
            </w:r>
          </w:p>
        </w:tc>
        <w:tc>
          <w:tcPr>
            <w:tcW w:w="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2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Other</w:t>
            </w:r>
          </w:p>
        </w:tc>
        <w:tc>
          <w:tcPr>
            <w:tcW w:w="2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5880" w:type="dxa"/>
            <w:vAlign w:val="bottom"/>
          </w:tcPr>
          <w:p>
            <w:pPr>
              <w:spacing w:after="0"/>
              <w:rPr>
                <w:sz w:val="12"/>
                <w:szCs w:val="12"/>
                <w:color w:val="auto"/>
              </w:rPr>
            </w:pPr>
          </w:p>
        </w:tc>
        <w:tc>
          <w:tcPr>
            <w:tcW w:w="13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and Related</w:t>
            </w:r>
          </w:p>
        </w:tc>
        <w:tc>
          <w:tcPr>
            <w:tcW w:w="10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and Related</w:t>
            </w:r>
          </w:p>
        </w:tc>
        <w:tc>
          <w:tcPr>
            <w:tcW w:w="280" w:type="dxa"/>
            <w:vAlign w:val="bottom"/>
          </w:tcPr>
          <w:p>
            <w:pPr>
              <w:spacing w:after="0"/>
              <w:rPr>
                <w:sz w:val="12"/>
                <w:szCs w:val="12"/>
                <w:color w:val="auto"/>
              </w:rPr>
            </w:pPr>
          </w:p>
        </w:tc>
        <w:tc>
          <w:tcPr>
            <w:tcW w:w="10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Exit-Related</w:t>
            </w:r>
          </w:p>
        </w:tc>
        <w:tc>
          <w:tcPr>
            <w:tcW w:w="2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58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180" w:type="dxa"/>
            <w:vAlign w:val="bottom"/>
            <w:gridSpan w:val="2"/>
          </w:tcPr>
          <w:p>
            <w:pPr>
              <w:jc w:val="right"/>
              <w:ind w:right="800"/>
              <w:spacing w:after="0"/>
              <w:rPr>
                <w:sz w:val="20"/>
                <w:szCs w:val="20"/>
                <w:color w:val="auto"/>
              </w:rPr>
            </w:pPr>
            <w:r>
              <w:rPr>
                <w:rFonts w:ascii="Arial" w:cs="Arial" w:eastAsia="Arial" w:hAnsi="Arial"/>
                <w:sz w:val="14"/>
                <w:szCs w:val="14"/>
                <w:b w:val="1"/>
                <w:bCs w:val="1"/>
                <w:color w:val="auto"/>
                <w:w w:val="92"/>
              </w:rPr>
              <w:t>Costs</w:t>
            </w:r>
          </w:p>
        </w:tc>
        <w:tc>
          <w:tcPr>
            <w:tcW w:w="80" w:type="dxa"/>
            <w:vAlign w:val="bottom"/>
          </w:tcPr>
          <w:p>
            <w:pPr>
              <w:spacing w:after="0"/>
              <w:rPr>
                <w:sz w:val="14"/>
                <w:szCs w:val="14"/>
                <w:color w:val="auto"/>
              </w:rPr>
            </w:pPr>
          </w:p>
        </w:tc>
        <w:tc>
          <w:tcPr>
            <w:tcW w:w="94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Costs</w:t>
            </w:r>
          </w:p>
        </w:tc>
        <w:tc>
          <w:tcPr>
            <w:tcW w:w="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2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w w:val="92"/>
              </w:rPr>
              <w:t>Costs</w:t>
            </w:r>
          </w:p>
        </w:tc>
        <w:tc>
          <w:tcPr>
            <w:tcW w:w="280" w:type="dxa"/>
            <w:vAlign w:val="bottom"/>
          </w:tcPr>
          <w:p>
            <w:pPr>
              <w:spacing w:after="0"/>
              <w:rPr>
                <w:sz w:val="14"/>
                <w:szCs w:val="14"/>
                <w:color w:val="auto"/>
              </w:rPr>
            </w:pPr>
          </w:p>
        </w:tc>
        <w:tc>
          <w:tcPr>
            <w:tcW w:w="66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210"/>
        </w:trPr>
        <w:tc>
          <w:tcPr>
            <w:tcW w:w="58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February 1, 2014</w:t>
            </w: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w:t>
            </w:r>
          </w:p>
        </w:tc>
        <w:tc>
          <w:tcPr>
            <w:tcW w:w="6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2,383</w:t>
            </w:r>
          </w:p>
        </w:tc>
        <w:tc>
          <w:tcPr>
            <w:tcW w:w="3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w:t>
            </w:r>
          </w:p>
        </w:tc>
        <w:tc>
          <w:tcPr>
            <w:tcW w:w="3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$ 2,453</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80" w:type="dxa"/>
            <w:vAlign w:val="bottom"/>
          </w:tcPr>
          <w:p>
            <w:pPr>
              <w:ind w:left="440"/>
              <w:spacing w:after="0"/>
              <w:rPr>
                <w:sz w:val="20"/>
                <w:szCs w:val="20"/>
                <w:color w:val="auto"/>
              </w:rPr>
            </w:pPr>
            <w:r>
              <w:rPr>
                <w:rFonts w:ascii="Arial" w:cs="Arial" w:eastAsia="Arial" w:hAnsi="Arial"/>
                <w:sz w:val="18"/>
                <w:szCs w:val="18"/>
                <w:color w:val="auto"/>
              </w:rPr>
              <w:t>Restructuring charges</w:t>
            </w:r>
          </w:p>
        </w:tc>
        <w:tc>
          <w:tcPr>
            <w:tcW w:w="14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rPr>
              <w:t>4,617</w:t>
            </w:r>
          </w:p>
        </w:tc>
        <w:tc>
          <w:tcPr>
            <w:tcW w:w="6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444</w:t>
            </w:r>
          </w:p>
        </w:tc>
        <w:tc>
          <w:tcPr>
            <w:tcW w:w="3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10</w:t>
            </w:r>
          </w:p>
        </w:tc>
        <w:tc>
          <w:tcPr>
            <w:tcW w:w="320" w:type="dxa"/>
            <w:vAlign w:val="bottom"/>
          </w:tcPr>
          <w:p>
            <w:pPr>
              <w:spacing w:after="0"/>
              <w:rPr>
                <w:sz w:val="18"/>
                <w:szCs w:val="18"/>
                <w:color w:val="auto"/>
              </w:rPr>
            </w:pPr>
          </w:p>
        </w:tc>
        <w:tc>
          <w:tcPr>
            <w:tcW w:w="940" w:type="dxa"/>
            <w:vAlign w:val="bottom"/>
            <w:gridSpan w:val="3"/>
          </w:tcPr>
          <w:p>
            <w:pPr>
              <w:jc w:val="right"/>
              <w:ind w:right="100"/>
              <w:spacing w:after="0"/>
              <w:rPr>
                <w:sz w:val="20"/>
                <w:szCs w:val="20"/>
                <w:color w:val="auto"/>
              </w:rPr>
            </w:pPr>
            <w:r>
              <w:rPr>
                <w:rFonts w:ascii="Arial" w:cs="Arial" w:eastAsia="Arial" w:hAnsi="Arial"/>
                <w:sz w:val="18"/>
                <w:szCs w:val="18"/>
                <w:color w:val="auto"/>
              </w:rPr>
              <w:t>5,071</w:t>
            </w:r>
          </w:p>
        </w:tc>
        <w:tc>
          <w:tcPr>
            <w:tcW w:w="0" w:type="dxa"/>
            <w:vAlign w:val="bottom"/>
          </w:tcPr>
          <w:p>
            <w:pPr>
              <w:spacing w:after="0"/>
              <w:rPr>
                <w:sz w:val="1"/>
                <w:szCs w:val="1"/>
                <w:color w:val="auto"/>
              </w:rPr>
            </w:pPr>
          </w:p>
        </w:tc>
      </w:tr>
      <w:tr>
        <w:trPr>
          <w:trHeight w:val="216"/>
        </w:trPr>
        <w:tc>
          <w:tcPr>
            <w:tcW w:w="5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Net cash payments</w:t>
            </w:r>
          </w:p>
        </w:tc>
        <w:tc>
          <w:tcPr>
            <w:tcW w:w="14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(786)</w:t>
            </w:r>
          </w:p>
        </w:tc>
        <w:tc>
          <w:tcPr>
            <w:tcW w:w="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(387)</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(29)</w:t>
            </w:r>
          </w:p>
        </w:tc>
        <w:tc>
          <w:tcPr>
            <w:tcW w:w="9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(1,202)</w:t>
            </w:r>
          </w:p>
        </w:tc>
        <w:tc>
          <w:tcPr>
            <w:tcW w:w="0" w:type="dxa"/>
            <w:vAlign w:val="bottom"/>
          </w:tcPr>
          <w:p>
            <w:pPr>
              <w:spacing w:after="0"/>
              <w:rPr>
                <w:sz w:val="1"/>
                <w:szCs w:val="1"/>
                <w:color w:val="auto"/>
              </w:rPr>
            </w:pPr>
          </w:p>
        </w:tc>
      </w:tr>
      <w:tr>
        <w:trPr>
          <w:trHeight w:val="20"/>
        </w:trPr>
        <w:tc>
          <w:tcPr>
            <w:tcW w:w="5880" w:type="dxa"/>
            <w:vAlign w:val="bottom"/>
            <w:vMerge w:val="restart"/>
          </w:tcPr>
          <w:p>
            <w:pPr>
              <w:spacing w:after="0"/>
              <w:rPr>
                <w:sz w:val="20"/>
                <w:szCs w:val="20"/>
                <w:color w:val="auto"/>
              </w:rPr>
            </w:pPr>
            <w:r>
              <w:rPr>
                <w:rFonts w:ascii="Arial" w:cs="Arial" w:eastAsia="Arial" w:hAnsi="Arial"/>
                <w:sz w:val="18"/>
                <w:szCs w:val="18"/>
                <w:color w:val="auto"/>
              </w:rPr>
              <w:t>Balance at May 3, 2014</w:t>
            </w:r>
          </w:p>
        </w:tc>
        <w:tc>
          <w:tcPr>
            <w:tcW w:w="14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880" w:type="dxa"/>
            <w:vAlign w:val="bottom"/>
            <w:vMerge w:val="continue"/>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3,882</w:t>
            </w:r>
          </w:p>
        </w:tc>
        <w:tc>
          <w:tcPr>
            <w:tcW w:w="620" w:type="dxa"/>
            <w:vAlign w:val="bottom"/>
          </w:tcPr>
          <w:p>
            <w:pPr>
              <w:spacing w:after="0"/>
              <w:rPr>
                <w:sz w:val="19"/>
                <w:szCs w:val="19"/>
                <w:color w:val="auto"/>
              </w:rPr>
            </w:pP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2,440</w:t>
            </w:r>
          </w:p>
        </w:tc>
        <w:tc>
          <w:tcPr>
            <w:tcW w:w="3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00" w:type="dxa"/>
            <w:vAlign w:val="bottom"/>
          </w:tcPr>
          <w:p>
            <w:pPr>
              <w:jc w:val="right"/>
              <w:ind w:right="19"/>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9"/>
                <w:szCs w:val="19"/>
                <w:color w:val="auto"/>
              </w:rPr>
            </w:pPr>
          </w:p>
        </w:tc>
        <w:tc>
          <w:tcPr>
            <w:tcW w:w="940" w:type="dxa"/>
            <w:vAlign w:val="bottom"/>
            <w:gridSpan w:val="3"/>
          </w:tcPr>
          <w:p>
            <w:pPr>
              <w:jc w:val="right"/>
              <w:ind w:right="100"/>
              <w:spacing w:after="0"/>
              <w:rPr>
                <w:sz w:val="20"/>
                <w:szCs w:val="20"/>
                <w:color w:val="auto"/>
              </w:rPr>
            </w:pPr>
            <w:r>
              <w:rPr>
                <w:rFonts w:ascii="Arial" w:cs="Arial" w:eastAsia="Arial" w:hAnsi="Arial"/>
                <w:sz w:val="18"/>
                <w:szCs w:val="18"/>
                <w:color w:val="auto"/>
              </w:rPr>
              <w:t>$ 6,322</w:t>
            </w:r>
          </w:p>
        </w:tc>
        <w:tc>
          <w:tcPr>
            <w:tcW w:w="0" w:type="dxa"/>
            <w:vAlign w:val="bottom"/>
          </w:tcPr>
          <w:p>
            <w:pPr>
              <w:spacing w:after="0"/>
              <w:rPr>
                <w:sz w:val="1"/>
                <w:szCs w:val="1"/>
                <w:color w:val="auto"/>
              </w:rPr>
            </w:pPr>
          </w:p>
        </w:tc>
      </w:tr>
      <w:tr>
        <w:trPr>
          <w:trHeight w:val="20"/>
        </w:trPr>
        <w:tc>
          <w:tcPr>
            <w:tcW w:w="58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80" w:firstLine="456"/>
        <w:spacing w:after="0" w:line="256" w:lineRule="auto"/>
        <w:rPr>
          <w:sz w:val="20"/>
          <w:szCs w:val="20"/>
          <w:color w:val="auto"/>
        </w:rPr>
      </w:pPr>
      <w:r>
        <w:rPr>
          <w:rFonts w:ascii="Arial" w:cs="Arial" w:eastAsia="Arial" w:hAnsi="Arial"/>
          <w:sz w:val="18"/>
          <w:szCs w:val="18"/>
          <w:color w:val="auto"/>
        </w:rPr>
        <w:t>The severance costs included in the table above are expected to be paid in the second quarter of fiscal 2015. The facility and related costs primarily represent an adjustment to the estimated sublease rentals related to the lease obligation of a vacated facility. The balance at May 3, 2014 for facility and related costs includes remaining payments under lease obligations related to vacated facilities under previous restructure actions which are expected to be paid through fiscal 2018.</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Income Tax</w:t>
      </w:r>
    </w:p>
    <w:p>
      <w:pPr>
        <w:spacing w:after="0" w:line="96"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The income tax benefit for the three months ended May 3, 2014 included the current income tax liability of $5.7 million, which was offset by tax benefits of $2.5 million from a net reduction in unrecognized tax benefits and $7.8 million from an increase in the net deferred tax assets because of the Company’s continued discussions with the Singapore tax authorities that resulted in an agreement for a major portion of the pre-tax income to be taxed at a new Development and Expansion Incentive. The net reduction in unrecognized tax benefits arose from the release of $4.9 million due to expiration of the statute of limitations, which was reduced by an increase in current unrecognized tax benefit estimates of $1.1 million and a $1.3 million tax expense related to the fiscal year 2014 tax return of a non-U.S. jurisdiction.</w:t>
      </w:r>
    </w:p>
    <w:p>
      <w:pPr>
        <w:spacing w:after="0" w:line="144"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The income tax benefit for the three months ended May 4, 2013 included the current income tax liability of $1.8 million and $0.7 million in settlements of audits in non-U.S, jurisdictions, which was more than offset by a net reduction in unrecognized tax benefits of $9.7 million for the three months ended May 4, 2013. The net reduction in unrecognized tax benefits primarily arose from the expiration of statute of limitations and from the settlement of two audits in non-U.S. jurisdictions, less increases in current unrecognized tax benefit estimates.</w:t>
      </w:r>
    </w:p>
    <w:p>
      <w:pPr>
        <w:spacing w:after="0" w:line="143" w:lineRule="exact"/>
        <w:rPr>
          <w:sz w:val="20"/>
          <w:szCs w:val="20"/>
          <w:color w:val="auto"/>
        </w:rPr>
      </w:pPr>
    </w:p>
    <w:p>
      <w:pPr>
        <w:ind w:right="220" w:firstLine="456"/>
        <w:spacing w:after="0" w:line="306" w:lineRule="auto"/>
        <w:rPr>
          <w:sz w:val="20"/>
          <w:szCs w:val="20"/>
          <w:color w:val="auto"/>
        </w:rPr>
      </w:pPr>
      <w:r>
        <w:rPr>
          <w:rFonts w:ascii="Arial" w:cs="Arial" w:eastAsia="Arial" w:hAnsi="Arial"/>
          <w:sz w:val="16"/>
          <w:szCs w:val="16"/>
          <w:color w:val="auto"/>
        </w:rPr>
        <w:t>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$18 million from the lapse of the statutes of limitation in various jurisdictions during the next 12 months.</w:t>
      </w:r>
    </w:p>
    <w:p>
      <w:pPr>
        <w:spacing w:after="0" w:line="107"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The Company operates under tax incentives in certain countries, which may be extended if certain additional requirements are satisfied. The tax incentives are conditional upon meeting certain employment and investment thresholds. The impact of these tax incentives decreased foreign taxes by $3.3 million for the three months ended May 3, 2014 and $2.1 million for the three months ended May 4, 2013. The benefit of the tax incentives on net income per share was less than $0.01 per share for the three months ended May 3, 2014 and May 4, 2013.</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Commitments and Contingencies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90"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Under the Company’s manufacturing relationships with its foundry partners, cancellation of all outstanding purchase orders are allowed but require payment of all costs and expenses incurred through the date of cancellation. As of May 3, 2014, these foundries had incurred approximately $312.6 million of manufacturing costs and expenses relating to the Company’s outstanding purchase orders.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90"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The Company has agreed to indemnify certain customers for claims made against the Company’s products, where such claims allege infringement of third party intellectual property rights, including, but not limited to, patents, registered trademarks, and/or copyrights. Under the aforementioned indemnification clauses, the Company may be obligated to defend the customer and pay for the damages awarded against the customer under an infringement claim as well as the attorneys’ fees and costs. The Company’s indemnification obligations generally do not expire after termination or expiration of the agreement containing the indemnification obligation. Generally, there are limits on and exceptions to the Company’s potential liability for indemnification.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1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380"/>
          </w:cols>
          <w:pgMar w:left="240" w:top="459" w:right="27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Contingencies</w:t>
      </w:r>
    </w:p>
    <w:p>
      <w:pPr>
        <w:spacing w:after="0" w:line="90" w:lineRule="exact"/>
        <w:rPr>
          <w:sz w:val="20"/>
          <w:szCs w:val="20"/>
          <w:color w:val="auto"/>
        </w:rPr>
      </w:pPr>
    </w:p>
    <w:p>
      <w:pPr>
        <w:ind w:right="40" w:firstLine="456"/>
        <w:spacing w:after="0" w:line="253" w:lineRule="auto"/>
        <w:rPr>
          <w:sz w:val="20"/>
          <w:szCs w:val="20"/>
          <w:color w:val="auto"/>
        </w:rPr>
      </w:pPr>
      <w:r>
        <w:rPr>
          <w:rFonts w:ascii="Arial" w:cs="Arial" w:eastAsia="Arial" w:hAnsi="Arial"/>
          <w:sz w:val="18"/>
          <w:szCs w:val="18"/>
          <w:color w:val="auto"/>
        </w:rPr>
        <w:t>The Company and certain of its subsidiaries are currently parties to various legal proceedings, including those noted in this section. The legal proceedings and claims described below could result in substantial costs and could divert the attention and resources of the Company’s management. Litigation is subject to inherent uncertainties and unfavorable rulings could occur. An unfavorable ruling in litigation could require the Company to pay damages, one-time license fees or ongoing royalty payments, and could prevent the Company from manufacturing or selling some of its products or limit or restrict the type of work that employees involved in such litigation may perform for the Company, any of which could adversely affect financial results in future periods. The Company believes that its products do not infringe valid and enforceable claims and it will continue to conduct a vigorous defense in these proceedings. However, there can be no assurance that these matters will be resolved in a manner that is not adverse to the Company’s business, financial condition, results of operations or cash flows.</w:t>
      </w:r>
    </w:p>
    <w:p>
      <w:pPr>
        <w:spacing w:after="0" w:line="145" w:lineRule="exact"/>
        <w:rPr>
          <w:sz w:val="20"/>
          <w:szCs w:val="20"/>
          <w:color w:val="auto"/>
        </w:rPr>
      </w:pPr>
    </w:p>
    <w:p>
      <w:pPr>
        <w:ind w:right="220" w:firstLine="456"/>
        <w:spacing w:after="0" w:line="294" w:lineRule="auto"/>
        <w:rPr>
          <w:sz w:val="20"/>
          <w:szCs w:val="20"/>
          <w:color w:val="auto"/>
        </w:rPr>
      </w:pPr>
      <w:r>
        <w:rPr>
          <w:rFonts w:ascii="Arial" w:cs="Arial" w:eastAsia="Arial" w:hAnsi="Arial"/>
          <w:sz w:val="16"/>
          <w:szCs w:val="16"/>
          <w:color w:val="auto"/>
        </w:rPr>
        <w:t>As of May 3, 2014, the Company has a $17.3 million accrued liability related to certain legal proceedings described below in this section. The amount recorded does not relate to the litigation with Carnegie Mellon University (“CMU”). Other than for the matters that the Company has recognized in the consolidated financial statements, it has not recorded any amounts for contingent losses associated with the matters described below based on its belief that losses, while reasonably possible, are not probable. Unless otherwise stated, the Company is currently unable to predict the final outcome of these lawsuits and therefore cannot determine the likelihood of loss nor estimate a range of possible loss.</w:t>
      </w:r>
    </w:p>
    <w:p>
      <w:pPr>
        <w:spacing w:after="0" w:line="116" w:lineRule="exact"/>
        <w:rPr>
          <w:sz w:val="20"/>
          <w:szCs w:val="20"/>
          <w:color w:val="auto"/>
        </w:rPr>
      </w:pPr>
    </w:p>
    <w:p>
      <w:pPr>
        <w:ind w:firstLine="456"/>
        <w:spacing w:after="0" w:line="284" w:lineRule="auto"/>
        <w:rPr>
          <w:sz w:val="20"/>
          <w:szCs w:val="20"/>
          <w:color w:val="auto"/>
        </w:rPr>
      </w:pPr>
      <w:r>
        <w:rPr>
          <w:rFonts w:ascii="Arial" w:cs="Arial" w:eastAsia="Arial" w:hAnsi="Arial"/>
          <w:sz w:val="16"/>
          <w:szCs w:val="16"/>
          <w:i w:val="1"/>
          <w:iCs w:val="1"/>
          <w:color w:val="auto"/>
        </w:rPr>
        <w:t xml:space="preserve">Carnegie Mellon University Litigation. </w:t>
      </w:r>
      <w:r>
        <w:rPr>
          <w:rFonts w:ascii="Arial" w:cs="Arial" w:eastAsia="Arial" w:hAnsi="Arial"/>
          <w:sz w:val="16"/>
          <w:szCs w:val="16"/>
          <w:color w:val="auto"/>
        </w:rPr>
        <w:t>On March 6, 2009, CMU filed a complaint in the U.S. District Court for the Western District of Pennsylvania</w:t>
      </w:r>
      <w:r>
        <w:rPr>
          <w:rFonts w:ascii="Arial" w:cs="Arial" w:eastAsia="Arial" w:hAnsi="Arial"/>
          <w:sz w:val="16"/>
          <w:szCs w:val="16"/>
          <w:i w:val="1"/>
          <w:iCs w:val="1"/>
          <w:color w:val="auto"/>
        </w:rPr>
        <w:t xml:space="preserve"> </w:t>
      </w:r>
      <w:r>
        <w:rPr>
          <w:rFonts w:ascii="Arial" w:cs="Arial" w:eastAsia="Arial" w:hAnsi="Arial"/>
          <w:sz w:val="16"/>
          <w:szCs w:val="16"/>
          <w:color w:val="auto"/>
        </w:rPr>
        <w:t>naming Marvell Semiconductor, Inc. (“MSI”) and the Company as defendants and alleging patent infringement. CMU has asserted U.S. Patent Nos. 6,201,839 and 6,438,180 (collectively, the “CMU patents in suit”), which relate to read-channel integrated circuit devices and the hard disk drive (“HDD”) incorporating such devices. A jury trial began on November 26, 2012. On December 26, 2012, a jury delivered a verdict that found the CMU patents in suit were literally and willfully infringed and valid, and awarded past damages in the amount of $1.17 billion. CMU sought in its post-trial motions enhanced damages up to 3 times the jury verdict, pre-judgment interest up to $322 million, post-judgment interest, supplemental damages, attorneys’ fees, and an injunction and/or ongoing royalties. Post-trial motions were heard on May 1 and 2, 2013. On June 26, 2013, the District Court denied CMU’s post-trial motion for attorney fees without prejudice. On August 23, 2013, the District Court denied the Company’s motion for mistrial. On September 23, 2013, the District Court denied the Company’s motion for judgment as a matter of law or a new trial on non-infringement, invalidity and other non-damages issue as well as the Company’s motion for reduced damages. On the same day, the District Court granted-in-part CMU’s motion for a finding of willful infringement and enhanced damages, reserving its further rulings on any enhancement of the verdict for a separate opinion. On December 6, 2013, CMU filed a motion to permit registration of judgment and a motion for supplemental relief including a request to enjoin future share repurchases, any leveraged buyout or similar asset leveraging transaction, and dividends (including the dividend scheduled for December 23, 2013), in the absence of a court approved bond or other security. On December 23, 2013, the District Court denied the motions. On January 8, 2014, CMU filed a motion for telephonic status conference, which was denied on January 28, 2014. On January 14, 2014, the District Court denied the Company’s post-trial motion on laches. On March 31, 2014, the District Court rejected CMU’s motion for an injunction. The District Court also denied CMU’s request for pre-judgment interest, and substantially scaled back CMU’s request for enhanced damages. Based on these decisions, the Court calculated the damages including enhancement to total approximately $1.54 billion, and held that, under its decision, CMU is entitled to post judgment interest and an ongoing royalty. On May 7, 2014, the District Court entered final judgment, from which the Company filed a notice of appeal on May 14, 2014. The Court has required us to report ongoing royalties under the current judgment. Based on the royalty rate assessed by the District Court, such additional royalties through May 3, 2014 would be approximately $250 million.</w:t>
      </w:r>
    </w:p>
    <w:p>
      <w:pPr>
        <w:spacing w:after="0" w:line="129"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The Company and MSI believe that the evidence and the law do not support the jury’s findings of infringement, validity and the award of damages and do not believe a material loss is probable. The Company believes that there are strong grounds for appeal and the Company and MSI intend to vigorously challenge the District Court’s judgment via an appeal to the U.S. Court of Appeals for the Federal Circuit in Washington, D.C. The Company believes the low end of the possible range of loss is zero, but it cannot reasonably estimate the upper range of the possible loss, as a number of factors could significantly change the assessment of damages.</w:t>
      </w:r>
    </w:p>
    <w:p>
      <w:pPr>
        <w:spacing w:after="0" w:line="143" w:lineRule="exact"/>
        <w:rPr>
          <w:sz w:val="20"/>
          <w:szCs w:val="20"/>
          <w:color w:val="auto"/>
        </w:rPr>
      </w:pPr>
    </w:p>
    <w:p>
      <w:pPr>
        <w:ind w:right="420" w:firstLine="456"/>
        <w:spacing w:after="0" w:line="256" w:lineRule="auto"/>
        <w:rPr>
          <w:sz w:val="20"/>
          <w:szCs w:val="20"/>
          <w:color w:val="auto"/>
        </w:rPr>
      </w:pPr>
      <w:r>
        <w:rPr>
          <w:rFonts w:ascii="Arial" w:cs="Arial" w:eastAsia="Arial" w:hAnsi="Arial"/>
          <w:sz w:val="18"/>
          <w:szCs w:val="18"/>
          <w:i w:val="1"/>
          <w:iCs w:val="1"/>
          <w:color w:val="auto"/>
        </w:rPr>
        <w:t xml:space="preserve">USEI Litigation. </w:t>
      </w:r>
      <w:r>
        <w:rPr>
          <w:rFonts w:ascii="Arial" w:cs="Arial" w:eastAsia="Arial" w:hAnsi="Arial"/>
          <w:sz w:val="18"/>
          <w:szCs w:val="18"/>
          <w:color w:val="auto"/>
        </w:rPr>
        <w:t>On October 9, 2009, U.S. Ethernet Innovations, LLC (“USEI”) filed a complaint in the U.S. District Court for the Eastern District of</w:t>
      </w:r>
      <w:r>
        <w:rPr>
          <w:rFonts w:ascii="Arial" w:cs="Arial" w:eastAsia="Arial" w:hAnsi="Arial"/>
          <w:sz w:val="18"/>
          <w:szCs w:val="18"/>
          <w:i w:val="1"/>
          <w:iCs w:val="1"/>
          <w:color w:val="auto"/>
        </w:rPr>
        <w:t xml:space="preserve"> </w:t>
      </w:r>
      <w:r>
        <w:rPr>
          <w:rFonts w:ascii="Arial" w:cs="Arial" w:eastAsia="Arial" w:hAnsi="Arial"/>
          <w:sz w:val="18"/>
          <w:szCs w:val="18"/>
          <w:color w:val="auto"/>
        </w:rPr>
        <w:t>Texas, in which USEI has accused a number of system manufacturers, including the Company’s customers, of patent infringement (the “USEI litigation”). Specifically, USEI has asserted that these customers infringe U.S. Patent Nos. 5,307,459, 5,434,872, 5,732,094 and 5,299,313, which relate to Ethernet technologies. The complaint seeks unspecified damages and an injunction.</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00"/>
          </w:cols>
          <w:pgMar w:left="240" w:top="459" w:right="25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On May 4, 2010, MSI filed a motion to intervene in the USEI litigation, which was granted on May 19, 2010. On July 13, 2010, the District Court issued an order granting the defendants’ motion to transfer the action to the U.S. District Court for the Northern District of California; the case was formally transferred on August 23, 2010. On September 14, 2011, USEI withdrew its allegations against MSI for the ‘459 patent. The court issued a first claim construction ruling on January 31, 2012 and a supplemental claim construction ruling on August 29, 2012. On August 16, 2013, the District Court granted defendants’ summary judgment motion to preclude the plaintiff from recovering certain pre-suit damages. Trial is scheduled for January 5, 2015.</w:t>
      </w:r>
    </w:p>
    <w:p>
      <w:pPr>
        <w:spacing w:after="0" w:line="116"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i w:val="1"/>
          <w:iCs w:val="1"/>
          <w:color w:val="auto"/>
        </w:rPr>
        <w:t xml:space="preserve">Lake Cherokee I Patent Litigation. </w:t>
      </w:r>
      <w:r>
        <w:rPr>
          <w:rFonts w:ascii="Arial" w:cs="Arial" w:eastAsia="Arial" w:hAnsi="Arial"/>
          <w:sz w:val="16"/>
          <w:szCs w:val="16"/>
          <w:color w:val="auto"/>
        </w:rPr>
        <w:t>On June 30, 2010, Lake Cherokee Hard Drive Technologies, L.L.C. (“Lake Cherokee”) filed a complaint in the U.S.</w:t>
      </w:r>
      <w:r>
        <w:rPr>
          <w:rFonts w:ascii="Arial" w:cs="Arial" w:eastAsia="Arial" w:hAnsi="Arial"/>
          <w:sz w:val="16"/>
          <w:szCs w:val="16"/>
          <w:i w:val="1"/>
          <w:iCs w:val="1"/>
          <w:color w:val="auto"/>
        </w:rPr>
        <w:t xml:space="preserve"> </w:t>
      </w:r>
      <w:r>
        <w:rPr>
          <w:rFonts w:ascii="Arial" w:cs="Arial" w:eastAsia="Arial" w:hAnsi="Arial"/>
          <w:sz w:val="16"/>
          <w:szCs w:val="16"/>
          <w:color w:val="auto"/>
        </w:rPr>
        <w:t>District Court for the Eastern District of Texas. The complaint alleges infringement of U.S. Patent Nos. 5,844,738 and 5,978,162 (collectively, the “Lake Cherokee patents”). The Lake Cherokee patents purportedly relate to read-channel integrated circuit devices and to certain HDD products incorporating such devices. A claim construction ruling was issued on August 6, 2012. Lake Cherokee’s damages claim, which excluded non-U.S. related sales as a result of the District Court’s summary judgment ruling, was approximately $193 million at the start of trial. The case proceeded to trial on August 12, 2013. On August 16, 2013, an Eastern District of Texas jury returned a verdict and unanimously found that MSI did not infringe the Lake Cherokee patents. On the same day, the Court entered judgment in MSI’s favor. Lake Cherokee has since moved for a new trial and the briefing was concluded on October 28, 2013. The District Court has not ruled on Lake Cherokee’s post-trial motion.</w:t>
      </w:r>
    </w:p>
    <w:p>
      <w:pPr>
        <w:spacing w:after="0" w:line="118"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i w:val="1"/>
          <w:iCs w:val="1"/>
          <w:color w:val="auto"/>
        </w:rPr>
        <w:t xml:space="preserve">Lake Cherokee II Patent Litigation. </w:t>
      </w:r>
      <w:r>
        <w:rPr>
          <w:rFonts w:ascii="Arial" w:cs="Arial" w:eastAsia="Arial" w:hAnsi="Arial"/>
          <w:sz w:val="18"/>
          <w:szCs w:val="18"/>
          <w:color w:val="auto"/>
        </w:rPr>
        <w:t>On September 5, 2013, Lake Cherokee filed suit in the U.S. District Court for the Eastern District of Texas against</w:t>
      </w:r>
      <w:r>
        <w:rPr>
          <w:rFonts w:ascii="Arial" w:cs="Arial" w:eastAsia="Arial" w:hAnsi="Arial"/>
          <w:sz w:val="18"/>
          <w:szCs w:val="18"/>
          <w:i w:val="1"/>
          <w:iCs w:val="1"/>
          <w:color w:val="auto"/>
        </w:rPr>
        <w:t xml:space="preserve"> </w:t>
      </w:r>
      <w:r>
        <w:rPr>
          <w:rFonts w:ascii="Arial" w:cs="Arial" w:eastAsia="Arial" w:hAnsi="Arial"/>
          <w:sz w:val="18"/>
          <w:szCs w:val="18"/>
          <w:color w:val="auto"/>
        </w:rPr>
        <w:t>Marvell Asia Pte., Ltd. (“MAPL”) and several of the Company’s storage customers, alleging infringement of U.S. Patent Nos. 5,844,738 and 5,978,162 (the same Lake Cherokee patents found not infringed in Lake Cherokee I). A claim construction hearing is currently set for October 30, 2014, and trial is currently scheduled to start on June 18, 2015.</w:t>
      </w:r>
    </w:p>
    <w:p>
      <w:pPr>
        <w:spacing w:after="0" w:line="143"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i w:val="1"/>
          <w:iCs w:val="1"/>
          <w:color w:val="auto"/>
        </w:rPr>
        <w:t xml:space="preserve">Lake Cherokee III Patent Litigation. </w:t>
      </w:r>
      <w:r>
        <w:rPr>
          <w:rFonts w:ascii="Arial" w:cs="Arial" w:eastAsia="Arial" w:hAnsi="Arial"/>
          <w:sz w:val="18"/>
          <w:szCs w:val="18"/>
          <w:color w:val="auto"/>
        </w:rPr>
        <w:t>On September 25, 2013, Lake Cherokee filed suit in the U.S. District Court for the Eastern District of Texas against</w:t>
      </w:r>
      <w:r>
        <w:rPr>
          <w:rFonts w:ascii="Arial" w:cs="Arial" w:eastAsia="Arial" w:hAnsi="Arial"/>
          <w:sz w:val="18"/>
          <w:szCs w:val="18"/>
          <w:i w:val="1"/>
          <w:iCs w:val="1"/>
          <w:color w:val="auto"/>
        </w:rPr>
        <w:t xml:space="preserve"> </w:t>
      </w:r>
      <w:r>
        <w:rPr>
          <w:rFonts w:ascii="Arial" w:cs="Arial" w:eastAsia="Arial" w:hAnsi="Arial"/>
          <w:sz w:val="18"/>
          <w:szCs w:val="18"/>
          <w:color w:val="auto"/>
        </w:rPr>
        <w:t>MSI, MAPL and two of the Company’s customers, alleging infringement of U.S. Patent No. 5,583,706, which purportedly relates to certain HDD related technologies. MSI answered the complaint on November 29, 2013. A claim construction hearing is set for August 5, 2014 and trial is currently scheduled to start on April 13, 2015.</w:t>
      </w:r>
    </w:p>
    <w:p>
      <w:pPr>
        <w:spacing w:after="0" w:line="143" w:lineRule="exact"/>
        <w:rPr>
          <w:sz w:val="20"/>
          <w:szCs w:val="20"/>
          <w:color w:val="auto"/>
        </w:rPr>
      </w:pPr>
    </w:p>
    <w:p>
      <w:pPr>
        <w:ind w:right="160" w:firstLine="456"/>
        <w:spacing w:after="0" w:line="290" w:lineRule="auto"/>
        <w:rPr>
          <w:sz w:val="20"/>
          <w:szCs w:val="20"/>
          <w:color w:val="auto"/>
        </w:rPr>
      </w:pPr>
      <w:r>
        <w:rPr>
          <w:rFonts w:ascii="Arial" w:cs="Arial" w:eastAsia="Arial" w:hAnsi="Arial"/>
          <w:sz w:val="16"/>
          <w:szCs w:val="16"/>
          <w:i w:val="1"/>
          <w:iCs w:val="1"/>
          <w:color w:val="auto"/>
        </w:rPr>
        <w:t xml:space="preserve">Azure Networks Litigation. </w:t>
      </w:r>
      <w:r>
        <w:rPr>
          <w:rFonts w:ascii="Arial" w:cs="Arial" w:eastAsia="Arial" w:hAnsi="Arial"/>
          <w:sz w:val="16"/>
          <w:szCs w:val="16"/>
          <w:color w:val="auto"/>
        </w:rPr>
        <w:t>On March 22, 2011, Azure Networks, LLC and Tri-County Excelsior Foundation filed suit in the U.S. District Court for the</w:t>
      </w:r>
      <w:r>
        <w:rPr>
          <w:rFonts w:ascii="Arial" w:cs="Arial" w:eastAsia="Arial" w:hAnsi="Arial"/>
          <w:sz w:val="16"/>
          <w:szCs w:val="16"/>
          <w:i w:val="1"/>
          <w:iCs w:val="1"/>
          <w:color w:val="auto"/>
        </w:rPr>
        <w:t xml:space="preserve"> </w:t>
      </w:r>
      <w:r>
        <w:rPr>
          <w:rFonts w:ascii="Arial" w:cs="Arial" w:eastAsia="Arial" w:hAnsi="Arial"/>
          <w:sz w:val="16"/>
          <w:szCs w:val="16"/>
          <w:color w:val="auto"/>
        </w:rPr>
        <w:t>Eastern District of Texas against MSI and eight other companies. The Complaint asserts U.S. Patent No. 7,756,129 against MSI’s Bluetooth products. MSI filed its answer and counterclaims on July 20, 2011. On November 2, 2012, MSI and the other defendants filed a motion for summary judgment of invalidity, which was denied. A claim construction hearing was held on December 20, 2012. On January 15, 2013, the magistrate judge issued a claim construction ruling. On May 20, 2013, the District Court issued an order denying plaintiff’s motion for reconsideration and adopted the magistrate judge’s claim construction ruling. On May 30, 2013, the District Court entered a judgment of non-infringement. On June 24, 2013, Azure appealed, and the appeal has been briefed. Oral argument before a Federal Circuit panel was held on April 11, 2014.</w:t>
      </w:r>
    </w:p>
    <w:p>
      <w:pPr>
        <w:spacing w:after="0" w:line="118" w:lineRule="exact"/>
        <w:rPr>
          <w:sz w:val="20"/>
          <w:szCs w:val="20"/>
          <w:color w:val="auto"/>
        </w:rPr>
      </w:pPr>
    </w:p>
    <w:p>
      <w:pPr>
        <w:ind w:right="80" w:firstLine="456"/>
        <w:spacing w:after="0" w:line="289" w:lineRule="auto"/>
        <w:rPr>
          <w:sz w:val="20"/>
          <w:szCs w:val="20"/>
          <w:color w:val="auto"/>
        </w:rPr>
      </w:pPr>
      <w:r>
        <w:rPr>
          <w:rFonts w:ascii="Arial" w:cs="Arial" w:eastAsia="Arial" w:hAnsi="Arial"/>
          <w:sz w:val="16"/>
          <w:szCs w:val="16"/>
          <w:i w:val="1"/>
          <w:iCs w:val="1"/>
          <w:color w:val="auto"/>
        </w:rPr>
        <w:t xml:space="preserve">Power Management Systems Litigation. </w:t>
      </w:r>
      <w:r>
        <w:rPr>
          <w:rFonts w:ascii="Arial" w:cs="Arial" w:eastAsia="Arial" w:hAnsi="Arial"/>
          <w:sz w:val="16"/>
          <w:szCs w:val="16"/>
          <w:color w:val="auto"/>
        </w:rPr>
        <w:t>On August 22, 2011, Power Management Systems LLC (“PMS”), a subsidiary of Acacia Research Corp., filed a</w:t>
      </w:r>
      <w:r>
        <w:rPr>
          <w:rFonts w:ascii="Arial" w:cs="Arial" w:eastAsia="Arial" w:hAnsi="Arial"/>
          <w:sz w:val="16"/>
          <w:szCs w:val="16"/>
          <w:i w:val="1"/>
          <w:iCs w:val="1"/>
          <w:color w:val="auto"/>
        </w:rPr>
        <w:t xml:space="preserve"> </w:t>
      </w:r>
      <w:r>
        <w:rPr>
          <w:rFonts w:ascii="Arial" w:cs="Arial" w:eastAsia="Arial" w:hAnsi="Arial"/>
          <w:sz w:val="16"/>
          <w:szCs w:val="16"/>
          <w:color w:val="auto"/>
        </w:rPr>
        <w:t>complaint against the Company’s subsidiary Marvell Semiconductor, Ltd. (“MSL”) and other defendants, in the U.S. District Court for the District of Delaware. The complaint asserts U.S. Patent No. 5,504,909, which relates to a power management apparatus, against various products. The complaint seeks unspecified damages. On October 17, 2011, PMS amended its complaint by substituting MSL with MSI. MSI filed its answer and counterclaims on November 4, 2011. A claim construction hearing was held on January 18, 2013, and a ruling was issued on May 30, 2013. On June 14, 2013, the District Court entered a judgment of non-infringement. On June 17, 2013, PMS appealed, and the appeal has been briefed. The Federal Circuit Court of Appeals heard oral argument on January 10, 2014, and affirmed the district court’s rulings on January 14, 2014. The deadline for PMS to appeal to the United States Supreme Court passed in mid-April 2014 without PMS taking any further action.</w:t>
      </w:r>
    </w:p>
    <w:p>
      <w:pPr>
        <w:spacing w:after="0" w:line="118" w:lineRule="exact"/>
        <w:rPr>
          <w:sz w:val="20"/>
          <w:szCs w:val="20"/>
          <w:color w:val="auto"/>
        </w:rPr>
      </w:pPr>
    </w:p>
    <w:p>
      <w:pPr>
        <w:ind w:right="160" w:firstLine="456"/>
        <w:spacing w:after="0" w:line="291" w:lineRule="auto"/>
        <w:rPr>
          <w:sz w:val="20"/>
          <w:szCs w:val="20"/>
          <w:color w:val="auto"/>
        </w:rPr>
      </w:pPr>
      <w:r>
        <w:rPr>
          <w:rFonts w:ascii="Arial" w:cs="Arial" w:eastAsia="Arial" w:hAnsi="Arial"/>
          <w:sz w:val="16"/>
          <w:szCs w:val="16"/>
          <w:i w:val="1"/>
          <w:iCs w:val="1"/>
          <w:color w:val="auto"/>
        </w:rPr>
        <w:t xml:space="preserve">France Telecom Litigation. </w:t>
      </w:r>
      <w:r>
        <w:rPr>
          <w:rFonts w:ascii="Arial" w:cs="Arial" w:eastAsia="Arial" w:hAnsi="Arial"/>
          <w:sz w:val="16"/>
          <w:szCs w:val="16"/>
          <w:color w:val="auto"/>
        </w:rPr>
        <w:t>On June 26, 2012, France Telecom S.A. filed a complaint against MSI in the U.S. District Court for the Southern District of</w:t>
      </w:r>
      <w:r>
        <w:rPr>
          <w:rFonts w:ascii="Arial" w:cs="Arial" w:eastAsia="Arial" w:hAnsi="Arial"/>
          <w:sz w:val="16"/>
          <w:szCs w:val="16"/>
          <w:i w:val="1"/>
          <w:iCs w:val="1"/>
          <w:color w:val="auto"/>
        </w:rPr>
        <w:t xml:space="preserve"> </w:t>
      </w:r>
      <w:r>
        <w:rPr>
          <w:rFonts w:ascii="Arial" w:cs="Arial" w:eastAsia="Arial" w:hAnsi="Arial"/>
          <w:sz w:val="16"/>
          <w:szCs w:val="16"/>
          <w:color w:val="auto"/>
        </w:rPr>
        <w:t>New York. The complaint asserts U.S. Patent No.5,446,747 against MSI’s communications processors and thin modems. The complaint seeks unspecified damages as well as injunctive relief. MSI answered the complaint on July 18, 2012 and August 1, 2012. On July 30, 2012, MSI filed a motion to transfer the lawsuit to the U.S. District Court for the Northern District of California. On September 17, 2012, the Court granted MSI’s motion and transferred the case to the Northern District of California. A claim construction hearing was held on December 13, 2013. On April 14, 2014, the Court denied MSI’s motion for summary judgment of invalidity, and granted MSI’s summary judgment motion concerning certain damages preclusion. Trial is scheduled for September 15, 2014.</w:t>
      </w:r>
    </w:p>
    <w:p>
      <w:pPr>
        <w:spacing w:after="0" w:line="120"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i w:val="1"/>
          <w:iCs w:val="1"/>
          <w:color w:val="auto"/>
        </w:rPr>
        <w:t xml:space="preserve">Freescale Litigation. </w:t>
      </w:r>
      <w:r>
        <w:rPr>
          <w:rFonts w:ascii="Arial" w:cs="Arial" w:eastAsia="Arial" w:hAnsi="Arial"/>
          <w:sz w:val="16"/>
          <w:szCs w:val="16"/>
          <w:color w:val="auto"/>
        </w:rPr>
        <w:t>On July 6, 2012, Freescale Semiconductor, Inc. (“Freescale”) filed a complaint against MSI in the U.S. District Court for the Western</w:t>
      </w:r>
      <w:r>
        <w:rPr>
          <w:rFonts w:ascii="Arial" w:cs="Arial" w:eastAsia="Arial" w:hAnsi="Arial"/>
          <w:sz w:val="16"/>
          <w:szCs w:val="16"/>
          <w:i w:val="1"/>
          <w:iCs w:val="1"/>
          <w:color w:val="auto"/>
        </w:rPr>
        <w:t xml:space="preserve"> </w:t>
      </w:r>
      <w:r>
        <w:rPr>
          <w:rFonts w:ascii="Arial" w:cs="Arial" w:eastAsia="Arial" w:hAnsi="Arial"/>
          <w:sz w:val="16"/>
          <w:szCs w:val="16"/>
          <w:color w:val="auto"/>
        </w:rPr>
        <w:t>District of Texas, and amended the complaint on February 4, 2013. On January 4, 2013, three of the Company’s subsidiaries, MSI, Marvell International Ltd. and Marvell World Trade Ltd., filed a complaint against Freescale in the U.S. District Court for the Western District of Texas, and amended the compliant on January 14, 2013. On April 11, 2014, the Court dismissed both of the above two cases with prejudice pursuant to a settlement and patent license agreement. The settlement did not have a significant impact on the Company’s financial statements.</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20"/>
          </w:cols>
          <w:pgMar w:left="240" w:top="459" w:right="2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160" w:firstLine="456"/>
        <w:spacing w:after="0" w:line="253" w:lineRule="auto"/>
        <w:rPr>
          <w:sz w:val="20"/>
          <w:szCs w:val="20"/>
          <w:color w:val="auto"/>
        </w:rPr>
      </w:pPr>
      <w:r>
        <w:rPr>
          <w:rFonts w:ascii="Arial" w:cs="Arial" w:eastAsia="Arial" w:hAnsi="Arial"/>
          <w:sz w:val="18"/>
          <w:szCs w:val="18"/>
          <w:i w:val="1"/>
          <w:iCs w:val="1"/>
          <w:color w:val="auto"/>
        </w:rPr>
        <w:t xml:space="preserve">Progressive Semiconductor Solutions Patent Litigation. </w:t>
      </w:r>
      <w:r>
        <w:rPr>
          <w:rFonts w:ascii="Arial" w:cs="Arial" w:eastAsia="Arial" w:hAnsi="Arial"/>
          <w:sz w:val="18"/>
          <w:szCs w:val="18"/>
          <w:color w:val="auto"/>
        </w:rPr>
        <w:t>On September 30, 2013, Progressive Semiconductor Solutions LLC (“PSS”) filed a complaint in</w:t>
      </w:r>
      <w:r>
        <w:rPr>
          <w:rFonts w:ascii="Arial" w:cs="Arial" w:eastAsia="Arial" w:hAnsi="Arial"/>
          <w:sz w:val="18"/>
          <w:szCs w:val="18"/>
          <w:i w:val="1"/>
          <w:iCs w:val="1"/>
          <w:color w:val="auto"/>
        </w:rPr>
        <w:t xml:space="preserve"> </w:t>
      </w:r>
      <w:r>
        <w:rPr>
          <w:rFonts w:ascii="Arial" w:cs="Arial" w:eastAsia="Arial" w:hAnsi="Arial"/>
          <w:sz w:val="18"/>
          <w:szCs w:val="18"/>
          <w:color w:val="auto"/>
        </w:rPr>
        <w:t>the Central District of California against MSI and another defendant, alleging infringement of U.S. Patent Nos. 6,473,349 (the “349 patent”) and 6,862,208 (the “208 patent”). The patents purportedly relate to certain memory devices. On November 19, 2013, PSS filed an amended complaint. MSI answered the first amended complaint on November 22, 2013. A claim construction hearing is scheduled to occur on or before August 11, 2014 and trial is scheduled to start on March 3, 2015. On March 3, 2014, the District Court dismissed MSI without prejudice. On March 4, 2014, PSS filed a new complaint against MSI, alleging infringement of the ‘349 patent but not the ‘208 patent. A claim construction hearing is currently scheduled to be held by August 11, 2014. Trial is currently scheduled for March 17, 2015.</w:t>
      </w:r>
    </w:p>
    <w:p>
      <w:pPr>
        <w:spacing w:after="0" w:line="147"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i w:val="1"/>
          <w:iCs w:val="1"/>
          <w:color w:val="auto"/>
        </w:rPr>
        <w:t xml:space="preserve">Vantage Point Technology Patent Litigation. </w:t>
      </w:r>
      <w:r>
        <w:rPr>
          <w:rFonts w:ascii="Arial" w:cs="Arial" w:eastAsia="Arial" w:hAnsi="Arial"/>
          <w:sz w:val="18"/>
          <w:szCs w:val="18"/>
          <w:color w:val="auto"/>
        </w:rPr>
        <w:t>On November 21, 2013, Vantage Point Technology, Inc. (“VPT”) filed suit against a third party defendant for</w:t>
      </w:r>
      <w:r>
        <w:rPr>
          <w:rFonts w:ascii="Arial" w:cs="Arial" w:eastAsia="Arial" w:hAnsi="Arial"/>
          <w:sz w:val="18"/>
          <w:szCs w:val="18"/>
          <w:i w:val="1"/>
          <w:iCs w:val="1"/>
          <w:color w:val="auto"/>
        </w:rPr>
        <w:t xml:space="preserve"> </w:t>
      </w:r>
      <w:r>
        <w:rPr>
          <w:rFonts w:ascii="Arial" w:cs="Arial" w:eastAsia="Arial" w:hAnsi="Arial"/>
          <w:sz w:val="18"/>
          <w:szCs w:val="18"/>
          <w:color w:val="auto"/>
        </w:rPr>
        <w:t>patent infringement relating to processor technology. On February 3, 2014, VPT filed an amended complaint against the third party and added MSI as an additional defendant. The complaint seeks unspecified damages. A claim construction hearing is currently scheduled for January 27, 2015. The first trial in the series of VPT cases against various defendants is currently scheduled for July 13, 2015.</w:t>
      </w:r>
    </w:p>
    <w:p>
      <w:pPr>
        <w:spacing w:after="0" w:line="143"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i w:val="1"/>
          <w:iCs w:val="1"/>
          <w:color w:val="auto"/>
        </w:rPr>
        <w:t xml:space="preserve">Voss Litigation. </w:t>
      </w:r>
      <w:r>
        <w:rPr>
          <w:rFonts w:ascii="Arial" w:cs="Arial" w:eastAsia="Arial" w:hAnsi="Arial"/>
          <w:sz w:val="16"/>
          <w:szCs w:val="16"/>
          <w:color w:val="auto"/>
        </w:rPr>
        <w:t>On April 7, 2014, Lee Voss (“Voss”) filed an action asserting putative class action claims on behalf of the Company’s shareholders and</w:t>
      </w:r>
      <w:r>
        <w:rPr>
          <w:rFonts w:ascii="Arial" w:cs="Arial" w:eastAsia="Arial" w:hAnsi="Arial"/>
          <w:sz w:val="16"/>
          <w:szCs w:val="16"/>
          <w:i w:val="1"/>
          <w:iCs w:val="1"/>
          <w:color w:val="auto"/>
        </w:rPr>
        <w:t xml:space="preserve"> </w:t>
      </w:r>
      <w:r>
        <w:rPr>
          <w:rFonts w:ascii="Arial" w:cs="Arial" w:eastAsia="Arial" w:hAnsi="Arial"/>
          <w:sz w:val="16"/>
          <w:szCs w:val="16"/>
          <w:color w:val="auto"/>
        </w:rPr>
        <w:t>derivative claims ostensibly on behalf of the Company in the United States District Court for the Northern District of California, San Jose Division. The complaint alleges that certain officers and directors of the Company breached their fiduciary duties by causing or allowing the Company to engage in the purported willful infringement of certain patents asserted against it in litigation by CMU and by failing to institute adequate internal controls, resulting in an adverse verdict. Additionally, the complaint alleges unjust enrichment and a breach of the duty of honest services by three of the officers. The Company is named as a nominal defendant. Voss requests damages and restitution in unspecified amounts, equitable and/or injunctive relief, and the costs and fees of bringing the action. The action is in the preliminary stages, and discovery has not commenced. The Company’s responsive pleading is due July 23, 2014.</w:t>
      </w:r>
    </w:p>
    <w:p>
      <w:pPr>
        <w:spacing w:after="0" w:line="118"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i w:val="1"/>
          <w:iCs w:val="1"/>
          <w:color w:val="auto"/>
        </w:rPr>
        <w:t xml:space="preserve">Bandspeed Litigation. </w:t>
      </w:r>
      <w:r>
        <w:rPr>
          <w:rFonts w:ascii="Arial" w:cs="Arial" w:eastAsia="Arial" w:hAnsi="Arial"/>
          <w:sz w:val="18"/>
          <w:szCs w:val="18"/>
          <w:color w:val="auto"/>
        </w:rPr>
        <w:t>On May 9, 2014, Bandspeed, Inc. filed suit against MSI, alleging infringement of U.S. Patent Nos. 7,027,418; 7,570,614; 7,477,624;</w:t>
      </w:r>
      <w:r>
        <w:rPr>
          <w:rFonts w:ascii="Arial" w:cs="Arial" w:eastAsia="Arial" w:hAnsi="Arial"/>
          <w:sz w:val="18"/>
          <w:szCs w:val="18"/>
          <w:i w:val="1"/>
          <w:iCs w:val="1"/>
          <w:color w:val="auto"/>
        </w:rPr>
        <w:t xml:space="preserve"> </w:t>
      </w:r>
      <w:r>
        <w:rPr>
          <w:rFonts w:ascii="Arial" w:cs="Arial" w:eastAsia="Arial" w:hAnsi="Arial"/>
          <w:sz w:val="18"/>
          <w:szCs w:val="18"/>
          <w:color w:val="auto"/>
        </w:rPr>
        <w:t>7,903,608; 8,542,643, purportedly related to certain Bluetooth technology. The complaint seeks unspecified damages.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Surety Bond</w:t>
      </w:r>
    </w:p>
    <w:p>
      <w:pPr>
        <w:spacing w:after="0" w:line="90" w:lineRule="exact"/>
        <w:rPr>
          <w:sz w:val="20"/>
          <w:szCs w:val="20"/>
          <w:color w:val="auto"/>
        </w:rPr>
      </w:pPr>
    </w:p>
    <w:p>
      <w:pPr>
        <w:ind w:right="80" w:firstLine="456"/>
        <w:spacing w:after="0" w:line="289" w:lineRule="auto"/>
        <w:rPr>
          <w:sz w:val="20"/>
          <w:szCs w:val="20"/>
          <w:color w:val="auto"/>
        </w:rPr>
      </w:pPr>
      <w:r>
        <w:rPr>
          <w:rFonts w:ascii="Arial" w:cs="Arial" w:eastAsia="Arial" w:hAnsi="Arial"/>
          <w:sz w:val="16"/>
          <w:szCs w:val="16"/>
          <w:color w:val="auto"/>
        </w:rPr>
        <w:t>On May 14, 2014, the Company filed a Notice of Appeal to appeal the final judgment issued by the District Court in the CMU litigation. In order to stay the execution of the final judgment pending its appeal, the Company filed a supersedeas bond for $1.54 billion with the District Court. The bond was issued by a consortium of sureties authorized by the U.S. Treasury. If the judgment is affirmed after the completion of all appellate proceedings, and the Company does not thereafter fully satisfy the judgment within thirty days, the sureties are obligated under the bond to make payment to CMU. In support of the bond, the Company entered into separate indemnity agreements with each of the sureties to indemnify the sureties from all costs and payments made under the bond. The indemnity agreements did not require collateral to be posted at the time of the issuance of the bond. Therefore no cash or other Company assets are considered restricted as of the date of this filing. However, the indemnity agreements provide that each of the sureties have the right to demand to be placed in funds or call for collateral under pre-defined events. The indemnity agreements will remain outstanding for as long as the underlying bond remains outstanding.</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90"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During its normal course of business, the Company has made certain indemnities, commitments and guarantees under which it may be required to make payments in relation to certain transactions. These indemnities may include intellectual property indemnities to the Company’s customers in connection with the sales of its products, indemnities for liabilities associated with the infringement of other parties’ technology based upon the Company’s products, indemnities for general commercial obligations, indemnities to various lessors in</w:t>
      </w:r>
    </w:p>
    <w:p>
      <w:pPr>
        <w:spacing w:after="0" w:line="13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380"/>
          </w:cols>
          <w:pgMar w:left="240" w:top="459" w:right="27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60"/>
        <w:spacing w:after="0" w:line="289" w:lineRule="auto"/>
        <w:rPr>
          <w:sz w:val="20"/>
          <w:szCs w:val="20"/>
          <w:color w:val="auto"/>
        </w:rPr>
      </w:pPr>
      <w:r>
        <w:rPr>
          <w:rFonts w:ascii="Arial" w:cs="Arial" w:eastAsia="Arial" w:hAnsi="Arial"/>
          <w:sz w:val="16"/>
          <w:szCs w:val="16"/>
          <w:color w:val="auto"/>
        </w:rPr>
        <w:t>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consolidated balance sheets as the amounts cannot be reasonably estimated and are not considered probable. The Company does, however, accrue for losses for any known contingent liability, including those that may arise from indemnification provisions, when future payment is probable.</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Shareholders’ Equity</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Stock Plans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Activity under the Company’s stock option plans for the three months ended May 3, 2014 is summarized below (in thousands, except per share amounts):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040" w:type="dxa"/>
            <w:vAlign w:val="bottom"/>
          </w:tcPr>
          <w:p>
            <w:pPr>
              <w:spacing w:after="0"/>
              <w:rPr>
                <w:sz w:val="14"/>
                <w:szCs w:val="14"/>
                <w:color w:val="auto"/>
              </w:rPr>
            </w:pPr>
          </w:p>
        </w:tc>
        <w:tc>
          <w:tcPr>
            <w:tcW w:w="2220" w:type="dxa"/>
            <w:vAlign w:val="bottom"/>
            <w:gridSpan w:val="6"/>
          </w:tcPr>
          <w:p>
            <w:pPr>
              <w:ind w:left="320"/>
              <w:spacing w:after="0"/>
              <w:rPr>
                <w:sz w:val="20"/>
                <w:szCs w:val="20"/>
                <w:color w:val="auto"/>
              </w:rPr>
            </w:pPr>
            <w:r>
              <w:rPr>
                <w:rFonts w:ascii="Arial" w:cs="Arial" w:eastAsia="Arial" w:hAnsi="Arial"/>
                <w:sz w:val="14"/>
                <w:szCs w:val="14"/>
                <w:b w:val="1"/>
                <w:bCs w:val="1"/>
                <w:color w:val="auto"/>
              </w:rPr>
              <w:t>Time-Based Options</w:t>
            </w:r>
          </w:p>
        </w:tc>
        <w:tc>
          <w:tcPr>
            <w:tcW w:w="2200" w:type="dxa"/>
            <w:vAlign w:val="bottom"/>
            <w:gridSpan w:val="5"/>
          </w:tcPr>
          <w:p>
            <w:pPr>
              <w:ind w:left="260"/>
              <w:spacing w:after="0"/>
              <w:rPr>
                <w:sz w:val="20"/>
                <w:szCs w:val="20"/>
                <w:color w:val="auto"/>
              </w:rPr>
            </w:pPr>
            <w:r>
              <w:rPr>
                <w:rFonts w:ascii="Arial" w:cs="Arial" w:eastAsia="Arial" w:hAnsi="Arial"/>
                <w:sz w:val="14"/>
                <w:szCs w:val="14"/>
                <w:b w:val="1"/>
                <w:bCs w:val="1"/>
                <w:color w:val="auto"/>
              </w:rPr>
              <w:t>Market-Based Options</w:t>
            </w:r>
          </w:p>
        </w:tc>
        <w:tc>
          <w:tcPr>
            <w:tcW w:w="6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0" w:type="dxa"/>
            <w:vAlign w:val="bottom"/>
            <w:gridSpan w:val="2"/>
          </w:tcPr>
          <w:p>
            <w:pPr>
              <w:ind w:left="40"/>
              <w:spacing w:after="0"/>
              <w:rPr>
                <w:sz w:val="20"/>
                <w:szCs w:val="20"/>
                <w:color w:val="auto"/>
              </w:rPr>
            </w:pPr>
            <w:r>
              <w:rPr>
                <w:rFonts w:ascii="Arial" w:cs="Arial" w:eastAsia="Arial" w:hAnsi="Arial"/>
                <w:sz w:val="14"/>
                <w:szCs w:val="14"/>
                <w:b w:val="1"/>
                <w:bCs w:val="1"/>
                <w:color w:val="auto"/>
              </w:rPr>
              <w:t>Total</w:t>
            </w:r>
          </w:p>
        </w:tc>
        <w:tc>
          <w:tcPr>
            <w:tcW w:w="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04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center"/>
              <w:ind w:right="37"/>
              <w:spacing w:after="0" w:line="129" w:lineRule="exact"/>
              <w:rPr>
                <w:sz w:val="20"/>
                <w:szCs w:val="20"/>
                <w:color w:val="auto"/>
              </w:rPr>
            </w:pPr>
            <w:r>
              <w:rPr>
                <w:rFonts w:ascii="Arial" w:cs="Arial" w:eastAsia="Arial" w:hAnsi="Arial"/>
                <w:sz w:val="14"/>
                <w:szCs w:val="14"/>
                <w:b w:val="1"/>
                <w:bCs w:val="1"/>
                <w:color w:val="auto"/>
                <w:w w:val="88"/>
              </w:rPr>
              <w:t>Weighted</w:t>
            </w:r>
          </w:p>
        </w:tc>
        <w:tc>
          <w:tcPr>
            <w:tcW w:w="380" w:type="dxa"/>
            <w:vAlign w:val="bottom"/>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38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center"/>
              <w:ind w:right="38"/>
              <w:spacing w:after="0" w:line="129" w:lineRule="exact"/>
              <w:rPr>
                <w:sz w:val="20"/>
                <w:szCs w:val="20"/>
                <w:color w:val="auto"/>
              </w:rPr>
            </w:pPr>
            <w:r>
              <w:rPr>
                <w:rFonts w:ascii="Arial" w:cs="Arial" w:eastAsia="Arial" w:hAnsi="Arial"/>
                <w:sz w:val="14"/>
                <w:szCs w:val="14"/>
                <w:b w:val="1"/>
                <w:bCs w:val="1"/>
                <w:color w:val="auto"/>
                <w:w w:val="88"/>
              </w:rPr>
              <w:t>Weighted</w:t>
            </w:r>
          </w:p>
        </w:tc>
        <w:tc>
          <w:tcPr>
            <w:tcW w:w="36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28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center"/>
              <w:ind w:right="38"/>
              <w:spacing w:after="0" w:line="129" w:lineRule="exact"/>
              <w:rPr>
                <w:sz w:val="20"/>
                <w:szCs w:val="20"/>
                <w:color w:val="auto"/>
              </w:rPr>
            </w:pPr>
            <w:r>
              <w:rPr>
                <w:rFonts w:ascii="Arial" w:cs="Arial" w:eastAsia="Arial" w:hAnsi="Arial"/>
                <w:sz w:val="14"/>
                <w:szCs w:val="14"/>
                <w:b w:val="1"/>
                <w:bCs w:val="1"/>
                <w:color w:val="auto"/>
                <w:w w:val="85"/>
              </w:rPr>
              <w:t>Weighted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04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b w:val="1"/>
                <w:bCs w:val="1"/>
                <w:color w:val="auto"/>
                <w:w w:val="85"/>
              </w:rPr>
              <w:t>Number of</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0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3"/>
              </w:rPr>
              <w:t>Average</w:t>
            </w:r>
          </w:p>
        </w:tc>
        <w:tc>
          <w:tcPr>
            <w:tcW w:w="1000" w:type="dxa"/>
            <w:vAlign w:val="bottom"/>
            <w:gridSpan w:val="2"/>
          </w:tcPr>
          <w:p>
            <w:pPr>
              <w:jc w:val="right"/>
              <w:ind w:right="380"/>
              <w:spacing w:after="0" w:line="149" w:lineRule="exact"/>
              <w:rPr>
                <w:sz w:val="20"/>
                <w:szCs w:val="20"/>
                <w:color w:val="auto"/>
              </w:rPr>
            </w:pPr>
            <w:r>
              <w:rPr>
                <w:rFonts w:ascii="Arial" w:cs="Arial" w:eastAsia="Arial" w:hAnsi="Arial"/>
                <w:sz w:val="14"/>
                <w:szCs w:val="14"/>
                <w:b w:val="1"/>
                <w:bCs w:val="1"/>
                <w:color w:val="auto"/>
                <w:w w:val="85"/>
              </w:rPr>
              <w:t>Number of</w:t>
            </w:r>
          </w:p>
        </w:tc>
        <w:tc>
          <w:tcPr>
            <w:tcW w:w="120" w:type="dxa"/>
            <w:vAlign w:val="bottom"/>
          </w:tcPr>
          <w:p>
            <w:pPr>
              <w:spacing w:after="0"/>
              <w:rPr>
                <w:sz w:val="12"/>
                <w:szCs w:val="12"/>
                <w:color w:val="auto"/>
              </w:rPr>
            </w:pPr>
          </w:p>
        </w:tc>
        <w:tc>
          <w:tcPr>
            <w:tcW w:w="108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6"/>
              </w:rPr>
              <w:t>Average</w:t>
            </w:r>
          </w:p>
        </w:tc>
        <w:tc>
          <w:tcPr>
            <w:tcW w:w="740" w:type="dxa"/>
            <w:vAlign w:val="bottom"/>
            <w:gridSpan w:val="2"/>
          </w:tcPr>
          <w:p>
            <w:pPr>
              <w:jc w:val="right"/>
              <w:ind w:right="100"/>
              <w:spacing w:after="0" w:line="149" w:lineRule="exact"/>
              <w:rPr>
                <w:sz w:val="20"/>
                <w:szCs w:val="20"/>
                <w:color w:val="auto"/>
              </w:rPr>
            </w:pPr>
            <w:r>
              <w:rPr>
                <w:rFonts w:ascii="Arial" w:cs="Arial" w:eastAsia="Arial" w:hAnsi="Arial"/>
                <w:sz w:val="14"/>
                <w:szCs w:val="14"/>
                <w:b w:val="1"/>
                <w:bCs w:val="1"/>
                <w:color w:val="auto"/>
                <w:w w:val="88"/>
              </w:rPr>
              <w:t>Number of</w:t>
            </w: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6"/>
              </w:rPr>
              <w:t>Average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040" w:type="dxa"/>
            <w:vAlign w:val="bottom"/>
          </w:tcPr>
          <w:p>
            <w:pPr>
              <w:spacing w:after="0"/>
              <w:rPr>
                <w:sz w:val="14"/>
                <w:szCs w:val="14"/>
                <w:color w:val="auto"/>
              </w:rPr>
            </w:pPr>
          </w:p>
        </w:tc>
        <w:tc>
          <w:tcPr>
            <w:tcW w:w="86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rPr>
              <w:t>Shares</w:t>
            </w:r>
          </w:p>
        </w:tc>
        <w:tc>
          <w:tcPr>
            <w:tcW w:w="160" w:type="dxa"/>
            <w:vAlign w:val="bottom"/>
          </w:tcPr>
          <w:p>
            <w:pPr>
              <w:spacing w:after="0"/>
              <w:rPr>
                <w:sz w:val="14"/>
                <w:szCs w:val="14"/>
                <w:color w:val="auto"/>
              </w:rPr>
            </w:pPr>
          </w:p>
        </w:tc>
        <w:tc>
          <w:tcPr>
            <w:tcW w:w="1200" w:type="dxa"/>
            <w:vAlign w:val="bottom"/>
            <w:gridSpan w:val="3"/>
          </w:tcPr>
          <w:p>
            <w:pPr>
              <w:jc w:val="right"/>
              <w:ind w:right="380"/>
              <w:spacing w:after="0"/>
              <w:rPr>
                <w:sz w:val="20"/>
                <w:szCs w:val="20"/>
                <w:color w:val="auto"/>
              </w:rPr>
            </w:pPr>
            <w:r>
              <w:rPr>
                <w:rFonts w:ascii="Arial" w:cs="Arial" w:eastAsia="Arial" w:hAnsi="Arial"/>
                <w:sz w:val="14"/>
                <w:szCs w:val="14"/>
                <w:b w:val="1"/>
                <w:bCs w:val="1"/>
                <w:color w:val="auto"/>
                <w:w w:val="83"/>
              </w:rPr>
              <w:t>Exercise Price</w:t>
            </w:r>
          </w:p>
        </w:tc>
        <w:tc>
          <w:tcPr>
            <w:tcW w:w="100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Shares</w:t>
            </w:r>
          </w:p>
        </w:tc>
        <w:tc>
          <w:tcPr>
            <w:tcW w:w="1200" w:type="dxa"/>
            <w:vAlign w:val="bottom"/>
            <w:gridSpan w:val="3"/>
          </w:tcPr>
          <w:p>
            <w:pPr>
              <w:spacing w:after="0"/>
              <w:rPr>
                <w:sz w:val="20"/>
                <w:szCs w:val="20"/>
                <w:color w:val="auto"/>
              </w:rPr>
            </w:pPr>
            <w:r>
              <w:rPr>
                <w:rFonts w:ascii="Arial" w:cs="Arial" w:eastAsia="Arial" w:hAnsi="Arial"/>
                <w:sz w:val="14"/>
                <w:szCs w:val="14"/>
                <w:b w:val="1"/>
                <w:bCs w:val="1"/>
                <w:color w:val="auto"/>
              </w:rPr>
              <w:t>Exercise Price</w:t>
            </w:r>
          </w:p>
        </w:tc>
        <w:tc>
          <w:tcPr>
            <w:tcW w:w="740" w:type="dxa"/>
            <w:vAlign w:val="bottom"/>
            <w:gridSpan w:val="2"/>
          </w:tcPr>
          <w:p>
            <w:pPr>
              <w:jc w:val="right"/>
              <w:ind w:right="220"/>
              <w:spacing w:after="0"/>
              <w:rPr>
                <w:sz w:val="20"/>
                <w:szCs w:val="20"/>
                <w:color w:val="auto"/>
              </w:rPr>
            </w:pPr>
            <w:r>
              <w:rPr>
                <w:rFonts w:ascii="Arial" w:cs="Arial" w:eastAsia="Arial" w:hAnsi="Arial"/>
                <w:sz w:val="14"/>
                <w:szCs w:val="14"/>
                <w:b w:val="1"/>
                <w:bCs w:val="1"/>
                <w:color w:val="auto"/>
              </w:rPr>
              <w:t>Shares</w:t>
            </w:r>
          </w:p>
        </w:tc>
        <w:tc>
          <w:tcPr>
            <w:tcW w:w="280" w:type="dxa"/>
            <w:vAlign w:val="bottom"/>
          </w:tcPr>
          <w:p>
            <w:pPr>
              <w:spacing w:after="0"/>
              <w:rPr>
                <w:sz w:val="14"/>
                <w:szCs w:val="14"/>
                <w:color w:val="auto"/>
              </w:rPr>
            </w:pPr>
          </w:p>
        </w:tc>
        <w:tc>
          <w:tcPr>
            <w:tcW w:w="920" w:type="dxa"/>
            <w:vAlign w:val="bottom"/>
            <w:gridSpan w:val="3"/>
          </w:tcPr>
          <w:p>
            <w:pPr>
              <w:spacing w:after="0"/>
              <w:rPr>
                <w:sz w:val="20"/>
                <w:szCs w:val="20"/>
                <w:color w:val="auto"/>
              </w:rPr>
            </w:pPr>
            <w:r>
              <w:rPr>
                <w:rFonts w:ascii="Arial" w:cs="Arial" w:eastAsia="Arial" w:hAnsi="Arial"/>
                <w:sz w:val="14"/>
                <w:szCs w:val="14"/>
                <w:b w:val="1"/>
                <w:bCs w:val="1"/>
                <w:color w:val="auto"/>
                <w:w w:val="93"/>
              </w:rPr>
              <w:t>Exercise Price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0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February 1, 2014</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49,156</w:t>
            </w:r>
          </w:p>
        </w:tc>
        <w:tc>
          <w:tcPr>
            <w:tcW w:w="2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13.40</w:t>
            </w:r>
          </w:p>
        </w:tc>
        <w:tc>
          <w:tcPr>
            <w:tcW w:w="380" w:type="dxa"/>
            <w:vAlign w:val="bottom"/>
            <w:tcBorders>
              <w:top w:val="single" w:sz="8" w:color="CCEEFF"/>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2,623</w:t>
            </w:r>
          </w:p>
        </w:tc>
        <w:tc>
          <w:tcPr>
            <w:tcW w:w="3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720" w:type="dxa"/>
            <w:vAlign w:val="bottom"/>
            <w:tcBorders>
              <w:top w:val="single" w:sz="8" w:color="auto"/>
            </w:tcBorders>
            <w:shd w:val="clear" w:color="auto" w:fill="CCEEFF"/>
          </w:tcPr>
          <w:p>
            <w:pPr>
              <w:jc w:val="center"/>
              <w:ind w:left="238"/>
              <w:spacing w:after="0"/>
              <w:rPr>
                <w:sz w:val="20"/>
                <w:szCs w:val="20"/>
                <w:color w:val="auto"/>
              </w:rPr>
            </w:pPr>
            <w:r>
              <w:rPr>
                <w:rFonts w:ascii="Arial" w:cs="Arial" w:eastAsia="Arial" w:hAnsi="Arial"/>
                <w:sz w:val="18"/>
                <w:szCs w:val="18"/>
                <w:color w:val="auto"/>
                <w:w w:val="88"/>
              </w:rPr>
              <w:t>15.43</w:t>
            </w:r>
          </w:p>
        </w:tc>
        <w:tc>
          <w:tcPr>
            <w:tcW w:w="36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51,779</w:t>
            </w:r>
          </w:p>
        </w:tc>
        <w:tc>
          <w:tcPr>
            <w:tcW w:w="10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13.51</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ind w:left="420"/>
              <w:spacing w:after="0"/>
              <w:rPr>
                <w:sz w:val="20"/>
                <w:szCs w:val="20"/>
                <w:color w:val="auto"/>
              </w:rPr>
            </w:pPr>
            <w:r>
              <w:rPr>
                <w:rFonts w:ascii="Arial" w:cs="Arial" w:eastAsia="Arial" w:hAnsi="Arial"/>
                <w:sz w:val="18"/>
                <w:szCs w:val="18"/>
                <w:color w:val="auto"/>
              </w:rPr>
              <w:t>Granted</w:t>
            </w: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3,712</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380"/>
              <w:spacing w:after="0"/>
              <w:rPr>
                <w:sz w:val="20"/>
                <w:szCs w:val="20"/>
                <w:color w:val="auto"/>
              </w:rPr>
            </w:pPr>
            <w:r>
              <w:rPr>
                <w:rFonts w:ascii="Arial" w:cs="Arial" w:eastAsia="Arial" w:hAnsi="Arial"/>
                <w:sz w:val="18"/>
                <w:szCs w:val="18"/>
                <w:color w:val="auto"/>
              </w:rPr>
              <w:t>15.84</w:t>
            </w:r>
          </w:p>
        </w:tc>
        <w:tc>
          <w:tcPr>
            <w:tcW w:w="100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080" w:type="dxa"/>
            <w:vAlign w:val="bottom"/>
            <w:gridSpan w:val="2"/>
          </w:tcPr>
          <w:p>
            <w:pPr>
              <w:jc w:val="center"/>
              <w:ind w:right="20"/>
              <w:spacing w:after="0"/>
              <w:rPr>
                <w:sz w:val="20"/>
                <w:szCs w:val="20"/>
                <w:color w:val="auto"/>
              </w:rPr>
            </w:pPr>
            <w:r>
              <w:rPr>
                <w:rFonts w:ascii="Arial" w:cs="Arial" w:eastAsia="Arial" w:hAnsi="Arial"/>
                <w:sz w:val="18"/>
                <w:szCs w:val="18"/>
                <w:color w:val="auto"/>
                <w:w w:val="99"/>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3,712</w:t>
            </w:r>
          </w:p>
        </w:tc>
        <w:tc>
          <w:tcPr>
            <w:tcW w:w="100" w:type="dxa"/>
            <w:vAlign w:val="bottom"/>
          </w:tcPr>
          <w:p>
            <w:pPr>
              <w:spacing w:after="0"/>
              <w:rPr>
                <w:sz w:val="18"/>
                <w:szCs w:val="18"/>
                <w:color w:val="auto"/>
              </w:rPr>
            </w:pP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15.84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Exercised</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(1,797)</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10.62</w:t>
            </w:r>
          </w:p>
        </w:tc>
        <w:tc>
          <w:tcPr>
            <w:tcW w:w="10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080" w:type="dxa"/>
            <w:vAlign w:val="bottom"/>
            <w:gridSpan w:val="2"/>
            <w:shd w:val="clear" w:color="auto" w:fill="CCEEFF"/>
          </w:tcPr>
          <w:p>
            <w:pPr>
              <w:jc w:val="center"/>
              <w:ind w:right="20"/>
              <w:spacing w:after="0"/>
              <w:rPr>
                <w:sz w:val="20"/>
                <w:szCs w:val="20"/>
                <w:color w:val="auto"/>
              </w:rPr>
            </w:pPr>
            <w:r>
              <w:rPr>
                <w:rFonts w:ascii="Arial" w:cs="Arial" w:eastAsia="Arial" w:hAnsi="Arial"/>
                <w:sz w:val="18"/>
                <w:szCs w:val="18"/>
                <w:color w:val="auto"/>
                <w:w w:val="99"/>
              </w:rPr>
              <w:t>—</w:t>
            </w: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(1,797)</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(1,687)</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380"/>
              <w:spacing w:after="0"/>
              <w:rPr>
                <w:sz w:val="20"/>
                <w:szCs w:val="20"/>
                <w:color w:val="auto"/>
              </w:rPr>
            </w:pPr>
            <w:r>
              <w:rPr>
                <w:rFonts w:ascii="Arial" w:cs="Arial" w:eastAsia="Arial" w:hAnsi="Arial"/>
                <w:sz w:val="18"/>
                <w:szCs w:val="18"/>
                <w:color w:val="auto"/>
              </w:rPr>
              <w:t>15.32</w:t>
            </w:r>
          </w:p>
        </w:tc>
        <w:tc>
          <w:tcPr>
            <w:tcW w:w="1000" w:type="dxa"/>
            <w:vAlign w:val="bottom"/>
            <w:gridSpan w:val="2"/>
          </w:tcPr>
          <w:p>
            <w:pPr>
              <w:jc w:val="right"/>
              <w:ind w:right="320"/>
              <w:spacing w:after="0"/>
              <w:rPr>
                <w:sz w:val="20"/>
                <w:szCs w:val="20"/>
                <w:color w:val="auto"/>
              </w:rPr>
            </w:pPr>
            <w:r>
              <w:rPr>
                <w:rFonts w:ascii="Arial" w:cs="Arial" w:eastAsia="Arial" w:hAnsi="Arial"/>
                <w:sz w:val="18"/>
                <w:szCs w:val="18"/>
                <w:color w:val="auto"/>
              </w:rPr>
              <w:t>(329)</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080" w:type="dxa"/>
            <w:vAlign w:val="bottom"/>
            <w:gridSpan w:val="2"/>
          </w:tcPr>
          <w:p>
            <w:pPr>
              <w:jc w:val="center"/>
              <w:ind w:right="40"/>
              <w:spacing w:after="0"/>
              <w:rPr>
                <w:sz w:val="20"/>
                <w:szCs w:val="20"/>
                <w:color w:val="auto"/>
              </w:rPr>
            </w:pPr>
            <w:r>
              <w:rPr>
                <w:rFonts w:ascii="Arial" w:cs="Arial" w:eastAsia="Arial" w:hAnsi="Arial"/>
                <w:sz w:val="18"/>
                <w:szCs w:val="18"/>
                <w:color w:val="auto"/>
                <w:w w:val="88"/>
              </w:rPr>
              <w:t>15.43</w:t>
            </w: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(2,016)</w:t>
            </w: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15.34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04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720" w:type="dxa"/>
            <w:vAlign w:val="bottom"/>
          </w:tcPr>
          <w:p>
            <w:pPr>
              <w:spacing w:after="0"/>
              <w:rPr>
                <w:sz w:val="2"/>
                <w:szCs w:val="2"/>
                <w:color w:val="auto"/>
              </w:rPr>
            </w:pPr>
          </w:p>
        </w:tc>
        <w:tc>
          <w:tcPr>
            <w:tcW w:w="380" w:type="dxa"/>
            <w:vAlign w:val="bottom"/>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20" w:type="dxa"/>
            <w:vAlign w:val="bottom"/>
          </w:tcPr>
          <w:p>
            <w:pPr>
              <w:spacing w:after="0"/>
              <w:rPr>
                <w:sz w:val="2"/>
                <w:szCs w:val="2"/>
                <w:color w:val="auto"/>
              </w:rPr>
            </w:pPr>
          </w:p>
        </w:tc>
        <w:tc>
          <w:tcPr>
            <w:tcW w:w="36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0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Balance at May 3, 2014</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49,384</w:t>
            </w:r>
          </w:p>
        </w:tc>
        <w:tc>
          <w:tcPr>
            <w:tcW w:w="22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13.62</w:t>
            </w:r>
          </w:p>
        </w:tc>
        <w:tc>
          <w:tcPr>
            <w:tcW w:w="10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2,294</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080" w:type="dxa"/>
            <w:vAlign w:val="bottom"/>
            <w:gridSpan w:val="2"/>
            <w:shd w:val="clear" w:color="auto" w:fill="CCEEFF"/>
          </w:tcPr>
          <w:p>
            <w:pPr>
              <w:jc w:val="center"/>
              <w:ind w:right="40"/>
              <w:spacing w:after="0"/>
              <w:rPr>
                <w:sz w:val="20"/>
                <w:szCs w:val="20"/>
                <w:color w:val="auto"/>
              </w:rPr>
            </w:pPr>
            <w:r>
              <w:rPr>
                <w:rFonts w:ascii="Arial" w:cs="Arial" w:eastAsia="Arial" w:hAnsi="Arial"/>
                <w:sz w:val="18"/>
                <w:szCs w:val="18"/>
                <w:color w:val="auto"/>
                <w:w w:val="88"/>
              </w:rPr>
              <w:t>15.43</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51,678</w:t>
            </w:r>
          </w:p>
        </w:tc>
        <w:tc>
          <w:tcPr>
            <w:tcW w:w="10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60" w:type="dxa"/>
            <w:vAlign w:val="bottom"/>
            <w:gridSpan w:val="2"/>
            <w:vMerge w:val="restart"/>
          </w:tcPr>
          <w:p>
            <w:pPr>
              <w:spacing w:after="0"/>
              <w:rPr>
                <w:sz w:val="20"/>
                <w:szCs w:val="20"/>
                <w:color w:val="auto"/>
              </w:rPr>
            </w:pPr>
            <w:r>
              <w:rPr>
                <w:rFonts w:ascii="Arial" w:cs="Arial" w:eastAsia="Arial" w:hAnsi="Arial"/>
                <w:sz w:val="18"/>
                <w:szCs w:val="18"/>
                <w:color w:val="auto"/>
              </w:rPr>
              <w:t>Vested or expected to vest at May 3, 2014</w:t>
            </w:r>
          </w:p>
        </w:tc>
        <w:tc>
          <w:tcPr>
            <w:tcW w:w="6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60" w:type="dxa"/>
            <w:vAlign w:val="bottom"/>
            <w:gridSpan w:val="2"/>
            <w:vMerge w:val="restart"/>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vMerge w:val="restart"/>
          </w:tcPr>
          <w:p>
            <w:pPr>
              <w:jc w:val="right"/>
              <w:ind w:right="380"/>
              <w:spacing w:after="0"/>
              <w:rPr>
                <w:sz w:val="20"/>
                <w:szCs w:val="20"/>
                <w:color w:val="auto"/>
              </w:rPr>
            </w:pPr>
            <w:r>
              <w:rPr>
                <w:rFonts w:ascii="Arial" w:cs="Arial" w:eastAsia="Arial" w:hAnsi="Arial"/>
                <w:sz w:val="18"/>
                <w:szCs w:val="18"/>
                <w:color w:val="auto"/>
              </w:rPr>
              <w:t>13.72</w:t>
            </w:r>
          </w:p>
        </w:tc>
        <w:tc>
          <w:tcPr>
            <w:tcW w:w="6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060" w:type="dxa"/>
            <w:vAlign w:val="bottom"/>
            <w:gridSpan w:val="2"/>
            <w:vMerge w:val="continue"/>
          </w:tcPr>
          <w:p>
            <w:pPr>
              <w:spacing w:after="0"/>
              <w:rPr>
                <w:sz w:val="18"/>
                <w:szCs w:val="18"/>
                <w:color w:val="auto"/>
              </w:rPr>
            </w:pP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45,766</w:t>
            </w:r>
          </w:p>
        </w:tc>
        <w:tc>
          <w:tcPr>
            <w:tcW w:w="260" w:type="dxa"/>
            <w:vAlign w:val="bottom"/>
            <w:gridSpan w:val="2"/>
            <w:vMerge w:val="continue"/>
          </w:tcPr>
          <w:p>
            <w:pPr>
              <w:spacing w:after="0"/>
              <w:rPr>
                <w:sz w:val="18"/>
                <w:szCs w:val="18"/>
                <w:color w:val="auto"/>
              </w:rPr>
            </w:pPr>
          </w:p>
        </w:tc>
        <w:tc>
          <w:tcPr>
            <w:tcW w:w="1100" w:type="dxa"/>
            <w:vAlign w:val="bottom"/>
            <w:gridSpan w:val="2"/>
            <w:vMerge w:val="continue"/>
          </w:tcPr>
          <w:p>
            <w:pPr>
              <w:spacing w:after="0"/>
              <w:rPr>
                <w:sz w:val="18"/>
                <w:szCs w:val="18"/>
                <w:color w:val="auto"/>
              </w:rPr>
            </w:pPr>
          </w:p>
        </w:tc>
        <w:tc>
          <w:tcPr>
            <w:tcW w:w="6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4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Exercisable at May 3, 2014</w:t>
            </w:r>
          </w:p>
        </w:tc>
        <w:tc>
          <w:tcPr>
            <w:tcW w:w="8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25,024</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15.04</w:t>
            </w:r>
          </w:p>
        </w:tc>
        <w:tc>
          <w:tcPr>
            <w:tcW w:w="6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4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20" w:firstLine="456"/>
        <w:spacing w:after="0" w:line="290" w:lineRule="auto"/>
        <w:rPr>
          <w:sz w:val="20"/>
          <w:szCs w:val="20"/>
          <w:color w:val="auto"/>
        </w:rPr>
      </w:pPr>
      <w:r>
        <w:rPr>
          <w:rFonts w:ascii="Arial" w:cs="Arial" w:eastAsia="Arial" w:hAnsi="Arial"/>
          <w:sz w:val="16"/>
          <w:szCs w:val="16"/>
          <w:color w:val="auto"/>
        </w:rPr>
        <w:t>For time-based stock options vested and expected to vest at May 3, 2014, the aggregate intrinsic value was $144.2 million and the weighted average remaining contractual term was 6.3 years. For time-based stock options exercisable at May 3, 2014, the aggregate intrinsic value was $66.9 million and the weighted average remaining contractual term was 4.1 years. The aggregate intrinsic value of stock options exercised during the three months ended May 3, 2014 and May 4, 2013 was $9.4 million and $11.1 million, respectively. There was no aggregate intrinsic value for market-based stock options at May 3, 2014 and the weighted average remaining contractual term of market-based stock options vested and expected to reach the end of the vesting period at May 3, 2014 was 7.0 years. The Company’s closing stock price of $15.83 as reported on the NASDAQ Global Select Market for all in-the-money options as of May 2, 2014 was used to calculate the aggregate intrinsic value.</w:t>
      </w:r>
    </w:p>
    <w:p>
      <w:pPr>
        <w:spacing w:after="0" w:line="118" w:lineRule="exact"/>
        <w:rPr>
          <w:sz w:val="20"/>
          <w:szCs w:val="20"/>
          <w:color w:val="auto"/>
        </w:rPr>
      </w:pPr>
    </w:p>
    <w:p>
      <w:pPr>
        <w:jc w:val="both"/>
        <w:ind w:right="340" w:firstLine="456"/>
        <w:spacing w:after="0" w:line="259" w:lineRule="auto"/>
        <w:rPr>
          <w:sz w:val="20"/>
          <w:szCs w:val="20"/>
          <w:color w:val="auto"/>
        </w:rPr>
      </w:pPr>
      <w:r>
        <w:rPr>
          <w:rFonts w:ascii="Arial" w:cs="Arial" w:eastAsia="Arial" w:hAnsi="Arial"/>
          <w:sz w:val="18"/>
          <w:szCs w:val="18"/>
          <w:color w:val="auto"/>
        </w:rPr>
        <w:t>As of May 3, 2014, the unamortized compensation expense for time-based stock options was $67.7 million and market-based stock options were fully amortized in fiscal 2014. The unamortized compensation expense for time-based stock options will be amortized on a straight-line basis and is expected to be recognized over a weighted average period of 2.9 years.</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Included in the following table is activity related to the non-vested portion of the restricted stock units as follows (in thousands, except for share prices):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420" w:type="dxa"/>
            <w:vAlign w:val="bottom"/>
          </w:tcPr>
          <w:p>
            <w:pPr>
              <w:spacing w:after="0"/>
              <w:rPr>
                <w:sz w:val="14"/>
                <w:szCs w:val="14"/>
                <w:color w:val="auto"/>
              </w:rPr>
            </w:pPr>
          </w:p>
        </w:tc>
        <w:tc>
          <w:tcPr>
            <w:tcW w:w="1240" w:type="dxa"/>
            <w:vAlign w:val="bottom"/>
            <w:gridSpan w:val="3"/>
          </w:tcPr>
          <w:p>
            <w:pPr>
              <w:ind w:left="500"/>
              <w:spacing w:after="0"/>
              <w:rPr>
                <w:sz w:val="20"/>
                <w:szCs w:val="20"/>
                <w:color w:val="auto"/>
              </w:rPr>
            </w:pPr>
            <w:r>
              <w:rPr>
                <w:rFonts w:ascii="Arial" w:cs="Arial" w:eastAsia="Arial" w:hAnsi="Arial"/>
                <w:sz w:val="14"/>
                <w:szCs w:val="14"/>
                <w:b w:val="1"/>
                <w:bCs w:val="1"/>
                <w:color w:val="auto"/>
                <w:w w:val="90"/>
              </w:rPr>
              <w:t>Time-Based</w:t>
            </w:r>
          </w:p>
        </w:tc>
        <w:tc>
          <w:tcPr>
            <w:tcW w:w="4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2140" w:type="dxa"/>
            <w:vAlign w:val="bottom"/>
            <w:gridSpan w:val="6"/>
          </w:tcPr>
          <w:p>
            <w:pPr>
              <w:ind w:left="300"/>
              <w:spacing w:after="0"/>
              <w:rPr>
                <w:sz w:val="20"/>
                <w:szCs w:val="20"/>
                <w:color w:val="auto"/>
              </w:rPr>
            </w:pPr>
            <w:r>
              <w:rPr>
                <w:rFonts w:ascii="Arial" w:cs="Arial" w:eastAsia="Arial" w:hAnsi="Arial"/>
                <w:sz w:val="14"/>
                <w:szCs w:val="14"/>
                <w:b w:val="1"/>
                <w:bCs w:val="1"/>
                <w:color w:val="auto"/>
              </w:rPr>
              <w:t>Performance-Based</w:t>
            </w:r>
          </w:p>
        </w:tc>
        <w:tc>
          <w:tcPr>
            <w:tcW w:w="6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500" w:type="dxa"/>
            <w:vAlign w:val="bottom"/>
            <w:gridSpan w:val="2"/>
          </w:tcPr>
          <w:p>
            <w:pPr>
              <w:spacing w:after="0"/>
              <w:rPr>
                <w:sz w:val="20"/>
                <w:szCs w:val="20"/>
                <w:color w:val="auto"/>
              </w:rPr>
            </w:pPr>
            <w:r>
              <w:rPr>
                <w:rFonts w:ascii="Arial" w:cs="Arial" w:eastAsia="Arial" w:hAnsi="Arial"/>
                <w:sz w:val="14"/>
                <w:szCs w:val="14"/>
                <w:b w:val="1"/>
                <w:bCs w:val="1"/>
                <w:color w:val="auto"/>
              </w:rPr>
              <w:t>Total</w:t>
            </w: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20" w:type="dxa"/>
            <w:vAlign w:val="bottom"/>
          </w:tcPr>
          <w:p>
            <w:pPr>
              <w:spacing w:after="0"/>
              <w:rPr>
                <w:sz w:val="11"/>
                <w:szCs w:val="11"/>
                <w:color w:val="auto"/>
              </w:rPr>
            </w:pPr>
          </w:p>
        </w:tc>
        <w:tc>
          <w:tcPr>
            <w:tcW w:w="542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38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5"/>
              </w:rPr>
              <w:t>Weighted</w:t>
            </w:r>
          </w:p>
        </w:tc>
        <w:tc>
          <w:tcPr>
            <w:tcW w:w="38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26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5"/>
              </w:rPr>
              <w:t>Weighted</w:t>
            </w:r>
          </w:p>
        </w:tc>
        <w:tc>
          <w:tcPr>
            <w:tcW w:w="42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60" w:type="dxa"/>
            <w:vAlign w:val="bottom"/>
            <w:tcBorders>
              <w:top w:val="single" w:sz="8" w:color="auto"/>
            </w:tcBorders>
          </w:tcPr>
          <w:p>
            <w:pPr>
              <w:spacing w:after="0"/>
              <w:rPr>
                <w:sz w:val="11"/>
                <w:szCs w:val="11"/>
                <w:color w:val="auto"/>
              </w:rPr>
            </w:pPr>
          </w:p>
        </w:tc>
        <w:tc>
          <w:tcPr>
            <w:tcW w:w="32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5"/>
              </w:rPr>
              <w:t>Weighted</w:t>
            </w:r>
          </w:p>
        </w:tc>
        <w:tc>
          <w:tcPr>
            <w:tcW w:w="100" w:type="dxa"/>
            <w:vAlign w:val="bottom"/>
          </w:tcPr>
          <w:p>
            <w:pPr>
              <w:spacing w:after="0"/>
              <w:rPr>
                <w:sz w:val="11"/>
                <w:szCs w:val="11"/>
                <w:color w:val="auto"/>
              </w:rPr>
            </w:pPr>
          </w:p>
        </w:tc>
      </w:tr>
      <w:tr>
        <w:trPr>
          <w:trHeight w:val="149"/>
        </w:trPr>
        <w:tc>
          <w:tcPr>
            <w:tcW w:w="20" w:type="dxa"/>
            <w:vAlign w:val="bottom"/>
          </w:tcPr>
          <w:p>
            <w:pPr>
              <w:spacing w:after="0"/>
              <w:rPr>
                <w:sz w:val="12"/>
                <w:szCs w:val="12"/>
                <w:color w:val="auto"/>
              </w:rPr>
            </w:pPr>
          </w:p>
        </w:tc>
        <w:tc>
          <w:tcPr>
            <w:tcW w:w="54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040" w:type="dxa"/>
            <w:vAlign w:val="bottom"/>
            <w:gridSpan w:val="3"/>
          </w:tcPr>
          <w:p>
            <w:pPr>
              <w:jc w:val="center"/>
              <w:ind w:right="400"/>
              <w:spacing w:after="0" w:line="149" w:lineRule="exact"/>
              <w:rPr>
                <w:sz w:val="20"/>
                <w:szCs w:val="20"/>
                <w:color w:val="auto"/>
              </w:rPr>
            </w:pPr>
            <w:r>
              <w:rPr>
                <w:rFonts w:ascii="Arial" w:cs="Arial" w:eastAsia="Arial" w:hAnsi="Arial"/>
                <w:sz w:val="14"/>
                <w:szCs w:val="14"/>
                <w:b w:val="1"/>
                <w:bCs w:val="1"/>
                <w:color w:val="auto"/>
                <w:w w:val="86"/>
              </w:rPr>
              <w:t>Average</w:t>
            </w:r>
          </w:p>
        </w:tc>
        <w:tc>
          <w:tcPr>
            <w:tcW w:w="6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80" w:type="dxa"/>
            <w:vAlign w:val="bottom"/>
            <w:gridSpan w:val="3"/>
          </w:tcPr>
          <w:p>
            <w:pPr>
              <w:jc w:val="center"/>
              <w:ind w:right="460"/>
              <w:spacing w:after="0" w:line="149" w:lineRule="exact"/>
              <w:rPr>
                <w:sz w:val="20"/>
                <w:szCs w:val="20"/>
                <w:color w:val="auto"/>
              </w:rPr>
            </w:pPr>
            <w:r>
              <w:rPr>
                <w:rFonts w:ascii="Arial" w:cs="Arial" w:eastAsia="Arial" w:hAnsi="Arial"/>
                <w:sz w:val="14"/>
                <w:szCs w:val="14"/>
                <w:b w:val="1"/>
                <w:bCs w:val="1"/>
                <w:color w:val="auto"/>
                <w:w w:val="83"/>
              </w:rPr>
              <w:t>Average</w:t>
            </w:r>
          </w:p>
        </w:tc>
        <w:tc>
          <w:tcPr>
            <w:tcW w:w="6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760" w:type="dxa"/>
            <w:vAlign w:val="bottom"/>
            <w:gridSpan w:val="3"/>
          </w:tcPr>
          <w:p>
            <w:pPr>
              <w:jc w:val="center"/>
              <w:ind w:right="120"/>
              <w:spacing w:after="0" w:line="149" w:lineRule="exact"/>
              <w:rPr>
                <w:sz w:val="20"/>
                <w:szCs w:val="20"/>
                <w:color w:val="auto"/>
              </w:rPr>
            </w:pPr>
            <w:r>
              <w:rPr>
                <w:rFonts w:ascii="Arial" w:cs="Arial" w:eastAsia="Arial" w:hAnsi="Arial"/>
                <w:sz w:val="14"/>
                <w:szCs w:val="14"/>
                <w:b w:val="1"/>
                <w:bCs w:val="1"/>
                <w:color w:val="auto"/>
                <w:w w:val="86"/>
              </w:rPr>
              <w:t>Average</w:t>
            </w:r>
          </w:p>
        </w:tc>
      </w:tr>
      <w:tr>
        <w:trPr>
          <w:trHeight w:val="149"/>
        </w:trPr>
        <w:tc>
          <w:tcPr>
            <w:tcW w:w="20" w:type="dxa"/>
            <w:vAlign w:val="bottom"/>
          </w:tcPr>
          <w:p>
            <w:pPr>
              <w:spacing w:after="0"/>
              <w:rPr>
                <w:sz w:val="12"/>
                <w:szCs w:val="12"/>
                <w:color w:val="auto"/>
              </w:rPr>
            </w:pPr>
          </w:p>
        </w:tc>
        <w:tc>
          <w:tcPr>
            <w:tcW w:w="5420" w:type="dxa"/>
            <w:vAlign w:val="bottom"/>
          </w:tcPr>
          <w:p>
            <w:pPr>
              <w:spacing w:after="0"/>
              <w:rPr>
                <w:sz w:val="12"/>
                <w:szCs w:val="12"/>
                <w:color w:val="auto"/>
              </w:rPr>
            </w:pPr>
          </w:p>
        </w:tc>
        <w:tc>
          <w:tcPr>
            <w:tcW w:w="1020" w:type="dxa"/>
            <w:vAlign w:val="bottom"/>
            <w:gridSpan w:val="2"/>
          </w:tcPr>
          <w:p>
            <w:pPr>
              <w:jc w:val="right"/>
              <w:ind w:right="400"/>
              <w:spacing w:after="0" w:line="149" w:lineRule="exact"/>
              <w:rPr>
                <w:sz w:val="20"/>
                <w:szCs w:val="20"/>
                <w:color w:val="auto"/>
              </w:rPr>
            </w:pPr>
            <w:r>
              <w:rPr>
                <w:rFonts w:ascii="Arial" w:cs="Arial" w:eastAsia="Arial" w:hAnsi="Arial"/>
                <w:sz w:val="14"/>
                <w:szCs w:val="14"/>
                <w:b w:val="1"/>
                <w:bCs w:val="1"/>
                <w:color w:val="auto"/>
                <w:w w:val="85"/>
              </w:rPr>
              <w:t>Number of</w:t>
            </w:r>
          </w:p>
        </w:tc>
        <w:tc>
          <w:tcPr>
            <w:tcW w:w="10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Grant Date</w:t>
            </w:r>
          </w:p>
        </w:tc>
        <w:tc>
          <w:tcPr>
            <w:tcW w:w="900" w:type="dxa"/>
            <w:vAlign w:val="bottom"/>
            <w:gridSpan w:val="2"/>
          </w:tcPr>
          <w:p>
            <w:pPr>
              <w:jc w:val="right"/>
              <w:ind w:right="260"/>
              <w:spacing w:after="0" w:line="149" w:lineRule="exact"/>
              <w:rPr>
                <w:sz w:val="20"/>
                <w:szCs w:val="20"/>
                <w:color w:val="auto"/>
              </w:rPr>
            </w:pPr>
            <w:r>
              <w:rPr>
                <w:rFonts w:ascii="Arial" w:cs="Arial" w:eastAsia="Arial" w:hAnsi="Arial"/>
                <w:sz w:val="14"/>
                <w:szCs w:val="14"/>
                <w:b w:val="1"/>
                <w:bCs w:val="1"/>
                <w:color w:val="auto"/>
                <w:w w:val="88"/>
              </w:rPr>
              <w:t>Number of</w:t>
            </w:r>
          </w:p>
        </w:tc>
        <w:tc>
          <w:tcPr>
            <w:tcW w:w="160" w:type="dxa"/>
            <w:vAlign w:val="bottom"/>
          </w:tcPr>
          <w:p>
            <w:pPr>
              <w:spacing w:after="0"/>
              <w:rPr>
                <w:sz w:val="12"/>
                <w:szCs w:val="12"/>
                <w:color w:val="auto"/>
              </w:rPr>
            </w:pPr>
          </w:p>
        </w:tc>
        <w:tc>
          <w:tcPr>
            <w:tcW w:w="10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Grant Date</w:t>
            </w:r>
          </w:p>
        </w:tc>
        <w:tc>
          <w:tcPr>
            <w:tcW w:w="700" w:type="dxa"/>
            <w:vAlign w:val="bottom"/>
            <w:gridSpan w:val="2"/>
          </w:tcPr>
          <w:p>
            <w:pPr>
              <w:jc w:val="right"/>
              <w:ind w:right="80"/>
              <w:spacing w:after="0" w:line="149" w:lineRule="exact"/>
              <w:rPr>
                <w:sz w:val="20"/>
                <w:szCs w:val="20"/>
                <w:color w:val="auto"/>
              </w:rPr>
            </w:pPr>
            <w:r>
              <w:rPr>
                <w:rFonts w:ascii="Arial" w:cs="Arial" w:eastAsia="Arial" w:hAnsi="Arial"/>
                <w:sz w:val="14"/>
                <w:szCs w:val="14"/>
                <w:b w:val="1"/>
                <w:bCs w:val="1"/>
                <w:color w:val="auto"/>
                <w:w w:val="85"/>
              </w:rPr>
              <w:t>Number of</w:t>
            </w:r>
          </w:p>
        </w:tc>
        <w:tc>
          <w:tcPr>
            <w:tcW w:w="320" w:type="dxa"/>
            <w:vAlign w:val="bottom"/>
          </w:tcPr>
          <w:p>
            <w:pPr>
              <w:spacing w:after="0"/>
              <w:rPr>
                <w:sz w:val="12"/>
                <w:szCs w:val="12"/>
                <w:color w:val="auto"/>
              </w:rPr>
            </w:pPr>
          </w:p>
        </w:tc>
        <w:tc>
          <w:tcPr>
            <w:tcW w:w="76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Grant Date</w:t>
            </w:r>
          </w:p>
        </w:tc>
      </w:tr>
      <w:tr>
        <w:trPr>
          <w:trHeight w:val="161"/>
        </w:trPr>
        <w:tc>
          <w:tcPr>
            <w:tcW w:w="20" w:type="dxa"/>
            <w:vAlign w:val="bottom"/>
          </w:tcPr>
          <w:p>
            <w:pPr>
              <w:spacing w:after="0"/>
              <w:rPr>
                <w:sz w:val="14"/>
                <w:szCs w:val="14"/>
                <w:color w:val="auto"/>
              </w:rPr>
            </w:pPr>
          </w:p>
        </w:tc>
        <w:tc>
          <w:tcPr>
            <w:tcW w:w="5420" w:type="dxa"/>
            <w:vAlign w:val="bottom"/>
          </w:tcPr>
          <w:p>
            <w:pPr>
              <w:spacing w:after="0"/>
              <w:rPr>
                <w:sz w:val="14"/>
                <w:szCs w:val="14"/>
                <w:color w:val="auto"/>
              </w:rPr>
            </w:pPr>
          </w:p>
        </w:tc>
        <w:tc>
          <w:tcPr>
            <w:tcW w:w="102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Shares</w:t>
            </w:r>
          </w:p>
        </w:tc>
        <w:tc>
          <w:tcPr>
            <w:tcW w:w="1040" w:type="dxa"/>
            <w:vAlign w:val="bottom"/>
            <w:gridSpan w:val="3"/>
          </w:tcPr>
          <w:p>
            <w:pPr>
              <w:jc w:val="center"/>
              <w:ind w:right="360"/>
              <w:spacing w:after="0"/>
              <w:rPr>
                <w:sz w:val="20"/>
                <w:szCs w:val="20"/>
                <w:color w:val="auto"/>
              </w:rPr>
            </w:pPr>
            <w:r>
              <w:rPr>
                <w:rFonts w:ascii="Arial" w:cs="Arial" w:eastAsia="Arial" w:hAnsi="Arial"/>
                <w:sz w:val="14"/>
                <w:szCs w:val="14"/>
                <w:b w:val="1"/>
                <w:bCs w:val="1"/>
                <w:color w:val="auto"/>
                <w:w w:val="89"/>
              </w:rPr>
              <w:t>Fair Value</w:t>
            </w:r>
          </w:p>
        </w:tc>
        <w:tc>
          <w:tcPr>
            <w:tcW w:w="90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rPr>
              <w:t>Shares</w:t>
            </w:r>
          </w:p>
        </w:tc>
        <w:tc>
          <w:tcPr>
            <w:tcW w:w="160" w:type="dxa"/>
            <w:vAlign w:val="bottom"/>
          </w:tcPr>
          <w:p>
            <w:pPr>
              <w:spacing w:after="0"/>
              <w:rPr>
                <w:sz w:val="14"/>
                <w:szCs w:val="14"/>
                <w:color w:val="auto"/>
              </w:rPr>
            </w:pPr>
          </w:p>
        </w:tc>
        <w:tc>
          <w:tcPr>
            <w:tcW w:w="1080" w:type="dxa"/>
            <w:vAlign w:val="bottom"/>
            <w:gridSpan w:val="3"/>
          </w:tcPr>
          <w:p>
            <w:pPr>
              <w:jc w:val="center"/>
              <w:ind w:right="420"/>
              <w:spacing w:after="0"/>
              <w:rPr>
                <w:sz w:val="20"/>
                <w:szCs w:val="20"/>
                <w:color w:val="auto"/>
              </w:rPr>
            </w:pPr>
            <w:r>
              <w:rPr>
                <w:rFonts w:ascii="Arial" w:cs="Arial" w:eastAsia="Arial" w:hAnsi="Arial"/>
                <w:sz w:val="14"/>
                <w:szCs w:val="14"/>
                <w:b w:val="1"/>
                <w:bCs w:val="1"/>
                <w:color w:val="auto"/>
                <w:w w:val="92"/>
              </w:rPr>
              <w:t>Fair Value</w:t>
            </w:r>
          </w:p>
        </w:tc>
        <w:tc>
          <w:tcPr>
            <w:tcW w:w="70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rPr>
              <w:t>Shares</w:t>
            </w:r>
          </w:p>
        </w:tc>
        <w:tc>
          <w:tcPr>
            <w:tcW w:w="320" w:type="dxa"/>
            <w:vAlign w:val="bottom"/>
          </w:tcPr>
          <w:p>
            <w:pPr>
              <w:spacing w:after="0"/>
              <w:rPr>
                <w:sz w:val="14"/>
                <w:szCs w:val="14"/>
                <w:color w:val="auto"/>
              </w:rPr>
            </w:pPr>
          </w:p>
        </w:tc>
        <w:tc>
          <w:tcPr>
            <w:tcW w:w="760" w:type="dxa"/>
            <w:vAlign w:val="bottom"/>
            <w:gridSpan w:val="3"/>
          </w:tcPr>
          <w:p>
            <w:pPr>
              <w:jc w:val="center"/>
              <w:ind w:right="80"/>
              <w:spacing w:after="0"/>
              <w:rPr>
                <w:sz w:val="20"/>
                <w:szCs w:val="20"/>
                <w:color w:val="auto"/>
              </w:rPr>
            </w:pPr>
            <w:r>
              <w:rPr>
                <w:rFonts w:ascii="Arial" w:cs="Arial" w:eastAsia="Arial" w:hAnsi="Arial"/>
                <w:sz w:val="14"/>
                <w:szCs w:val="14"/>
                <w:b w:val="1"/>
                <w:bCs w:val="1"/>
                <w:color w:val="auto"/>
                <w:w w:val="89"/>
              </w:rPr>
              <w:t>Fair Value</w:t>
            </w:r>
          </w:p>
        </w:tc>
      </w:tr>
      <w:tr>
        <w:trPr>
          <w:trHeight w:val="210"/>
        </w:trPr>
        <w:tc>
          <w:tcPr>
            <w:tcW w:w="20" w:type="dxa"/>
            <w:vAlign w:val="bottom"/>
          </w:tcPr>
          <w:p>
            <w:pPr>
              <w:spacing w:after="0"/>
              <w:rPr>
                <w:sz w:val="18"/>
                <w:szCs w:val="18"/>
                <w:color w:val="auto"/>
              </w:rPr>
            </w:pPr>
          </w:p>
        </w:tc>
        <w:tc>
          <w:tcPr>
            <w:tcW w:w="542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February 1, 2014</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11,254</w:t>
            </w:r>
          </w:p>
        </w:tc>
        <w:tc>
          <w:tcPr>
            <w:tcW w:w="38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4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14.11</w:t>
            </w:r>
          </w:p>
        </w:tc>
        <w:tc>
          <w:tcPr>
            <w:tcW w:w="38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100</w:t>
            </w:r>
          </w:p>
        </w:tc>
        <w:tc>
          <w:tcPr>
            <w:tcW w:w="26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480" w:type="dxa"/>
            <w:vAlign w:val="bottom"/>
            <w:tcBorders>
              <w:top w:val="single" w:sz="8" w:color="auto"/>
            </w:tcBorders>
            <w:shd w:val="clear" w:color="auto" w:fill="CCEEFF"/>
          </w:tcPr>
          <w:p>
            <w:pPr>
              <w:ind w:left="80"/>
              <w:spacing w:after="0"/>
              <w:rPr>
                <w:sz w:val="20"/>
                <w:szCs w:val="20"/>
                <w:color w:val="auto"/>
              </w:rPr>
            </w:pPr>
            <w:r>
              <w:rPr>
                <w:rFonts w:ascii="Arial" w:cs="Arial" w:eastAsia="Arial" w:hAnsi="Arial"/>
                <w:sz w:val="18"/>
                <w:szCs w:val="18"/>
                <w:color w:val="auto"/>
                <w:w w:val="84"/>
              </w:rPr>
              <w:t>10.52</w:t>
            </w:r>
          </w:p>
        </w:tc>
        <w:tc>
          <w:tcPr>
            <w:tcW w:w="42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11,354</w:t>
            </w:r>
          </w:p>
        </w:tc>
        <w:tc>
          <w:tcPr>
            <w:tcW w:w="6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4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14.08</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20" w:type="dxa"/>
            <w:vAlign w:val="bottom"/>
          </w:tcPr>
          <w:p>
            <w:pPr>
              <w:ind w:left="420"/>
              <w:spacing w:after="0"/>
              <w:rPr>
                <w:sz w:val="20"/>
                <w:szCs w:val="20"/>
                <w:color w:val="auto"/>
              </w:rPr>
            </w:pPr>
            <w:r>
              <w:rPr>
                <w:rFonts w:ascii="Arial" w:cs="Arial" w:eastAsia="Arial" w:hAnsi="Arial"/>
                <w:sz w:val="18"/>
                <w:szCs w:val="18"/>
                <w:color w:val="auto"/>
              </w:rPr>
              <w:t>Granted</w:t>
            </w:r>
          </w:p>
        </w:tc>
        <w:tc>
          <w:tcPr>
            <w:tcW w:w="640" w:type="dxa"/>
            <w:vAlign w:val="bottom"/>
          </w:tcPr>
          <w:p>
            <w:pPr>
              <w:jc w:val="right"/>
              <w:spacing w:after="0"/>
              <w:rPr>
                <w:sz w:val="20"/>
                <w:szCs w:val="20"/>
                <w:color w:val="auto"/>
              </w:rPr>
            </w:pPr>
            <w:r>
              <w:rPr>
                <w:rFonts w:ascii="Arial" w:cs="Arial" w:eastAsia="Arial" w:hAnsi="Arial"/>
                <w:sz w:val="18"/>
                <w:szCs w:val="18"/>
                <w:color w:val="auto"/>
              </w:rPr>
              <w:t>4,588</w:t>
            </w:r>
          </w:p>
        </w:tc>
        <w:tc>
          <w:tcPr>
            <w:tcW w:w="380" w:type="dxa"/>
            <w:vAlign w:val="bottom"/>
          </w:tcPr>
          <w:p>
            <w:pPr>
              <w:spacing w:after="0"/>
              <w:rPr>
                <w:sz w:val="18"/>
                <w:szCs w:val="18"/>
                <w:color w:val="auto"/>
              </w:rPr>
            </w:pPr>
          </w:p>
        </w:tc>
        <w:tc>
          <w:tcPr>
            <w:tcW w:w="220" w:type="dxa"/>
            <w:vAlign w:val="bottom"/>
          </w:tcPr>
          <w:p>
            <w:pPr>
              <w:spacing w:after="0"/>
              <w:rPr>
                <w:sz w:val="20"/>
                <w:szCs w:val="20"/>
                <w:color w:val="auto"/>
              </w:rPr>
            </w:pPr>
            <w:r>
              <w:rPr>
                <w:rFonts w:ascii="Arial" w:cs="Arial" w:eastAsia="Arial" w:hAnsi="Arial"/>
                <w:sz w:val="18"/>
                <w:szCs w:val="18"/>
                <w:color w:val="auto"/>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15.44</w:t>
            </w:r>
          </w:p>
        </w:tc>
        <w:tc>
          <w:tcPr>
            <w:tcW w:w="38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757*</w:t>
            </w:r>
          </w:p>
        </w:tc>
        <w:tc>
          <w:tcPr>
            <w:tcW w:w="340" w:type="dxa"/>
            <w:vAlign w:val="bottom"/>
            <w:gridSpan w:val="2"/>
          </w:tcPr>
          <w:p>
            <w:pPr>
              <w:ind w:left="160"/>
              <w:spacing w:after="0"/>
              <w:rPr>
                <w:sz w:val="20"/>
                <w:szCs w:val="20"/>
                <w:color w:val="auto"/>
              </w:rPr>
            </w:pPr>
            <w:r>
              <w:rPr>
                <w:rFonts w:ascii="Arial" w:cs="Arial" w:eastAsia="Arial" w:hAnsi="Arial"/>
                <w:sz w:val="18"/>
                <w:szCs w:val="18"/>
                <w:color w:val="auto"/>
              </w:rPr>
              <w:t>$</w:t>
            </w:r>
          </w:p>
        </w:tc>
        <w:tc>
          <w:tcPr>
            <w:tcW w:w="900" w:type="dxa"/>
            <w:vAlign w:val="bottom"/>
            <w:gridSpan w:val="2"/>
          </w:tcPr>
          <w:p>
            <w:pPr>
              <w:ind w:left="80"/>
              <w:spacing w:after="0"/>
              <w:rPr>
                <w:sz w:val="20"/>
                <w:szCs w:val="20"/>
                <w:color w:val="auto"/>
              </w:rPr>
            </w:pPr>
            <w:r>
              <w:rPr>
                <w:rFonts w:ascii="Arial" w:cs="Arial" w:eastAsia="Arial" w:hAnsi="Arial"/>
                <w:sz w:val="18"/>
                <w:szCs w:val="18"/>
                <w:color w:val="auto"/>
              </w:rPr>
              <w:t>15.51*</w:t>
            </w:r>
          </w:p>
        </w:tc>
        <w:tc>
          <w:tcPr>
            <w:tcW w:w="640" w:type="dxa"/>
            <w:vAlign w:val="bottom"/>
          </w:tcPr>
          <w:p>
            <w:pPr>
              <w:jc w:val="right"/>
              <w:spacing w:after="0"/>
              <w:rPr>
                <w:sz w:val="20"/>
                <w:szCs w:val="20"/>
                <w:color w:val="auto"/>
              </w:rPr>
            </w:pPr>
            <w:r>
              <w:rPr>
                <w:rFonts w:ascii="Arial" w:cs="Arial" w:eastAsia="Arial" w:hAnsi="Arial"/>
                <w:sz w:val="18"/>
                <w:szCs w:val="18"/>
                <w:color w:val="auto"/>
              </w:rPr>
              <w:t>5,345</w:t>
            </w:r>
          </w:p>
        </w:tc>
        <w:tc>
          <w:tcPr>
            <w:tcW w:w="60" w:type="dxa"/>
            <w:vAlign w:val="bottom"/>
          </w:tcPr>
          <w:p>
            <w:pPr>
              <w:spacing w:after="0"/>
              <w:rPr>
                <w:sz w:val="18"/>
                <w:szCs w:val="18"/>
                <w:color w:val="auto"/>
              </w:rPr>
            </w:pPr>
          </w:p>
        </w:tc>
        <w:tc>
          <w:tcPr>
            <w:tcW w:w="50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15.45</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54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10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(5,172)</w:t>
            </w:r>
          </w:p>
        </w:tc>
        <w:tc>
          <w:tcPr>
            <w:tcW w:w="2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14.06</w:t>
            </w:r>
          </w:p>
        </w:tc>
        <w:tc>
          <w:tcPr>
            <w:tcW w:w="3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w:t>
            </w:r>
          </w:p>
        </w:tc>
        <w:tc>
          <w:tcPr>
            <w:tcW w:w="34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ind w:left="80"/>
              <w:spacing w:after="0"/>
              <w:rPr>
                <w:sz w:val="20"/>
                <w:szCs w:val="20"/>
                <w:color w:val="auto"/>
              </w:rPr>
            </w:pPr>
            <w:r>
              <w:rPr>
                <w:rFonts w:ascii="Arial" w:cs="Arial" w:eastAsia="Arial" w:hAnsi="Arial"/>
                <w:sz w:val="18"/>
                <w:szCs w:val="18"/>
                <w:color w:val="auto"/>
                <w:w w:val="84"/>
              </w:rPr>
              <w:t>10.52</w:t>
            </w:r>
          </w:p>
        </w:tc>
        <w:tc>
          <w:tcPr>
            <w:tcW w:w="42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(5,175)</w:t>
            </w:r>
          </w:p>
        </w:tc>
        <w:tc>
          <w:tcPr>
            <w:tcW w:w="50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14.06</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542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020" w:type="dxa"/>
            <w:vAlign w:val="bottom"/>
            <w:gridSpan w:val="2"/>
          </w:tcPr>
          <w:p>
            <w:pPr>
              <w:jc w:val="right"/>
              <w:ind w:right="320"/>
              <w:spacing w:after="0"/>
              <w:rPr>
                <w:sz w:val="20"/>
                <w:szCs w:val="20"/>
                <w:color w:val="auto"/>
              </w:rPr>
            </w:pPr>
            <w:r>
              <w:rPr>
                <w:rFonts w:ascii="Arial" w:cs="Arial" w:eastAsia="Arial" w:hAnsi="Arial"/>
                <w:sz w:val="18"/>
                <w:szCs w:val="18"/>
                <w:color w:val="auto"/>
              </w:rPr>
              <w:t>(272)</w:t>
            </w:r>
          </w:p>
        </w:tc>
        <w:tc>
          <w:tcPr>
            <w:tcW w:w="220" w:type="dxa"/>
            <w:vAlign w:val="bottom"/>
          </w:tcPr>
          <w:p>
            <w:pPr>
              <w:spacing w:after="0"/>
              <w:rPr>
                <w:sz w:val="20"/>
                <w:szCs w:val="20"/>
                <w:color w:val="auto"/>
              </w:rPr>
            </w:pPr>
            <w:r>
              <w:rPr>
                <w:rFonts w:ascii="Arial" w:cs="Arial" w:eastAsia="Arial" w:hAnsi="Arial"/>
                <w:sz w:val="18"/>
                <w:szCs w:val="18"/>
                <w:color w:val="auto"/>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13.74</w:t>
            </w:r>
          </w:p>
        </w:tc>
        <w:tc>
          <w:tcPr>
            <w:tcW w:w="380" w:type="dxa"/>
            <w:vAlign w:val="bottom"/>
          </w:tcPr>
          <w:p>
            <w:pPr>
              <w:spacing w:after="0"/>
              <w:rPr>
                <w:sz w:val="19"/>
                <w:szCs w:val="19"/>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(97)</w:t>
            </w:r>
          </w:p>
        </w:tc>
        <w:tc>
          <w:tcPr>
            <w:tcW w:w="340" w:type="dxa"/>
            <w:vAlign w:val="bottom"/>
            <w:gridSpan w:val="2"/>
          </w:tcPr>
          <w:p>
            <w:pPr>
              <w:ind w:left="160"/>
              <w:spacing w:after="0"/>
              <w:rPr>
                <w:sz w:val="20"/>
                <w:szCs w:val="20"/>
                <w:color w:val="auto"/>
              </w:rPr>
            </w:pPr>
            <w:r>
              <w:rPr>
                <w:rFonts w:ascii="Arial" w:cs="Arial" w:eastAsia="Arial" w:hAnsi="Arial"/>
                <w:sz w:val="18"/>
                <w:szCs w:val="18"/>
                <w:color w:val="auto"/>
              </w:rPr>
              <w:t>$</w:t>
            </w:r>
          </w:p>
        </w:tc>
        <w:tc>
          <w:tcPr>
            <w:tcW w:w="480" w:type="dxa"/>
            <w:vAlign w:val="bottom"/>
          </w:tcPr>
          <w:p>
            <w:pPr>
              <w:ind w:left="80"/>
              <w:spacing w:after="0"/>
              <w:rPr>
                <w:sz w:val="20"/>
                <w:szCs w:val="20"/>
                <w:color w:val="auto"/>
              </w:rPr>
            </w:pPr>
            <w:r>
              <w:rPr>
                <w:rFonts w:ascii="Arial" w:cs="Arial" w:eastAsia="Arial" w:hAnsi="Arial"/>
                <w:sz w:val="18"/>
                <w:szCs w:val="18"/>
                <w:color w:val="auto"/>
                <w:w w:val="84"/>
              </w:rPr>
              <w:t>10.52</w:t>
            </w:r>
          </w:p>
        </w:tc>
        <w:tc>
          <w:tcPr>
            <w:tcW w:w="420" w:type="dxa"/>
            <w:vAlign w:val="bottom"/>
          </w:tcPr>
          <w:p>
            <w:pPr>
              <w:spacing w:after="0"/>
              <w:rPr>
                <w:sz w:val="19"/>
                <w:szCs w:val="19"/>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(369)</w:t>
            </w:r>
          </w:p>
        </w:tc>
        <w:tc>
          <w:tcPr>
            <w:tcW w:w="50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12.90</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5420" w:type="dxa"/>
            <w:vAlign w:val="bottom"/>
            <w:shd w:val="clear" w:color="auto" w:fill="CCEEFF"/>
          </w:tcPr>
          <w:p>
            <w:pPr>
              <w:spacing w:after="0"/>
              <w:rPr>
                <w:sz w:val="20"/>
                <w:szCs w:val="20"/>
                <w:color w:val="auto"/>
              </w:rPr>
            </w:pPr>
            <w:r>
              <w:rPr>
                <w:rFonts w:ascii="Arial" w:cs="Arial" w:eastAsia="Arial" w:hAnsi="Arial"/>
                <w:sz w:val="18"/>
                <w:szCs w:val="18"/>
                <w:color w:val="auto"/>
              </w:rPr>
              <w:t>Balance at May 3, 2014</w:t>
            </w: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10,398</w:t>
            </w:r>
          </w:p>
        </w:tc>
        <w:tc>
          <w:tcPr>
            <w:tcW w:w="3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14.77</w:t>
            </w:r>
          </w:p>
        </w:tc>
        <w:tc>
          <w:tcPr>
            <w:tcW w:w="380" w:type="dxa"/>
            <w:vAlign w:val="bottom"/>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757</w:t>
            </w:r>
          </w:p>
        </w:tc>
        <w:tc>
          <w:tcPr>
            <w:tcW w:w="260" w:type="dxa"/>
            <w:vAlign w:val="bottom"/>
            <w:shd w:val="clear" w:color="auto" w:fill="CCEEFF"/>
          </w:tcPr>
          <w:p>
            <w:pPr>
              <w:spacing w:after="0"/>
              <w:rPr>
                <w:sz w:val="18"/>
                <w:szCs w:val="18"/>
                <w:color w:val="auto"/>
              </w:rPr>
            </w:pPr>
          </w:p>
        </w:tc>
        <w:tc>
          <w:tcPr>
            <w:tcW w:w="34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ind w:left="80"/>
              <w:spacing w:after="0"/>
              <w:rPr>
                <w:sz w:val="20"/>
                <w:szCs w:val="20"/>
                <w:color w:val="auto"/>
              </w:rPr>
            </w:pPr>
            <w:r>
              <w:rPr>
                <w:rFonts w:ascii="Arial" w:cs="Arial" w:eastAsia="Arial" w:hAnsi="Arial"/>
                <w:sz w:val="18"/>
                <w:szCs w:val="18"/>
                <w:color w:val="auto"/>
                <w:w w:val="84"/>
              </w:rPr>
              <w:t>15.51</w:t>
            </w:r>
          </w:p>
        </w:tc>
        <w:tc>
          <w:tcPr>
            <w:tcW w:w="420" w:type="dxa"/>
            <w:vAlign w:val="bottom"/>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11,155</w:t>
            </w:r>
          </w:p>
        </w:tc>
        <w:tc>
          <w:tcPr>
            <w:tcW w:w="60" w:type="dxa"/>
            <w:vAlign w:val="bottom"/>
            <w:shd w:val="clear" w:color="auto" w:fill="CCEEFF"/>
          </w:tcPr>
          <w:p>
            <w:pPr>
              <w:spacing w:after="0"/>
              <w:rPr>
                <w:sz w:val="18"/>
                <w:szCs w:val="18"/>
                <w:color w:val="auto"/>
              </w:rPr>
            </w:pPr>
          </w:p>
        </w:tc>
        <w:tc>
          <w:tcPr>
            <w:tcW w:w="50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14.82</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542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08" w:lineRule="exact"/>
        <w:rPr>
          <w:sz w:val="20"/>
          <w:szCs w:val="20"/>
          <w:color w:val="auto"/>
        </w:rPr>
      </w:pPr>
    </w:p>
    <w:p>
      <w:pPr>
        <w:ind w:left="460" w:right="220" w:hanging="452"/>
        <w:spacing w:after="0" w:line="268" w:lineRule="auto"/>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Amounts represent the target number of restricted stock units. Up to 200% of the target restricted stock units may vest if the maximum level for financial and strategic goals is achieved.</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20"/>
          </w:cols>
          <w:pgMar w:left="240" w:top="45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The aggregate intrinsic value of restricted stock units expected to vest as of May 3, 2014 was $157.9 million. The number of restricted stock units that are expected to vest is 10.0 million shares.</w:t>
      </w:r>
    </w:p>
    <w:p>
      <w:pPr>
        <w:spacing w:after="0" w:line="132" w:lineRule="exact"/>
        <w:rPr>
          <w:sz w:val="20"/>
          <w:szCs w:val="20"/>
          <w:color w:val="auto"/>
        </w:rPr>
      </w:pPr>
    </w:p>
    <w:p>
      <w:pPr>
        <w:ind w:right="260" w:firstLine="456"/>
        <w:spacing w:after="0" w:line="332" w:lineRule="auto"/>
        <w:rPr>
          <w:sz w:val="20"/>
          <w:szCs w:val="20"/>
          <w:color w:val="auto"/>
        </w:rPr>
      </w:pPr>
      <w:r>
        <w:rPr>
          <w:rFonts w:ascii="Arial" w:cs="Arial" w:eastAsia="Arial" w:hAnsi="Arial"/>
          <w:sz w:val="16"/>
          <w:szCs w:val="16"/>
          <w:color w:val="auto"/>
        </w:rPr>
        <w:t>As of May 3, 2014, unamortized compensation expense related to restricted stock units was $140.7 million. The unamortized compensation expense for restricted stock units will be amortized on a straight-line basis and is expected to be recognized over a weighted average period of 2.1 years.</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Executive Performance Awards</w:t>
      </w:r>
    </w:p>
    <w:p>
      <w:pPr>
        <w:spacing w:after="0" w:line="90"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In April 2014, the Company granted performance-based equity awards to each of our executive officers which are based on their achievement of certain performance goals in fiscal 2015 and 2016. These equity awards include restricted stock units which vest based on financial performance criteria (“Financial Performance RSU”) and restricted stock units which vest based on both financial performance criteria and individual strategic goals (“Strategic Performance Award”). The Financial Performance RSUs will be earned based on the achievement of revenue and modified non-GAAP operating income that have been established at “threshold,” “target” and “maximum” levels, and are subject to the downward discretion of the Executive Compensation Committee of the Board of Directors. Each Financial Performance RSU will vest 50% on the first anniversary of the commencement date based on achievement of fiscal 2015 financial performance criteria and 50% on the second anniversary of the vesting commencement date based on the achievement of fiscal 2016 financial performance criteria. The Strategic Performance Awards will vest based on achievement at the threshold level of either the revenue or modified non-GAAP operating income objective established for the Financial Performance RSU, in addition to the achievement of additional individual strategic goals. Each Strategic Performance Award will vest 50% on the first anniversary of the commencement date based on achievement of fiscal 2015 individual strategic goals and 50% on second anniversary date based on the achievement of the fiscal 2016 individual strategic goals.</w:t>
      </w:r>
    </w:p>
    <w:p>
      <w:pPr>
        <w:spacing w:after="0" w:line="20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90" w:lineRule="exact"/>
        <w:rPr>
          <w:sz w:val="20"/>
          <w:szCs w:val="20"/>
          <w:color w:val="auto"/>
        </w:rPr>
      </w:pPr>
    </w:p>
    <w:p>
      <w:pPr>
        <w:ind w:right="140" w:firstLine="456"/>
        <w:spacing w:after="0" w:line="332" w:lineRule="auto"/>
        <w:rPr>
          <w:sz w:val="20"/>
          <w:szCs w:val="20"/>
          <w:color w:val="auto"/>
        </w:rPr>
      </w:pPr>
      <w:r>
        <w:rPr>
          <w:rFonts w:ascii="Arial" w:cs="Arial" w:eastAsia="Arial" w:hAnsi="Arial"/>
          <w:sz w:val="16"/>
          <w:szCs w:val="16"/>
          <w:color w:val="auto"/>
        </w:rPr>
        <w:t>During the three months ended May 3, 2014 and May 4, 2013, the Company issued no shares under the 2000 Employee Stock Purchase Plan, as amended and restated (the “ESPP”). As of May 3, 2014, there was $14.4 million of unrecognized compensation cost related to the ESPP.</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Share Repurchase Program</w:t>
      </w:r>
    </w:p>
    <w:p>
      <w:pPr>
        <w:spacing w:after="0" w:line="90"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The Company had no repurchases of its common shares during the three months ended May 3, 2014. During the three months ended May 4, 2013, the Company repurchased 19.9 million of its common shares for $200.2 million in cash. The repurchased shares were retired immediately after the repurchases were completed. The Company records all repurchases, as well as investment purchases and sales, based on trade date. As of May 3, 2014, a total of 216.9 million cumulative shares have been repurchased under the Company’s share repurchase program for a total $2.7 billion in cash and there was $258.4 million remaining available for future share repurchases.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Dividends</w:t>
      </w:r>
    </w:p>
    <w:p>
      <w:pPr>
        <w:spacing w:after="0" w:line="90"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Cash dividends of $0.06 per share were paid for a total of $30.2 million in the three months ended May 3, 2014. Cash dividends of $0.06 per share were paid for a total of $30.3 million in the three months ended May 4, 2013.</w:t>
      </w:r>
    </w:p>
    <w:p>
      <w:pPr>
        <w:spacing w:after="0" w:line="132"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On May 22, 2014, the Company announced that its board of directors declared a cash dividend of $0.06 per share to be paid on July 2, 2014 to shareholders of record as of June 12, 2014.</w:t>
      </w:r>
    </w:p>
    <w:p>
      <w:pPr>
        <w:spacing w:after="0" w:line="132"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Future payment of a regular quarterly cash dividend on the Company’s common shares will be subject to, among other things, the best interests of the Company, the Company’s results of operations, cash balances and future cash requirements, financial condition, statutory requirements under Bermuda law and other factors that the Company’s board of directors may deem relevant. The Company’s dividend payments may change from time to time, and the Company cannot provide assurance that it will continue to declare dividends at all or in any particular amounts. In addition, developments in ongoing litigation could affect the Company’s ability to make a dividend payment on a declared payment date until such time as the Company can meet statutory requirements under Bermuda law.</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00"/>
          </w:cols>
          <w:pgMar w:left="240" w:top="459" w:right="2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Share-Based Compensation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share-based compensation expenses by functional line item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444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00" w:type="dxa"/>
            <w:vAlign w:val="bottom"/>
            <w:gridSpan w:val="5"/>
          </w:tcPr>
          <w:p>
            <w:pPr>
              <w:ind w:left="80"/>
              <w:spacing w:after="0"/>
              <w:rPr>
                <w:sz w:val="20"/>
                <w:szCs w:val="20"/>
                <w:color w:val="auto"/>
              </w:rPr>
            </w:pPr>
            <w:r>
              <w:rPr>
                <w:rFonts w:ascii="Arial" w:cs="Arial" w:eastAsia="Arial" w:hAnsi="Arial"/>
                <w:sz w:val="14"/>
                <w:szCs w:val="14"/>
                <w:b w:val="1"/>
                <w:bCs w:val="1"/>
                <w:color w:val="auto"/>
              </w:rPr>
              <w:t>Three Months Ended</w:t>
            </w:r>
          </w:p>
        </w:tc>
      </w:tr>
      <w:tr>
        <w:trPr>
          <w:trHeight w:val="129"/>
        </w:trPr>
        <w:tc>
          <w:tcPr>
            <w:tcW w:w="4440" w:type="dxa"/>
            <w:vAlign w:val="bottom"/>
          </w:tcPr>
          <w:p>
            <w:pPr>
              <w:spacing w:after="0"/>
              <w:rPr>
                <w:sz w:val="11"/>
                <w:szCs w:val="11"/>
                <w:color w:val="auto"/>
              </w:rPr>
            </w:pPr>
          </w:p>
        </w:tc>
        <w:tc>
          <w:tcPr>
            <w:tcW w:w="254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4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8"/>
              </w:rPr>
              <w:t>May 3,</w:t>
            </w:r>
          </w:p>
        </w:tc>
        <w:tc>
          <w:tcPr>
            <w:tcW w:w="44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jc w:val="right"/>
              <w:ind w:right="18"/>
              <w:spacing w:after="0" w:line="129" w:lineRule="exact"/>
              <w:rPr>
                <w:sz w:val="20"/>
                <w:szCs w:val="20"/>
                <w:color w:val="auto"/>
              </w:rPr>
            </w:pPr>
            <w:r>
              <w:rPr>
                <w:rFonts w:ascii="Arial" w:cs="Arial" w:eastAsia="Arial" w:hAnsi="Arial"/>
                <w:sz w:val="14"/>
                <w:szCs w:val="14"/>
                <w:b w:val="1"/>
                <w:bCs w:val="1"/>
                <w:color w:val="auto"/>
                <w:w w:val="88"/>
              </w:rPr>
              <w:t>May 4,</w:t>
            </w:r>
          </w:p>
        </w:tc>
        <w:tc>
          <w:tcPr>
            <w:tcW w:w="100" w:type="dxa"/>
            <w:vAlign w:val="bottom"/>
          </w:tcPr>
          <w:p>
            <w:pPr>
              <w:spacing w:after="0"/>
              <w:rPr>
                <w:sz w:val="11"/>
                <w:szCs w:val="11"/>
                <w:color w:val="auto"/>
              </w:rPr>
            </w:pPr>
          </w:p>
        </w:tc>
      </w:tr>
      <w:tr>
        <w:trPr>
          <w:trHeight w:val="161"/>
        </w:trPr>
        <w:tc>
          <w:tcPr>
            <w:tcW w:w="4440" w:type="dxa"/>
            <w:vAlign w:val="bottom"/>
            <w:tcBorders>
              <w:bottom w:val="single" w:sz="8" w:color="CCEEFF"/>
            </w:tcBorders>
          </w:tcPr>
          <w:p>
            <w:pPr>
              <w:spacing w:after="0"/>
              <w:rPr>
                <w:sz w:val="14"/>
                <w:szCs w:val="14"/>
                <w:color w:val="auto"/>
              </w:rPr>
            </w:pPr>
          </w:p>
        </w:tc>
        <w:tc>
          <w:tcPr>
            <w:tcW w:w="25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80"/>
              <w:spacing w:after="0"/>
              <w:rPr>
                <w:sz w:val="20"/>
                <w:szCs w:val="20"/>
                <w:color w:val="auto"/>
              </w:rPr>
            </w:pPr>
            <w:r>
              <w:rPr>
                <w:rFonts w:ascii="Arial" w:cs="Arial" w:eastAsia="Arial" w:hAnsi="Arial"/>
                <w:sz w:val="14"/>
                <w:szCs w:val="14"/>
                <w:b w:val="1"/>
                <w:bCs w:val="1"/>
                <w:color w:val="auto"/>
                <w:w w:val="96"/>
              </w:rPr>
              <w:t>2014</w:t>
            </w:r>
          </w:p>
        </w:tc>
        <w:tc>
          <w:tcPr>
            <w:tcW w:w="44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8"/>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r>
      <w:tr>
        <w:trPr>
          <w:trHeight w:val="210"/>
        </w:trPr>
        <w:tc>
          <w:tcPr>
            <w:tcW w:w="444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Cost of goods sold</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2,299</w:t>
            </w: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1,867</w:t>
            </w:r>
          </w:p>
        </w:tc>
        <w:tc>
          <w:tcPr>
            <w:tcW w:w="100" w:type="dxa"/>
            <w:vAlign w:val="bottom"/>
            <w:shd w:val="clear" w:color="auto" w:fill="CCEEFF"/>
          </w:tcPr>
          <w:p>
            <w:pPr>
              <w:spacing w:after="0"/>
              <w:rPr>
                <w:sz w:val="18"/>
                <w:szCs w:val="18"/>
                <w:color w:val="auto"/>
              </w:rPr>
            </w:pPr>
          </w:p>
        </w:tc>
      </w:tr>
      <w:tr>
        <w:trPr>
          <w:trHeight w:val="216"/>
        </w:trPr>
        <w:tc>
          <w:tcPr>
            <w:tcW w:w="444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2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20,368</w:t>
            </w: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23,279</w:t>
            </w:r>
          </w:p>
        </w:tc>
        <w:tc>
          <w:tcPr>
            <w:tcW w:w="100" w:type="dxa"/>
            <w:vAlign w:val="bottom"/>
          </w:tcPr>
          <w:p>
            <w:pPr>
              <w:spacing w:after="0"/>
              <w:rPr>
                <w:sz w:val="18"/>
                <w:szCs w:val="18"/>
                <w:color w:val="auto"/>
              </w:rPr>
            </w:pPr>
          </w:p>
        </w:tc>
      </w:tr>
      <w:tr>
        <w:trPr>
          <w:trHeight w:val="216"/>
        </w:trPr>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2,928</w:t>
            </w: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3,392</w:t>
            </w:r>
          </w:p>
        </w:tc>
        <w:tc>
          <w:tcPr>
            <w:tcW w:w="100" w:type="dxa"/>
            <w:vAlign w:val="bottom"/>
            <w:shd w:val="clear" w:color="auto" w:fill="CCEEFF"/>
          </w:tcPr>
          <w:p>
            <w:pPr>
              <w:spacing w:after="0"/>
              <w:rPr>
                <w:sz w:val="18"/>
                <w:szCs w:val="18"/>
                <w:color w:val="auto"/>
              </w:rPr>
            </w:pPr>
          </w:p>
        </w:tc>
      </w:tr>
      <w:tr>
        <w:trPr>
          <w:trHeight w:val="223"/>
        </w:trPr>
        <w:tc>
          <w:tcPr>
            <w:tcW w:w="444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25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4,374</w:t>
            </w:r>
          </w:p>
        </w:tc>
        <w:tc>
          <w:tcPr>
            <w:tcW w:w="4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4,975</w:t>
            </w:r>
          </w:p>
        </w:tc>
        <w:tc>
          <w:tcPr>
            <w:tcW w:w="100" w:type="dxa"/>
            <w:vAlign w:val="bottom"/>
          </w:tcPr>
          <w:p>
            <w:pPr>
              <w:spacing w:after="0"/>
              <w:rPr>
                <w:sz w:val="19"/>
                <w:szCs w:val="19"/>
                <w:color w:val="auto"/>
              </w:rPr>
            </w:pPr>
          </w:p>
        </w:tc>
      </w:tr>
      <w:tr>
        <w:trPr>
          <w:trHeight w:val="216"/>
        </w:trPr>
        <w:tc>
          <w:tcPr>
            <w:tcW w:w="4440" w:type="dxa"/>
            <w:vAlign w:val="bottom"/>
            <w:shd w:val="clear" w:color="auto" w:fill="CCEEFF"/>
          </w:tcPr>
          <w:p>
            <w:pPr>
              <w:spacing w:after="0"/>
              <w:rPr>
                <w:sz w:val="18"/>
                <w:szCs w:val="18"/>
                <w:color w:val="auto"/>
              </w:rPr>
            </w:pPr>
          </w:p>
        </w:tc>
        <w:tc>
          <w:tcPr>
            <w:tcW w:w="26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29,969</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33,513</w:t>
            </w:r>
          </w:p>
        </w:tc>
        <w:tc>
          <w:tcPr>
            <w:tcW w:w="100" w:type="dxa"/>
            <w:vAlign w:val="bottom"/>
            <w:shd w:val="clear" w:color="auto" w:fill="CCEEFF"/>
          </w:tcPr>
          <w:p>
            <w:pPr>
              <w:spacing w:after="0"/>
              <w:rPr>
                <w:sz w:val="18"/>
                <w:szCs w:val="18"/>
                <w:color w:val="auto"/>
              </w:rPr>
            </w:pPr>
          </w:p>
        </w:tc>
      </w:tr>
      <w:tr>
        <w:trPr>
          <w:trHeight w:val="20"/>
        </w:trPr>
        <w:tc>
          <w:tcPr>
            <w:tcW w:w="4440" w:type="dxa"/>
            <w:vAlign w:val="bottom"/>
          </w:tcPr>
          <w:p>
            <w:pPr>
              <w:spacing w:after="0" w:line="20" w:lineRule="exact"/>
              <w:rPr>
                <w:sz w:val="1"/>
                <w:szCs w:val="1"/>
                <w:color w:val="auto"/>
              </w:rPr>
            </w:pPr>
          </w:p>
        </w:tc>
        <w:tc>
          <w:tcPr>
            <w:tcW w:w="2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Share-based compensation capitalized in inventory was $1.4 million at May 3, 2014 and $1.7 million at February 1, 2014.</w:t>
      </w:r>
    </w:p>
    <w:p>
      <w:pPr>
        <w:spacing w:after="0" w:line="252"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Valuation Assumptions</w:t>
      </w:r>
    </w:p>
    <w:p>
      <w:pPr>
        <w:spacing w:after="0" w:line="90"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following weighted average assumptions were used for each respective period to calculate the fair value of each time-based stock option award on the date of grant using the Black-Scholes valuation model:</w:t>
      </w:r>
    </w:p>
    <w:p>
      <w:pPr>
        <w:spacing w:after="0" w:line="168"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4400" w:type="dxa"/>
            <w:vAlign w:val="bottom"/>
          </w:tcPr>
          <w:p>
            <w:pPr>
              <w:spacing w:after="0"/>
              <w:rPr>
                <w:sz w:val="14"/>
                <w:szCs w:val="14"/>
                <w:color w:val="auto"/>
              </w:rPr>
            </w:pPr>
          </w:p>
        </w:tc>
        <w:tc>
          <w:tcPr>
            <w:tcW w:w="2360" w:type="dxa"/>
            <w:vAlign w:val="bottom"/>
          </w:tcPr>
          <w:p>
            <w:pPr>
              <w:spacing w:after="0"/>
              <w:rPr>
                <w:sz w:val="14"/>
                <w:szCs w:val="14"/>
                <w:color w:val="auto"/>
              </w:rPr>
            </w:pPr>
          </w:p>
        </w:tc>
        <w:tc>
          <w:tcPr>
            <w:tcW w:w="1920" w:type="dxa"/>
            <w:vAlign w:val="bottom"/>
            <w:gridSpan w:val="5"/>
          </w:tcPr>
          <w:p>
            <w:pPr>
              <w:jc w:val="right"/>
              <w:ind w:right="460"/>
              <w:spacing w:after="0"/>
              <w:rPr>
                <w:sz w:val="20"/>
                <w:szCs w:val="20"/>
                <w:color w:val="auto"/>
              </w:rPr>
            </w:pPr>
            <w:r>
              <w:rPr>
                <w:rFonts w:ascii="Arial" w:cs="Arial" w:eastAsia="Arial" w:hAnsi="Arial"/>
                <w:sz w:val="14"/>
                <w:szCs w:val="14"/>
                <w:b w:val="1"/>
                <w:bCs w:val="1"/>
                <w:color w:val="auto"/>
              </w:rPr>
              <w:t>Three Months Ended</w:t>
            </w:r>
          </w:p>
        </w:tc>
      </w:tr>
      <w:tr>
        <w:trPr>
          <w:trHeight w:val="129"/>
        </w:trPr>
        <w:tc>
          <w:tcPr>
            <w:tcW w:w="4400" w:type="dxa"/>
            <w:vAlign w:val="bottom"/>
          </w:tcPr>
          <w:p>
            <w:pPr>
              <w:spacing w:after="0"/>
              <w:rPr>
                <w:sz w:val="11"/>
                <w:szCs w:val="11"/>
                <w:color w:val="auto"/>
              </w:rPr>
            </w:pPr>
          </w:p>
        </w:tc>
        <w:tc>
          <w:tcPr>
            <w:tcW w:w="2360" w:type="dxa"/>
            <w:vAlign w:val="bottom"/>
          </w:tcPr>
          <w:p>
            <w:pPr>
              <w:spacing w:after="0"/>
              <w:rPr>
                <w:sz w:val="11"/>
                <w:szCs w:val="11"/>
                <w:color w:val="auto"/>
              </w:rPr>
            </w:pPr>
          </w:p>
        </w:tc>
        <w:tc>
          <w:tcPr>
            <w:tcW w:w="900" w:type="dxa"/>
            <w:vAlign w:val="bottom"/>
            <w:tcBorders>
              <w:top w:val="single" w:sz="8" w:color="auto"/>
            </w:tcBorders>
            <w:gridSpan w:val="2"/>
          </w:tcPr>
          <w:p>
            <w:pPr>
              <w:jc w:val="right"/>
              <w:ind w:right="480"/>
              <w:spacing w:after="0" w:line="129" w:lineRule="exact"/>
              <w:rPr>
                <w:sz w:val="20"/>
                <w:szCs w:val="20"/>
                <w:color w:val="auto"/>
              </w:rPr>
            </w:pPr>
            <w:r>
              <w:rPr>
                <w:rFonts w:ascii="Arial" w:cs="Arial" w:eastAsia="Arial" w:hAnsi="Arial"/>
                <w:sz w:val="14"/>
                <w:szCs w:val="14"/>
                <w:b w:val="1"/>
                <w:bCs w:val="1"/>
                <w:color w:val="auto"/>
                <w:w w:val="93"/>
              </w:rPr>
              <w:t>May 3,</w:t>
            </w:r>
          </w:p>
        </w:tc>
        <w:tc>
          <w:tcPr>
            <w:tcW w:w="32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8"/>
              </w:rPr>
              <w:t>May 4,</w:t>
            </w:r>
          </w:p>
        </w:tc>
        <w:tc>
          <w:tcPr>
            <w:tcW w:w="200" w:type="dxa"/>
            <w:vAlign w:val="bottom"/>
          </w:tcPr>
          <w:p>
            <w:pPr>
              <w:spacing w:after="0"/>
              <w:rPr>
                <w:sz w:val="11"/>
                <w:szCs w:val="11"/>
                <w:color w:val="auto"/>
              </w:rPr>
            </w:pPr>
          </w:p>
        </w:tc>
      </w:tr>
      <w:tr>
        <w:trPr>
          <w:trHeight w:val="161"/>
        </w:trPr>
        <w:tc>
          <w:tcPr>
            <w:tcW w:w="4400" w:type="dxa"/>
            <w:vAlign w:val="bottom"/>
          </w:tcPr>
          <w:p>
            <w:pPr>
              <w:spacing w:after="0"/>
              <w:rPr>
                <w:sz w:val="14"/>
                <w:szCs w:val="14"/>
                <w:color w:val="auto"/>
              </w:rPr>
            </w:pPr>
          </w:p>
        </w:tc>
        <w:tc>
          <w:tcPr>
            <w:tcW w:w="2820" w:type="dxa"/>
            <w:vAlign w:val="bottom"/>
            <w:gridSpan w:val="2"/>
          </w:tcPr>
          <w:p>
            <w:pPr>
              <w:jc w:val="right"/>
              <w:ind w:right="32"/>
              <w:spacing w:after="0"/>
              <w:rPr>
                <w:sz w:val="20"/>
                <w:szCs w:val="20"/>
                <w:color w:val="auto"/>
              </w:rPr>
            </w:pPr>
            <w:r>
              <w:rPr>
                <w:rFonts w:ascii="Arial" w:cs="Arial" w:eastAsia="Arial" w:hAnsi="Arial"/>
                <w:sz w:val="14"/>
                <w:szCs w:val="14"/>
                <w:b w:val="1"/>
                <w:bCs w:val="1"/>
                <w:color w:val="auto"/>
              </w:rPr>
              <w:t>2014</w:t>
            </w:r>
          </w:p>
        </w:tc>
        <w:tc>
          <w:tcPr>
            <w:tcW w:w="440" w:type="dxa"/>
            <w:vAlign w:val="bottom"/>
          </w:tcPr>
          <w:p>
            <w:pPr>
              <w:spacing w:after="0"/>
              <w:rPr>
                <w:sz w:val="14"/>
                <w:szCs w:val="14"/>
                <w:color w:val="auto"/>
              </w:rPr>
            </w:pPr>
          </w:p>
        </w:tc>
        <w:tc>
          <w:tcPr>
            <w:tcW w:w="820" w:type="dxa"/>
            <w:vAlign w:val="bottom"/>
            <w:gridSpan w:val="2"/>
          </w:tcPr>
          <w:p>
            <w:pPr>
              <w:jc w:val="right"/>
              <w:ind w:right="52"/>
              <w:spacing w:after="0"/>
              <w:rPr>
                <w:sz w:val="20"/>
                <w:szCs w:val="20"/>
                <w:color w:val="auto"/>
              </w:rPr>
            </w:pPr>
            <w:r>
              <w:rPr>
                <w:rFonts w:ascii="Arial" w:cs="Arial" w:eastAsia="Arial" w:hAnsi="Arial"/>
                <w:sz w:val="14"/>
                <w:szCs w:val="14"/>
                <w:b w:val="1"/>
                <w:bCs w:val="1"/>
                <w:color w:val="auto"/>
              </w:rPr>
              <w:t>2013</w:t>
            </w:r>
          </w:p>
        </w:tc>
        <w:tc>
          <w:tcPr>
            <w:tcW w:w="200" w:type="dxa"/>
            <w:vAlign w:val="bottom"/>
          </w:tcPr>
          <w:p>
            <w:pPr>
              <w:spacing w:after="0"/>
              <w:rPr>
                <w:sz w:val="14"/>
                <w:szCs w:val="14"/>
                <w:color w:val="auto"/>
              </w:rPr>
            </w:pPr>
          </w:p>
        </w:tc>
      </w:tr>
      <w:tr>
        <w:trPr>
          <w:trHeight w:val="196"/>
        </w:trPr>
        <w:tc>
          <w:tcPr>
            <w:tcW w:w="44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Time-based Stock Options:</w:t>
            </w:r>
          </w:p>
        </w:tc>
        <w:tc>
          <w:tcPr>
            <w:tcW w:w="2360" w:type="dxa"/>
            <w:vAlign w:val="bottom"/>
            <w:tcBorders>
              <w:top w:val="single" w:sz="8" w:color="CCEEFF"/>
            </w:tcBorders>
            <w:shd w:val="clear" w:color="auto" w:fill="CCEEFF"/>
          </w:tcPr>
          <w:p>
            <w:pPr>
              <w:spacing w:after="0"/>
              <w:rPr>
                <w:sz w:val="17"/>
                <w:szCs w:val="17"/>
                <w:color w:val="auto"/>
              </w:rPr>
            </w:pPr>
          </w:p>
        </w:tc>
        <w:tc>
          <w:tcPr>
            <w:tcW w:w="460" w:type="dxa"/>
            <w:vAlign w:val="bottom"/>
            <w:tcBorders>
              <w:top w:val="single" w:sz="8" w:color="auto"/>
            </w:tcBorders>
            <w:shd w:val="clear" w:color="auto" w:fill="CCEEFF"/>
          </w:tcPr>
          <w:p>
            <w:pPr>
              <w:spacing w:after="0"/>
              <w:rPr>
                <w:sz w:val="17"/>
                <w:szCs w:val="17"/>
                <w:color w:val="auto"/>
              </w:rPr>
            </w:pPr>
          </w:p>
        </w:tc>
        <w:tc>
          <w:tcPr>
            <w:tcW w:w="440" w:type="dxa"/>
            <w:vAlign w:val="bottom"/>
            <w:tcBorders>
              <w:top w:val="single" w:sz="8" w:color="CCEEFF"/>
            </w:tcBorders>
            <w:shd w:val="clear" w:color="auto" w:fill="CCEEFF"/>
          </w:tcPr>
          <w:p>
            <w:pPr>
              <w:spacing w:after="0"/>
              <w:rPr>
                <w:sz w:val="17"/>
                <w:szCs w:val="17"/>
                <w:color w:val="auto"/>
              </w:rPr>
            </w:pPr>
          </w:p>
        </w:tc>
        <w:tc>
          <w:tcPr>
            <w:tcW w:w="320" w:type="dxa"/>
            <w:vAlign w:val="bottom"/>
            <w:tcBorders>
              <w:top w:val="single" w:sz="8" w:color="CCEEFF"/>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Weighted average fair value</w:t>
            </w:r>
          </w:p>
        </w:tc>
        <w:tc>
          <w:tcPr>
            <w:tcW w:w="2820" w:type="dxa"/>
            <w:vAlign w:val="bottom"/>
            <w:gridSpan w:val="2"/>
          </w:tcPr>
          <w:p>
            <w:pPr>
              <w:jc w:val="right"/>
              <w:spacing w:after="0"/>
              <w:rPr>
                <w:sz w:val="20"/>
                <w:szCs w:val="20"/>
                <w:color w:val="auto"/>
              </w:rPr>
            </w:pPr>
            <w:r>
              <w:rPr>
                <w:rFonts w:ascii="Arial" w:cs="Arial" w:eastAsia="Arial" w:hAnsi="Arial"/>
                <w:sz w:val="18"/>
                <w:szCs w:val="18"/>
                <w:color w:val="auto"/>
              </w:rPr>
              <w:t>$ 4.64</w:t>
            </w:r>
          </w:p>
        </w:tc>
        <w:tc>
          <w:tcPr>
            <w:tcW w:w="440" w:type="dxa"/>
            <w:vAlign w:val="bottom"/>
          </w:tcPr>
          <w:p>
            <w:pPr>
              <w:spacing w:after="0"/>
              <w:rPr>
                <w:sz w:val="18"/>
                <w:szCs w:val="18"/>
                <w:color w:val="auto"/>
              </w:rPr>
            </w:pP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$ 3.41</w:t>
            </w:r>
          </w:p>
        </w:tc>
        <w:tc>
          <w:tcPr>
            <w:tcW w:w="200" w:type="dxa"/>
            <w:vAlign w:val="bottom"/>
          </w:tcPr>
          <w:p>
            <w:pPr>
              <w:spacing w:after="0"/>
              <w:rPr>
                <w:sz w:val="18"/>
                <w:szCs w:val="18"/>
                <w:color w:val="auto"/>
              </w:rPr>
            </w:pPr>
          </w:p>
        </w:tc>
      </w:tr>
      <w:tr>
        <w:trPr>
          <w:trHeight w:val="216"/>
        </w:trPr>
        <w:tc>
          <w:tcPr>
            <w:tcW w:w="4400" w:type="dxa"/>
            <w:vAlign w:val="bottom"/>
            <w:shd w:val="clear" w:color="auto" w:fill="CCEEFF"/>
          </w:tcPr>
          <w:p>
            <w:pPr>
              <w:spacing w:after="0"/>
              <w:rPr>
                <w:sz w:val="20"/>
                <w:szCs w:val="20"/>
                <w:color w:val="auto"/>
              </w:rPr>
            </w:pPr>
            <w:r>
              <w:rPr>
                <w:rFonts w:ascii="Arial" w:cs="Arial" w:eastAsia="Arial" w:hAnsi="Arial"/>
                <w:sz w:val="18"/>
                <w:szCs w:val="18"/>
                <w:color w:val="auto"/>
              </w:rPr>
              <w:t>Expected volatility</w:t>
            </w:r>
          </w:p>
        </w:tc>
        <w:tc>
          <w:tcPr>
            <w:tcW w:w="326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36%</w:t>
            </w:r>
          </w:p>
        </w:tc>
        <w:tc>
          <w:tcPr>
            <w:tcW w:w="10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45%</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Expected term (in years)</w:t>
            </w:r>
          </w:p>
        </w:tc>
        <w:tc>
          <w:tcPr>
            <w:tcW w:w="2820" w:type="dxa"/>
            <w:vAlign w:val="bottom"/>
            <w:gridSpan w:val="2"/>
          </w:tcPr>
          <w:p>
            <w:pPr>
              <w:jc w:val="right"/>
              <w:spacing w:after="0"/>
              <w:rPr>
                <w:sz w:val="20"/>
                <w:szCs w:val="20"/>
                <w:color w:val="auto"/>
              </w:rPr>
            </w:pPr>
            <w:r>
              <w:rPr>
                <w:rFonts w:ascii="Arial" w:cs="Arial" w:eastAsia="Arial" w:hAnsi="Arial"/>
                <w:sz w:val="18"/>
                <w:szCs w:val="18"/>
                <w:color w:val="auto"/>
              </w:rPr>
              <w:t>5.0</w:t>
            </w:r>
          </w:p>
        </w:tc>
        <w:tc>
          <w:tcPr>
            <w:tcW w:w="440" w:type="dxa"/>
            <w:vAlign w:val="bottom"/>
          </w:tcPr>
          <w:p>
            <w:pPr>
              <w:spacing w:after="0"/>
              <w:rPr>
                <w:sz w:val="18"/>
                <w:szCs w:val="18"/>
                <w:color w:val="auto"/>
              </w:rPr>
            </w:pP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5.0</w:t>
            </w:r>
          </w:p>
        </w:tc>
        <w:tc>
          <w:tcPr>
            <w:tcW w:w="200" w:type="dxa"/>
            <w:vAlign w:val="bottom"/>
          </w:tcPr>
          <w:p>
            <w:pPr>
              <w:spacing w:after="0"/>
              <w:rPr>
                <w:sz w:val="18"/>
                <w:szCs w:val="18"/>
                <w:color w:val="auto"/>
              </w:rPr>
            </w:pPr>
          </w:p>
        </w:tc>
      </w:tr>
      <w:tr>
        <w:trPr>
          <w:trHeight w:val="216"/>
        </w:trPr>
        <w:tc>
          <w:tcPr>
            <w:tcW w:w="440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326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1.6%</w:t>
            </w:r>
          </w:p>
        </w:tc>
        <w:tc>
          <w:tcPr>
            <w:tcW w:w="10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0.8%</w:t>
            </w:r>
          </w:p>
        </w:tc>
      </w:tr>
      <w:tr>
        <w:trPr>
          <w:trHeight w:val="222"/>
        </w:trPr>
        <w:tc>
          <w:tcPr>
            <w:tcW w:w="4400" w:type="dxa"/>
            <w:vAlign w:val="bottom"/>
          </w:tcPr>
          <w:p>
            <w:pPr>
              <w:spacing w:after="0"/>
              <w:rPr>
                <w:sz w:val="20"/>
                <w:szCs w:val="20"/>
                <w:color w:val="auto"/>
              </w:rPr>
            </w:pPr>
            <w:r>
              <w:rPr>
                <w:rFonts w:ascii="Arial" w:cs="Arial" w:eastAsia="Arial" w:hAnsi="Arial"/>
                <w:sz w:val="18"/>
                <w:szCs w:val="18"/>
                <w:color w:val="auto"/>
              </w:rPr>
              <w:t>Expected dividend yield</w:t>
            </w:r>
          </w:p>
        </w:tc>
        <w:tc>
          <w:tcPr>
            <w:tcW w:w="3260" w:type="dxa"/>
            <w:vAlign w:val="bottom"/>
            <w:gridSpan w:val="3"/>
          </w:tcPr>
          <w:p>
            <w:pPr>
              <w:jc w:val="right"/>
              <w:ind w:right="300"/>
              <w:spacing w:after="0"/>
              <w:rPr>
                <w:sz w:val="20"/>
                <w:szCs w:val="20"/>
                <w:color w:val="auto"/>
              </w:rPr>
            </w:pPr>
            <w:r>
              <w:rPr>
                <w:rFonts w:ascii="Arial" w:cs="Arial" w:eastAsia="Arial" w:hAnsi="Arial"/>
                <w:sz w:val="18"/>
                <w:szCs w:val="18"/>
                <w:color w:val="auto"/>
              </w:rPr>
              <w:t>1.6%</w:t>
            </w:r>
          </w:p>
        </w:tc>
        <w:tc>
          <w:tcPr>
            <w:tcW w:w="1020" w:type="dxa"/>
            <w:vAlign w:val="bottom"/>
            <w:gridSpan w:val="3"/>
          </w:tcPr>
          <w:p>
            <w:pPr>
              <w:jc w:val="right"/>
              <w:ind w:right="60"/>
              <w:spacing w:after="0"/>
              <w:rPr>
                <w:sz w:val="20"/>
                <w:szCs w:val="20"/>
                <w:color w:val="auto"/>
              </w:rPr>
            </w:pPr>
            <w:r>
              <w:rPr>
                <w:rFonts w:ascii="Arial" w:cs="Arial" w:eastAsia="Arial" w:hAnsi="Arial"/>
                <w:sz w:val="18"/>
                <w:szCs w:val="18"/>
                <w:color w:val="auto"/>
              </w:rPr>
              <w:t>2.4%</w:t>
            </w:r>
          </w:p>
        </w:tc>
      </w:tr>
    </w:tbl>
    <w:p>
      <w:pPr>
        <w:spacing w:after="0" w:line="14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Under the ESPP, there were no stock purchase rights granted in the three months ended May 3, 2014 and May 4, 2013.</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320"/>
          </w:cols>
          <w:pgMar w:left="240" w:top="459" w:right="3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96" w:lineRule="exact"/>
        <w:rPr>
          <w:sz w:val="20"/>
          <w:szCs w:val="20"/>
          <w:color w:val="auto"/>
        </w:rPr>
      </w:pPr>
    </w:p>
    <w:p>
      <w:pPr>
        <w:ind w:firstLine="456"/>
        <w:spacing w:after="0" w:line="283" w:lineRule="auto"/>
        <w:rPr>
          <w:sz w:val="20"/>
          <w:szCs w:val="20"/>
          <w:color w:val="auto"/>
        </w:rPr>
      </w:pPr>
      <w:r>
        <w:rPr>
          <w:rFonts w:ascii="Arial" w:cs="Arial" w:eastAsia="Arial" w:hAnsi="Arial"/>
          <w:sz w:val="16"/>
          <w:szCs w:val="16"/>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“believes,” “seeks,” “estimates,” “can,” “will” and similar expressions identify such forward-looking statements. We make a number of forward-looking statements that relate to future periods and include statements relating to our anticipation that the rate of new orders and shipments may vary significantly from quarter to quarter; our expectations regarding market acceptance of our products using our innovative solutions; our expectations regarding sustained investments leading to new growth opportunities; our expectations regarding the declaration of, timing of, funding of, payment of and quarterly amount of dividends; our expectations regarding industry trends; our expectations regarding our inventory levels; our expectations regarding the amount of our future sales in Asia; our expectations regarding competition; our expectations relating to the protection of our intellectual property; our expectations regarding the amount of customer concentration in the future; our plans and expectations regarding our auction rate securities; our expectations regarding acquisitions, investments, strategic alliances and joint ventures; our expectations regarding net revenue, cost of goods sold as a percentage of revenue and operating expenses for the first quarter ending May 3, 2014 compared with the fourth quarter ending February 1, 2014; our expectations regarding the growth of solid state drive revenue; our expectations regarding the impact of legal proceedings and claims; our ability to meet our capital needs for at least the next 12 months; our ability to attract and retain highly skilled personnel; our expectations regarding future growth opportunities; our plan regarding forward exchange contracts and the effect of foreign exchange rates; our expectations regarding unrecognized tax benefits; the effect of recent accounting pronouncements and changes in taxation rules; our expectation regarding the effectiveness of our hedges of foreign currency exposures; our expectations that quarterly operating results will fluctuate from quarter to quarter; our expectations regarding the current economic environment; our expectations regarding arrangements with suppliers; our expectations regarding our ability to develop and introduce new products and achieve market acceptance of our products; our expectations regarding pricing; our expectations regarding demand for our products and the impact of seasonality on demand; our expectations regarding defects; our expectations regarding the implementation and improvement of operational and financial systems, as well as the implementation of additional procedures and other internal management systems; our expectations regarding gross margin and the events that may cause gross margin to fluctuate; our expectations to transition our semiconductor products to increasingly smaller line width geometries; our expectations regarding the portion of our operations and sales outside of the United States; our expectations regarding the adequacy of our internal control over financial reporting; our expectations regarding future impairment review of our goodwill and intangible assets; and the anticipated features and benefits of our technology solutions. 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 our dependence upon the hard disk drive and mobile and wireless markets, which are highly cyclical and intensely competitive; our ability and the ability of our customers to successfully compete in the markets in which we serve; our dependence on a small number of customers; the outcome of pending or future litigation and legal proceedings; the impact of international conflict and continued economic volatility in either domestic or foreign markets; our ability to scale our operations in response to changes in demand for existing or new products and services; our maintenance of an effective system of internal controls; our ability and our customers’ ability to develop new and enhanced products and the adoption of those products in the market; our success in integrating businesses we acquire and the impact such acquisitions may have on our operating results; our ability to estimate customer demand and future sales accurately; the success of our strategic relationships;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United States federal income tax laws and the loss of any beneficial tax treatment that we currently enjoy; the impact of changes in international financial and regulatory conditions; and the impact of lengthy and expensive product sales cycles. 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20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right="60" w:firstLine="456"/>
        <w:spacing w:after="0" w:line="287" w:lineRule="auto"/>
        <w:rPr>
          <w:sz w:val="20"/>
          <w:szCs w:val="20"/>
          <w:color w:val="auto"/>
        </w:rPr>
      </w:pPr>
      <w:r>
        <w:rPr>
          <w:rFonts w:ascii="Arial" w:cs="Arial" w:eastAsia="Arial" w:hAnsi="Arial"/>
          <w:sz w:val="16"/>
          <w:szCs w:val="16"/>
          <w:color w:val="auto"/>
        </w:rPr>
        <w:t>We are a fabless semiconductor provider of high-performance application-specific standard products. Our core strength of expertise is the development of complex Systems-on-a-Chip devices, leveraging our extensive technology portfolio of intellectual property in the areas of analog, mixed-signal, digital signal processing, and embedded and standalone integrated circuits. The majority of our product portfolio leverages the ARM technology portfolio. We also develop platforms that we define as integrated hardware along with software that incorporates digital computing technologies designed and configured to provide an optimized computing solution. Our broad product portfolio includes devices for data storage, enterprise-class Ethernet data switching, Ethernet physical-layer transceivers, mobile handsets, connectivity and other consumer electronics. Our products serve diverse applications used in carrier, metropolitan, enterprise and PC-client data communications and storage systems. Additionally, we serve the consumer electronics market for the convergence of voice, video and data applications. As a fabless integrated circuit company, we rely on independent, third 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20"/>
          </w:cols>
          <w:pgMar w:left="240" w:top="45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A significant number of our products are being incorporated into consumer electronics products, including gaming devices and personal computers, which are subject to significant seasonality and fluctuations in demand. Holiday and back to school buying trends may at times negatively impact our results in the first and fourth quarter and positively impact our results in the second and third quarter of our fiscal years. In addition, consumer electronics sales are heavily dependent on new product launch timelines and product refreshes. For example, our sales of wireless connectivity products may increase significantly during a period when one of our consumers launches a new gaming console, and these sales may taper significantly after the initial launch period.</w:t>
      </w:r>
    </w:p>
    <w:p>
      <w:pPr>
        <w:spacing w:after="0" w:line="116"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A relatively large portion of 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43"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In this Quarterly Report on Form 10-Q, we refer to the fiscal year ended February 2, 2008 as fiscal 2008, the fiscal year ended January 31, 2009 as fiscal 2009, the fiscal year ended January 30, 2010 as fiscal 2010, the fiscal year ended January 29, 2011 as fiscal 2011, the fiscal year ended January 28, 2012 as fiscal 2012, the fiscal year ended February 2, 2013 as fiscal 2013, the fiscal year ending February 1, 2014 as fiscal 2014 and the fiscal year ending January 31, 2015 as fiscal 2015.</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96" w:lineRule="exact"/>
        <w:rPr>
          <w:sz w:val="20"/>
          <w:szCs w:val="20"/>
          <w:color w:val="auto"/>
        </w:rPr>
      </w:pPr>
    </w:p>
    <w:p>
      <w:pPr>
        <w:ind w:right="140" w:firstLine="456"/>
        <w:spacing w:after="0" w:line="318" w:lineRule="auto"/>
        <w:rPr>
          <w:sz w:val="20"/>
          <w:szCs w:val="20"/>
          <w:color w:val="auto"/>
        </w:rPr>
      </w:pPr>
      <w:r>
        <w:rPr>
          <w:rFonts w:ascii="Arial" w:cs="Arial" w:eastAsia="Arial" w:hAnsi="Arial"/>
          <w:sz w:val="15"/>
          <w:szCs w:val="15"/>
          <w:color w:val="auto"/>
        </w:rPr>
        <w:t>The preparation of financial statements in conformity with accounting principles generally accepted in the United States (“GAAP”) requires management to make estimates, judgments and assumptions that affect the reported amounts of assets, liabilities, revenues and expenses and related disclosure of contingent assets and liabilities. Actual results could differ from these estimates, and such differences could affect the results of operations reported in future periods. For a description of our critical accounting policies and estimates, please refer to the “Critical Accounting Policies and Estimates” section of our Management’s Discussion and Analysis of Financial Condition and Results of Operations contained in our Annual Report on Form 10-K for the year ended February 1, 2014.</w:t>
      </w:r>
    </w:p>
    <w:p>
      <w:pPr>
        <w:spacing w:after="0" w:line="1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96"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color w:val="auto"/>
        </w:rPr>
        <w:t>Net revenue for the three months ended May 3, 2014 was higher by approximately 30% compared to the three months ended May 4, 2013, led by year over year growth in the mobile and wireless end markets, together with stable growth in the storage market. On a sequential basis net revenue grew approximately 3% during the first quarter of fiscal 2015 compared to the fourth quarter of fiscal 2014, despite the first quarter normally being a seasonally down quarter, as we saw strong growth from sales of products in our mobile market from multiple Tier-1 customers who have launched their 4G LTE smart phones in China based on our solutions. We are seeing many of our customers introducing new devices using our innovative solutions, which we believe will drive success across all of our end markets. Our future growth is expected to be driven by areas such as mobile handsets, tablets, connectivity, smart home devices and solid state drive (“SSD”) controllers.</w:t>
      </w:r>
    </w:p>
    <w:p>
      <w:pPr>
        <w:spacing w:after="0" w:line="66" w:lineRule="exact"/>
        <w:rPr>
          <w:sz w:val="20"/>
          <w:szCs w:val="20"/>
          <w:color w:val="auto"/>
        </w:rPr>
      </w:pPr>
    </w:p>
    <w:p>
      <w:pPr>
        <w:ind w:left="900" w:hanging="325"/>
        <w:spacing w:after="0" w:line="288"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color w:val="auto"/>
        </w:rPr>
        <w:t>In the mobile market, we continued to make steady progress with our LTE solutions, where we passed qualifications in China in fiscal 2014. We continue to focus on the LTE market in China and we are seeing more OEM partners start new 4G LTE smart phone, tablet and mobile broadband device projects with our chipsets. We are also expanding into multiple geographies. In North America, we became fully certified for voice and data at AT&amp;T in fiscal 2014. Most recently, we achieved another important milestone with the completion of LTE certification at Verizon. We are on track to powering more multimode LTE devices from leading OEMS for deployment around the world later this year. However, we expect increased competition in LTE later this year, as multiple competitors will come to production with their devices. In addition to competing for design wins and unit sales, this increased competition could drive pricing lower. Our 3G unified platform is still in production at multiple top tier OEMs. In addition to our dual-core devices, our quad-core platform is also in production with leading OEM customers who have introduced multiple quad-core smartphone models targeting the mass-market segments for both WCDMA and TD-SCDMA.</w:t>
      </w:r>
    </w:p>
    <w:p>
      <w:pPr>
        <w:spacing w:after="0" w:line="38" w:lineRule="exact"/>
        <w:rPr>
          <w:rFonts w:ascii="Arial" w:cs="Arial" w:eastAsia="Arial" w:hAnsi="Arial"/>
          <w:sz w:val="16"/>
          <w:szCs w:val="16"/>
          <w:color w:val="auto"/>
        </w:rPr>
      </w:pPr>
    </w:p>
    <w:p>
      <w:pPr>
        <w:ind w:left="900" w:hanging="325"/>
        <w:spacing w:after="0" w:line="289"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color w:val="auto"/>
        </w:rPr>
        <w:t>In the wireless connectivity market, we experienced growth in the gaming market where our wireless connectivity solutions are being used in new game consoles that were launched for the past holiday season. We expect wireless connectivity and other advanced features in these new game consoles to help drive growth for us this year in this industry. In the smart phone market, we continue to have on-going 100% attach rates on our new mobile platforms for our connectivity solutions with our 3G and 4G mobile platforms. We are seeing new opportunities for our connectivity solutions across multiple market segments. We are also seeing increased momentum for both our 1x1 and our 2x2 combo solutions in mobile computing, dongles, set-top boxes and home automation. Our WiFi and Zigbee devices are gaining strong adoption in new IoT-type devices, home automation and smart lighting applications, and we expect volume to ramp up later this year. Our connectivity products have superior RF performance which helps accelerate customer on-boarding and reduce their time-to-market.</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00"/>
          </w:cols>
          <w:pgMar w:left="240" w:top="459" w:right="2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line="289" w:lineRule="auto"/>
        <w:tabs>
          <w:tab w:leader="none" w:pos="900" w:val="left"/>
        </w:tabs>
        <w:numPr>
          <w:ilvl w:val="0"/>
          <w:numId w:val="5"/>
        </w:numPr>
        <w:rPr>
          <w:rFonts w:ascii="Arial" w:cs="Arial" w:eastAsia="Arial" w:hAnsi="Arial"/>
          <w:sz w:val="16"/>
          <w:szCs w:val="16"/>
          <w:color w:val="auto"/>
        </w:rPr>
      </w:pPr>
      <w:r>
        <w:rPr>
          <w:rFonts w:ascii="Arial" w:cs="Arial" w:eastAsia="Arial" w:hAnsi="Arial"/>
          <w:sz w:val="16"/>
          <w:szCs w:val="16"/>
          <w:color w:val="auto"/>
        </w:rPr>
        <w:t>In the storage market, we continue to execute well as the overall drive industry seems to have stabilized. Our revenue has continued to grow within the SSD market and our strategy of partnering with top tier OEMs has resulted in excellent traction for our advanced SSD solutions. Our PCIe SSD solutions are in mass production and we believe we have a lead in the market. There were also several new product announcements made by multiple customers for our client and enterprise SATA and SAS products. Within the hard disk drive (“HDD”) market, we continue to experience strong demand for our 500 gigabyte per platter products. In addition, we have continued to see increased demand in enterprise drives at a top North America based HDD customer. We are also leveraging our technology leadership in HDD and SSD to help our customer migrate to hybrid storage devices by developing a single-chip solution that we believe will drive lower price points and allow the market to grow. We believe this will allow us to further increase our share and solidify our leadership position in the market over the next few years.</w:t>
      </w:r>
    </w:p>
    <w:p>
      <w:pPr>
        <w:spacing w:after="0" w:line="37" w:lineRule="exact"/>
        <w:rPr>
          <w:rFonts w:ascii="Arial" w:cs="Arial" w:eastAsia="Arial" w:hAnsi="Arial"/>
          <w:sz w:val="16"/>
          <w:szCs w:val="16"/>
          <w:color w:val="auto"/>
        </w:rPr>
      </w:pPr>
    </w:p>
    <w:p>
      <w:pPr>
        <w:ind w:left="900" w:right="20" w:hanging="325"/>
        <w:spacing w:after="0" w:line="255" w:lineRule="auto"/>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color w:val="auto"/>
        </w:rPr>
        <w:t>In the networking market, we experienced softer than expected demand in the first quarter of fiscal 2015 from some of our enterprise networking customers due to a weaker market overall. Since we announced our first 28nm network processor and traffic management solutions with our Xelerated AX and HX family of products targeting the infrastructure market, we have engaged with Tier-1 customers on these new high-performance products for their next generation networking equipment. We continue to gain momentum in closing design-wins and driving new opportunities with our latest family of network processing solutions.</w:t>
      </w:r>
    </w:p>
    <w:p>
      <w:pPr>
        <w:spacing w:after="0" w:line="143"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Our cost of goods sold as a percentage of net revenue for the three months ended May 3, 2014 was higher compared to both the three months ended February 1, 2014 and May 4, 2013. As we expand our presence and grow revenue in the mobile and wireless end markets, we expect our gross margin to face downward pressure, as these end markets generally have lower average gross margins than the rest of our business. However, we expect this growth will result in improvement to total gross margin dollars and operating profit. In addition, we are focused on efforts to improve both aspects of our gross profit, including through cost improvement and pricing.</w:t>
      </w:r>
    </w:p>
    <w:p>
      <w:pPr>
        <w:spacing w:after="0" w:line="143" w:lineRule="exact"/>
        <w:rPr>
          <w:sz w:val="20"/>
          <w:szCs w:val="20"/>
          <w:color w:val="auto"/>
        </w:rPr>
      </w:pPr>
    </w:p>
    <w:p>
      <w:pPr>
        <w:ind w:right="240" w:firstLine="456"/>
        <w:spacing w:after="0" w:line="256" w:lineRule="auto"/>
        <w:rPr>
          <w:sz w:val="20"/>
          <w:szCs w:val="20"/>
          <w:color w:val="auto"/>
        </w:rPr>
      </w:pPr>
      <w:r>
        <w:rPr>
          <w:rFonts w:ascii="Arial" w:cs="Arial" w:eastAsia="Arial" w:hAnsi="Arial"/>
          <w:sz w:val="18"/>
          <w:szCs w:val="18"/>
          <w:color w:val="auto"/>
        </w:rPr>
        <w:t>Our financial position is strong and we continue to generate significant positive cash flows. Our cash, cash equivalents and short-term investments were $2.1 billion at May 3, 2014 and we generated cash flow from operations of $235.1 million through the first quarter of fiscal 2015. We paid a cash dividend of $0.06 per share for a total of $30.2 million during the first quarter of fiscal 2015 and we recently announced a dividend of $0.06 per share to be paid during the second quarter of fiscal 2015.</w:t>
      </w:r>
    </w:p>
    <w:p>
      <w:pPr>
        <w:spacing w:after="0" w:line="143"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We are currently involved in a patent litigation action with Carnegie Mellon University (“CMU”) (See “Risk Factors” under Part II, Item 1A of this Quarterly Report on Form 10-Q and “Note 10 – Commitments and Contingencies” in the Notes to Unaudited Condensed Consolidated Financial Statements for a further discussion of the risks associated with this matter and other patent litigation matters). A jury has awarded past damages of $1.17 billion, and the Court calculated damages, including enhancement, to total approximately $1.54 billion. The Court also held that CMU is entitled to post judgment interest and an on-going royalty. Based on the royalty rate assessed by the District Court, such additional royalties through May 3, 2014 would be approximately $250 million. On May 7, 2014, the District Court entered final judgment and on May 14, 2014, we filed a notice of appeal and posted a bond to stay execution of judgment pending the appeal. We strongly believe that we do not infringe on the methods described in the CMU patents and that our products use our own internally developed patented read channel technology.</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20"/>
          </w:cols>
          <w:pgMar w:left="240" w:top="45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52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300" w:type="dxa"/>
            <w:vAlign w:val="bottom"/>
            <w:gridSpan w:val="7"/>
          </w:tcPr>
          <w:p>
            <w:pPr>
              <w:ind w:left="20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9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52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60" w:type="dxa"/>
            <w:vAlign w:val="bottom"/>
            <w:tcBorders>
              <w:top w:val="single" w:sz="8" w:color="auto"/>
            </w:tcBorders>
            <w:gridSpan w:val="3"/>
          </w:tcPr>
          <w:p>
            <w:pPr>
              <w:ind w:left="40"/>
              <w:spacing w:after="0" w:line="129" w:lineRule="exact"/>
              <w:rPr>
                <w:sz w:val="20"/>
                <w:szCs w:val="20"/>
                <w:color w:val="auto"/>
              </w:rPr>
            </w:pPr>
            <w:r>
              <w:rPr>
                <w:rFonts w:ascii="Arial" w:cs="Arial" w:eastAsia="Arial" w:hAnsi="Arial"/>
                <w:sz w:val="14"/>
                <w:szCs w:val="14"/>
                <w:b w:val="1"/>
                <w:bCs w:val="1"/>
                <w:color w:val="auto"/>
              </w:rPr>
              <w:t>May 3,</w:t>
            </w:r>
          </w:p>
        </w:tc>
        <w:tc>
          <w:tcPr>
            <w:tcW w:w="5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8"/>
              </w:rPr>
              <w:t>May 4,</w:t>
            </w:r>
          </w:p>
        </w:tc>
        <w:tc>
          <w:tcPr>
            <w:tcW w:w="440" w:type="dxa"/>
            <w:vAlign w:val="bottom"/>
            <w:gridSpan w:val="2"/>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9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5220" w:type="dxa"/>
            <w:vAlign w:val="bottom"/>
            <w:tcBorders>
              <w:bottom w:val="single" w:sz="8" w:color="CCEEFF"/>
            </w:tcBorders>
          </w:tcPr>
          <w:p>
            <w:pPr>
              <w:spacing w:after="0"/>
              <w:rPr>
                <w:sz w:val="14"/>
                <w:szCs w:val="14"/>
                <w:color w:val="auto"/>
              </w:rPr>
            </w:pPr>
          </w:p>
        </w:tc>
        <w:tc>
          <w:tcPr>
            <w:tcW w:w="840" w:type="dxa"/>
            <w:vAlign w:val="bottom"/>
            <w:tcBorders>
              <w:bottom w:val="single" w:sz="8" w:color="CCEEFF"/>
            </w:tcBorders>
          </w:tcPr>
          <w:p>
            <w:pPr>
              <w:spacing w:after="0"/>
              <w:rPr>
                <w:sz w:val="14"/>
                <w:szCs w:val="14"/>
                <w:color w:val="auto"/>
              </w:rPr>
            </w:pPr>
          </w:p>
        </w:tc>
        <w:tc>
          <w:tcPr>
            <w:tcW w:w="760" w:type="dxa"/>
            <w:vAlign w:val="bottom"/>
            <w:tcBorders>
              <w:bottom w:val="single" w:sz="8" w:color="CCEEFF"/>
            </w:tcBorders>
          </w:tcPr>
          <w:p>
            <w:pPr>
              <w:spacing w:after="0"/>
              <w:rPr>
                <w:sz w:val="14"/>
                <w:szCs w:val="14"/>
                <w:color w:val="auto"/>
              </w:rPr>
            </w:pPr>
          </w:p>
        </w:tc>
        <w:tc>
          <w:tcPr>
            <w:tcW w:w="480" w:type="dxa"/>
            <w:vAlign w:val="bottom"/>
            <w:tcBorders>
              <w:bottom w:val="single" w:sz="8" w:color="auto"/>
            </w:tcBorders>
          </w:tcPr>
          <w:p>
            <w:pPr>
              <w:jc w:val="right"/>
              <w:ind w:right="17"/>
              <w:spacing w:after="0"/>
              <w:rPr>
                <w:sz w:val="20"/>
                <w:szCs w:val="20"/>
                <w:color w:val="auto"/>
              </w:rPr>
            </w:pPr>
            <w:r>
              <w:rPr>
                <w:rFonts w:ascii="Arial" w:cs="Arial" w:eastAsia="Arial" w:hAnsi="Arial"/>
                <w:sz w:val="14"/>
                <w:szCs w:val="14"/>
                <w:b w:val="1"/>
                <w:bCs w:val="1"/>
                <w:color w:val="auto"/>
              </w:rPr>
              <w:t>2014</w:t>
            </w:r>
          </w:p>
        </w:tc>
        <w:tc>
          <w:tcPr>
            <w:tcW w:w="64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500" w:type="dxa"/>
            <w:vAlign w:val="bottom"/>
            <w:tcBorders>
              <w:bottom w:val="single" w:sz="8" w:color="auto"/>
            </w:tcBorders>
          </w:tcPr>
          <w:p>
            <w:pPr>
              <w:jc w:val="right"/>
              <w:ind w:right="36"/>
              <w:spacing w:after="0"/>
              <w:rPr>
                <w:sz w:val="20"/>
                <w:szCs w:val="20"/>
                <w:color w:val="auto"/>
              </w:rPr>
            </w:pPr>
            <w:r>
              <w:rPr>
                <w:rFonts w:ascii="Arial" w:cs="Arial" w:eastAsia="Arial" w:hAnsi="Arial"/>
                <w:sz w:val="14"/>
                <w:szCs w:val="14"/>
                <w:b w:val="1"/>
                <w:bCs w:val="1"/>
                <w:color w:val="auto"/>
              </w:rPr>
              <w:t>2013</w:t>
            </w:r>
          </w:p>
        </w:tc>
        <w:tc>
          <w:tcPr>
            <w:tcW w:w="200" w:type="dxa"/>
            <w:vAlign w:val="bottom"/>
            <w:tcBorders>
              <w:bottom w:val="single" w:sz="8" w:color="CCEEFF"/>
            </w:tcBorders>
          </w:tcPr>
          <w:p>
            <w:pPr>
              <w:spacing w:after="0"/>
              <w:rPr>
                <w:sz w:val="14"/>
                <w:szCs w:val="14"/>
                <w:color w:val="auto"/>
              </w:rPr>
            </w:pPr>
          </w:p>
        </w:tc>
        <w:tc>
          <w:tcPr>
            <w:tcW w:w="2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9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22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84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32"/>
              <w:spacing w:after="0"/>
              <w:rPr>
                <w:sz w:val="20"/>
                <w:szCs w:val="20"/>
                <w:color w:val="auto"/>
              </w:rPr>
            </w:pPr>
            <w:r>
              <w:rPr>
                <w:rFonts w:ascii="Arial" w:cs="Arial" w:eastAsia="Arial" w:hAnsi="Arial"/>
                <w:sz w:val="18"/>
                <w:szCs w:val="18"/>
                <w:color w:val="auto"/>
                <w:w w:val="98"/>
              </w:rPr>
              <w:t>100.0%</w:t>
            </w:r>
          </w:p>
        </w:tc>
        <w:tc>
          <w:tcPr>
            <w:tcW w:w="4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22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8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2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Cost of goods sold</w:t>
            </w:r>
          </w:p>
        </w:tc>
        <w:tc>
          <w:tcPr>
            <w:tcW w:w="84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51.6</w:t>
            </w:r>
          </w:p>
        </w:tc>
        <w:tc>
          <w:tcPr>
            <w:tcW w:w="6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45.7</w:t>
            </w:r>
          </w:p>
        </w:tc>
        <w:tc>
          <w:tcPr>
            <w:tcW w:w="200" w:type="dxa"/>
            <w:vAlign w:val="bottom"/>
            <w:shd w:val="clear" w:color="auto" w:fill="CCEEFF"/>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220" w:type="dxa"/>
            <w:vAlign w:val="bottom"/>
          </w:tcPr>
          <w:p>
            <w:pPr>
              <w:ind w:left="440"/>
              <w:spacing w:after="0"/>
              <w:rPr>
                <w:sz w:val="20"/>
                <w:szCs w:val="20"/>
                <w:color w:val="auto"/>
              </w:rPr>
            </w:pPr>
            <w:r>
              <w:rPr>
                <w:rFonts w:ascii="Arial" w:cs="Arial" w:eastAsia="Arial" w:hAnsi="Arial"/>
                <w:sz w:val="18"/>
                <w:szCs w:val="18"/>
                <w:color w:val="auto"/>
              </w:rPr>
              <w:t>Research and development</w:t>
            </w:r>
          </w:p>
        </w:tc>
        <w:tc>
          <w:tcPr>
            <w:tcW w:w="8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30.8</w:t>
            </w:r>
          </w:p>
        </w:tc>
        <w:tc>
          <w:tcPr>
            <w:tcW w:w="6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38.0</w:t>
            </w:r>
          </w:p>
        </w:tc>
        <w:tc>
          <w:tcPr>
            <w:tcW w:w="2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2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Selling and marketing</w:t>
            </w:r>
          </w:p>
        </w:tc>
        <w:tc>
          <w:tcPr>
            <w:tcW w:w="84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w:t>
            </w:r>
          </w:p>
        </w:tc>
        <w:tc>
          <w:tcPr>
            <w:tcW w:w="6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w:t>
            </w:r>
          </w:p>
        </w:tc>
        <w:tc>
          <w:tcPr>
            <w:tcW w:w="200" w:type="dxa"/>
            <w:vAlign w:val="bottom"/>
            <w:shd w:val="clear" w:color="auto" w:fill="CCEEFF"/>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220" w:type="dxa"/>
            <w:vAlign w:val="bottom"/>
          </w:tcPr>
          <w:p>
            <w:pPr>
              <w:ind w:left="440"/>
              <w:spacing w:after="0"/>
              <w:rPr>
                <w:sz w:val="20"/>
                <w:szCs w:val="20"/>
                <w:color w:val="auto"/>
              </w:rPr>
            </w:pPr>
            <w:r>
              <w:rPr>
                <w:rFonts w:ascii="Arial" w:cs="Arial" w:eastAsia="Arial" w:hAnsi="Arial"/>
                <w:sz w:val="18"/>
                <w:szCs w:val="18"/>
                <w:color w:val="auto"/>
              </w:rPr>
              <w:t>General and administrative</w:t>
            </w:r>
          </w:p>
        </w:tc>
        <w:tc>
          <w:tcPr>
            <w:tcW w:w="8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3.2</w:t>
            </w:r>
          </w:p>
        </w:tc>
        <w:tc>
          <w:tcPr>
            <w:tcW w:w="6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3.6</w:t>
            </w:r>
          </w:p>
        </w:tc>
        <w:tc>
          <w:tcPr>
            <w:tcW w:w="2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2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Amortization and write-off of acquired intangible assets</w:t>
            </w:r>
          </w:p>
        </w:tc>
        <w:tc>
          <w:tcPr>
            <w:tcW w:w="84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4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0.7</w:t>
            </w:r>
          </w:p>
        </w:tc>
        <w:tc>
          <w:tcPr>
            <w:tcW w:w="6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w:t>
            </w:r>
          </w:p>
        </w:tc>
        <w:tc>
          <w:tcPr>
            <w:tcW w:w="200" w:type="dxa"/>
            <w:vAlign w:val="bottom"/>
            <w:shd w:val="clear" w:color="auto" w:fill="CCEEFF"/>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92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5220" w:type="dxa"/>
            <w:vAlign w:val="bottom"/>
          </w:tcPr>
          <w:p>
            <w:pPr>
              <w:ind w:left="860"/>
              <w:spacing w:after="0"/>
              <w:rPr>
                <w:sz w:val="20"/>
                <w:szCs w:val="20"/>
                <w:color w:val="auto"/>
              </w:rPr>
            </w:pPr>
            <w:r>
              <w:rPr>
                <w:rFonts w:ascii="Arial" w:cs="Arial" w:eastAsia="Arial" w:hAnsi="Arial"/>
                <w:sz w:val="18"/>
                <w:szCs w:val="18"/>
                <w:color w:val="auto"/>
              </w:rPr>
              <w:t>Total operating costs and expenses</w:t>
            </w:r>
          </w:p>
        </w:tc>
        <w:tc>
          <w:tcPr>
            <w:tcW w:w="8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90.3</w:t>
            </w:r>
          </w:p>
        </w:tc>
        <w:tc>
          <w:tcPr>
            <w:tcW w:w="64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94.2</w:t>
            </w:r>
          </w:p>
        </w:tc>
        <w:tc>
          <w:tcPr>
            <w:tcW w:w="2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22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84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w:t>
            </w:r>
          </w:p>
        </w:tc>
        <w:tc>
          <w:tcPr>
            <w:tcW w:w="6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w:t>
            </w:r>
          </w:p>
        </w:tc>
        <w:tc>
          <w:tcPr>
            <w:tcW w:w="200" w:type="dxa"/>
            <w:vAlign w:val="bottom"/>
            <w:shd w:val="clear" w:color="auto" w:fill="CCEEFF"/>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22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8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0.2</w:t>
            </w:r>
          </w:p>
        </w:tc>
        <w:tc>
          <w:tcPr>
            <w:tcW w:w="6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0.4</w:t>
            </w:r>
          </w:p>
        </w:tc>
        <w:tc>
          <w:tcPr>
            <w:tcW w:w="2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22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84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w:t>
            </w:r>
          </w:p>
        </w:tc>
        <w:tc>
          <w:tcPr>
            <w:tcW w:w="64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w:t>
            </w:r>
          </w:p>
        </w:tc>
        <w:tc>
          <w:tcPr>
            <w:tcW w:w="200" w:type="dxa"/>
            <w:vAlign w:val="bottom"/>
            <w:shd w:val="clear" w:color="auto" w:fill="CCEEFF"/>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5220" w:type="dxa"/>
            <w:vAlign w:val="bottom"/>
          </w:tcPr>
          <w:p>
            <w:pPr>
              <w:spacing w:after="0"/>
              <w:rPr>
                <w:sz w:val="20"/>
                <w:szCs w:val="20"/>
                <w:color w:val="auto"/>
              </w:rPr>
            </w:pPr>
            <w:r>
              <w:rPr>
                <w:rFonts w:ascii="Arial" w:cs="Arial" w:eastAsia="Arial" w:hAnsi="Arial"/>
                <w:sz w:val="18"/>
                <w:szCs w:val="18"/>
                <w:color w:val="auto"/>
              </w:rPr>
              <w:t>Benefit for income taxes</w:t>
            </w:r>
          </w:p>
        </w:tc>
        <w:tc>
          <w:tcPr>
            <w:tcW w:w="8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120" w:type="dxa"/>
            <w:vAlign w:val="bottom"/>
            <w:gridSpan w:val="2"/>
          </w:tcPr>
          <w:p>
            <w:pPr>
              <w:jc w:val="right"/>
              <w:ind w:right="512"/>
              <w:spacing w:after="0"/>
              <w:rPr>
                <w:sz w:val="20"/>
                <w:szCs w:val="20"/>
                <w:color w:val="auto"/>
              </w:rPr>
            </w:pPr>
            <w:r>
              <w:rPr>
                <w:rFonts w:ascii="Arial" w:cs="Arial" w:eastAsia="Arial" w:hAnsi="Arial"/>
                <w:sz w:val="18"/>
                <w:szCs w:val="18"/>
                <w:color w:val="auto"/>
              </w:rPr>
              <w:t>(0.5)</w:t>
            </w:r>
          </w:p>
        </w:tc>
        <w:tc>
          <w:tcPr>
            <w:tcW w:w="40" w:type="dxa"/>
            <w:vAlign w:val="bottom"/>
          </w:tcPr>
          <w:p>
            <w:pPr>
              <w:spacing w:after="0"/>
              <w:rPr>
                <w:sz w:val="18"/>
                <w:szCs w:val="18"/>
                <w:color w:val="auto"/>
              </w:rPr>
            </w:pPr>
          </w:p>
        </w:tc>
        <w:tc>
          <w:tcPr>
            <w:tcW w:w="700" w:type="dxa"/>
            <w:vAlign w:val="bottom"/>
            <w:gridSpan w:val="2"/>
          </w:tcPr>
          <w:p>
            <w:pPr>
              <w:jc w:val="right"/>
              <w:ind w:right="92"/>
              <w:spacing w:after="0"/>
              <w:rPr>
                <w:sz w:val="20"/>
                <w:szCs w:val="20"/>
                <w:color w:val="auto"/>
              </w:rPr>
            </w:pPr>
            <w:r>
              <w:rPr>
                <w:rFonts w:ascii="Arial" w:cs="Arial" w:eastAsia="Arial" w:hAnsi="Arial"/>
                <w:sz w:val="18"/>
                <w:szCs w:val="18"/>
                <w:color w:val="auto"/>
              </w:rPr>
              <w:t>(1.0)</w:t>
            </w: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920" w:type="dxa"/>
            <w:vAlign w:val="bottom"/>
            <w:vMerge w:val="restart"/>
          </w:tcPr>
          <w:p>
            <w:pPr>
              <w:spacing w:after="0"/>
              <w:rPr>
                <w:sz w:val="2"/>
                <w:szCs w:val="2"/>
                <w:color w:val="auto"/>
              </w:rPr>
            </w:pPr>
          </w:p>
        </w:tc>
        <w:tc>
          <w:tcPr>
            <w:tcW w:w="460" w:type="dxa"/>
            <w:vAlign w:val="bottom"/>
            <w:vMerge w:val="restart"/>
          </w:tcPr>
          <w:p>
            <w:pPr>
              <w:spacing w:after="0"/>
              <w:rPr>
                <w:sz w:val="2"/>
                <w:szCs w:val="2"/>
                <w:color w:val="auto"/>
              </w:rPr>
            </w:pPr>
          </w:p>
        </w:tc>
        <w:tc>
          <w:tcPr>
            <w:tcW w:w="5220" w:type="dxa"/>
            <w:vAlign w:val="bottom"/>
          </w:tcPr>
          <w:p>
            <w:pPr>
              <w:spacing w:after="0"/>
              <w:rPr>
                <w:sz w:val="2"/>
                <w:szCs w:val="2"/>
                <w:color w:val="auto"/>
              </w:rPr>
            </w:pPr>
          </w:p>
        </w:tc>
        <w:tc>
          <w:tcPr>
            <w:tcW w:w="840" w:type="dxa"/>
            <w:vAlign w:val="bottom"/>
          </w:tcPr>
          <w:p>
            <w:pPr>
              <w:spacing w:after="0"/>
              <w:rPr>
                <w:sz w:val="2"/>
                <w:szCs w:val="2"/>
                <w:color w:val="auto"/>
              </w:rPr>
            </w:pPr>
          </w:p>
        </w:tc>
        <w:tc>
          <w:tcPr>
            <w:tcW w:w="760" w:type="dxa"/>
            <w:vAlign w:val="bottom"/>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640" w:type="dxa"/>
            <w:vAlign w:val="bottom"/>
          </w:tcPr>
          <w:p>
            <w:pPr>
              <w:spacing w:after="0"/>
              <w:rPr>
                <w:sz w:val="2"/>
                <w:szCs w:val="2"/>
                <w:color w:val="auto"/>
              </w:rPr>
            </w:pPr>
          </w:p>
        </w:tc>
        <w:tc>
          <w:tcPr>
            <w:tcW w:w="40" w:type="dxa"/>
            <w:vAlign w:val="bottom"/>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240" w:type="dxa"/>
            <w:vAlign w:val="bottom"/>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920" w:type="dxa"/>
            <w:vAlign w:val="bottom"/>
            <w:vMerge w:val="continue"/>
          </w:tcPr>
          <w:p>
            <w:pPr>
              <w:spacing w:after="0"/>
              <w:rPr>
                <w:sz w:val="18"/>
                <w:szCs w:val="18"/>
                <w:color w:val="auto"/>
              </w:rPr>
            </w:pPr>
          </w:p>
        </w:tc>
        <w:tc>
          <w:tcPr>
            <w:tcW w:w="460" w:type="dxa"/>
            <w:vAlign w:val="bottom"/>
            <w:vMerge w:val="continue"/>
          </w:tcPr>
          <w:p>
            <w:pPr>
              <w:spacing w:after="0"/>
              <w:rPr>
                <w:sz w:val="18"/>
                <w:szCs w:val="18"/>
                <w:color w:val="auto"/>
              </w:rPr>
            </w:pPr>
          </w:p>
        </w:tc>
        <w:tc>
          <w:tcPr>
            <w:tcW w:w="522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84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32"/>
              <w:spacing w:after="0"/>
              <w:rPr>
                <w:sz w:val="20"/>
                <w:szCs w:val="20"/>
                <w:color w:val="auto"/>
              </w:rPr>
            </w:pPr>
            <w:r>
              <w:rPr>
                <w:rFonts w:ascii="Arial" w:cs="Arial" w:eastAsia="Arial" w:hAnsi="Arial"/>
                <w:sz w:val="18"/>
                <w:szCs w:val="18"/>
                <w:color w:val="auto"/>
              </w:rPr>
              <w:t>10.4%</w:t>
            </w:r>
          </w:p>
        </w:tc>
        <w:tc>
          <w:tcPr>
            <w:tcW w:w="4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7.2%</w:t>
            </w: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600" w:type="dxa"/>
            <w:vAlign w:val="bottom"/>
            <w:gridSpan w:val="3"/>
            <w:vMerge w:val="restart"/>
          </w:tcPr>
          <w:p>
            <w:pPr>
              <w:spacing w:after="0"/>
              <w:rPr>
                <w:sz w:val="20"/>
                <w:szCs w:val="20"/>
                <w:color w:val="auto"/>
              </w:rPr>
            </w:pPr>
            <w:r>
              <w:rPr>
                <w:rFonts w:ascii="Arial" w:cs="Arial" w:eastAsia="Arial" w:hAnsi="Arial"/>
                <w:sz w:val="18"/>
                <w:szCs w:val="18"/>
                <w:b w:val="1"/>
                <w:bCs w:val="1"/>
                <w:color w:val="auto"/>
              </w:rPr>
              <w:t>Three months ended May 3, 2014 and May 4, 2013</w:t>
            </w:r>
          </w:p>
        </w:tc>
        <w:tc>
          <w:tcPr>
            <w:tcW w:w="84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6600" w:type="dxa"/>
            <w:vAlign w:val="bottom"/>
            <w:gridSpan w:val="3"/>
            <w:vMerge w:val="continue"/>
          </w:tcPr>
          <w:p>
            <w:pPr>
              <w:spacing w:after="0"/>
              <w:rPr>
                <w:sz w:val="24"/>
                <w:szCs w:val="24"/>
                <w:color w:val="auto"/>
              </w:rPr>
            </w:pPr>
          </w:p>
        </w:tc>
        <w:tc>
          <w:tcPr>
            <w:tcW w:w="8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6600" w:type="dxa"/>
            <w:vAlign w:val="bottom"/>
            <w:gridSpan w:val="3"/>
          </w:tcPr>
          <w:p>
            <w:pPr>
              <w:ind w:left="460"/>
              <w:spacing w:after="0"/>
              <w:rPr>
                <w:sz w:val="20"/>
                <w:szCs w:val="20"/>
                <w:color w:val="auto"/>
              </w:rPr>
            </w:pPr>
            <w:r>
              <w:rPr>
                <w:rFonts w:ascii="Arial" w:cs="Arial" w:eastAsia="Arial" w:hAnsi="Arial"/>
                <w:sz w:val="18"/>
                <w:szCs w:val="18"/>
                <w:i w:val="1"/>
                <w:iCs w:val="1"/>
                <w:color w:val="auto"/>
              </w:rPr>
              <w:t>Net Revenue</w:t>
            </w:r>
          </w:p>
        </w:tc>
        <w:tc>
          <w:tcPr>
            <w:tcW w:w="8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9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522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1920" w:type="dxa"/>
            <w:vAlign w:val="bottom"/>
            <w:gridSpan w:val="4"/>
          </w:tcPr>
          <w:p>
            <w:pPr>
              <w:ind w:left="340"/>
              <w:spacing w:after="0"/>
              <w:rPr>
                <w:sz w:val="20"/>
                <w:szCs w:val="20"/>
                <w:color w:val="auto"/>
              </w:rPr>
            </w:pPr>
            <w:r>
              <w:rPr>
                <w:rFonts w:ascii="Arial" w:cs="Arial" w:eastAsia="Arial" w:hAnsi="Arial"/>
                <w:sz w:val="14"/>
                <w:szCs w:val="14"/>
                <w:b w:val="1"/>
                <w:bCs w:val="1"/>
                <w:color w:val="auto"/>
              </w:rPr>
              <w:t>Three Months Ended</w:t>
            </w:r>
          </w:p>
        </w:tc>
        <w:tc>
          <w:tcPr>
            <w:tcW w:w="940" w:type="dxa"/>
            <w:vAlign w:val="bottom"/>
            <w:gridSpan w:val="3"/>
            <w:vMerge w:val="restart"/>
          </w:tcPr>
          <w:p>
            <w:pPr>
              <w:ind w:left="640"/>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9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52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Borders>
              <w:top w:val="single" w:sz="8" w:color="auto"/>
            </w:tcBorders>
          </w:tcPr>
          <w:p>
            <w:pPr>
              <w:ind w:left="140"/>
              <w:spacing w:after="0" w:line="129" w:lineRule="exact"/>
              <w:rPr>
                <w:sz w:val="20"/>
                <w:szCs w:val="20"/>
                <w:color w:val="auto"/>
              </w:rPr>
            </w:pPr>
            <w:r>
              <w:rPr>
                <w:rFonts w:ascii="Arial" w:cs="Arial" w:eastAsia="Arial" w:hAnsi="Arial"/>
                <w:sz w:val="14"/>
                <w:szCs w:val="14"/>
                <w:b w:val="1"/>
                <w:bCs w:val="1"/>
                <w:color w:val="auto"/>
              </w:rPr>
              <w:t>May 3,</w:t>
            </w:r>
          </w:p>
        </w:tc>
        <w:tc>
          <w:tcPr>
            <w:tcW w:w="48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tcPr>
          <w:p>
            <w:pPr>
              <w:jc w:val="right"/>
              <w:ind w:right="72"/>
              <w:spacing w:after="0" w:line="129" w:lineRule="exact"/>
              <w:rPr>
                <w:sz w:val="20"/>
                <w:szCs w:val="20"/>
                <w:color w:val="auto"/>
              </w:rPr>
            </w:pPr>
            <w:r>
              <w:rPr>
                <w:rFonts w:ascii="Arial" w:cs="Arial" w:eastAsia="Arial" w:hAnsi="Arial"/>
                <w:sz w:val="14"/>
                <w:szCs w:val="14"/>
                <w:b w:val="1"/>
                <w:bCs w:val="1"/>
                <w:color w:val="auto"/>
              </w:rPr>
              <w:t>May 4,</w:t>
            </w:r>
          </w:p>
        </w:tc>
        <w:tc>
          <w:tcPr>
            <w:tcW w:w="40" w:type="dxa"/>
            <w:vAlign w:val="bottom"/>
          </w:tcPr>
          <w:p>
            <w:pPr>
              <w:spacing w:after="0"/>
              <w:rPr>
                <w:sz w:val="11"/>
                <w:szCs w:val="11"/>
                <w:color w:val="auto"/>
              </w:rPr>
            </w:pPr>
          </w:p>
        </w:tc>
        <w:tc>
          <w:tcPr>
            <w:tcW w:w="940" w:type="dxa"/>
            <w:vAlign w:val="bottom"/>
            <w:gridSpan w:val="3"/>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9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5220" w:type="dxa"/>
            <w:vAlign w:val="bottom"/>
          </w:tcPr>
          <w:p>
            <w:pPr>
              <w:spacing w:after="0"/>
              <w:rPr>
                <w:sz w:val="14"/>
                <w:szCs w:val="14"/>
                <w:color w:val="auto"/>
              </w:rPr>
            </w:pPr>
          </w:p>
        </w:tc>
        <w:tc>
          <w:tcPr>
            <w:tcW w:w="1600" w:type="dxa"/>
            <w:vAlign w:val="bottom"/>
            <w:gridSpan w:val="2"/>
          </w:tcPr>
          <w:p>
            <w:pPr>
              <w:jc w:val="right"/>
              <w:ind w:right="212"/>
              <w:spacing w:after="0"/>
              <w:rPr>
                <w:sz w:val="20"/>
                <w:szCs w:val="20"/>
                <w:color w:val="auto"/>
              </w:rPr>
            </w:pPr>
            <w:r>
              <w:rPr>
                <w:rFonts w:ascii="Arial" w:cs="Arial" w:eastAsia="Arial" w:hAnsi="Arial"/>
                <w:sz w:val="14"/>
                <w:szCs w:val="14"/>
                <w:b w:val="1"/>
                <w:bCs w:val="1"/>
                <w:color w:val="auto"/>
              </w:rPr>
              <w:t>2014</w:t>
            </w:r>
          </w:p>
        </w:tc>
        <w:tc>
          <w:tcPr>
            <w:tcW w:w="112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2013</w:t>
            </w:r>
          </w:p>
        </w:tc>
        <w:tc>
          <w:tcPr>
            <w:tcW w:w="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640" w:type="dxa"/>
            <w:vAlign w:val="bottom"/>
            <w:gridSpan w:val="3"/>
          </w:tcPr>
          <w:p>
            <w:pPr>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92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52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860" w:type="dxa"/>
            <w:vAlign w:val="bottom"/>
            <w:tcBorders>
              <w:top w:val="single" w:sz="8" w:color="auto"/>
            </w:tcBorders>
            <w:gridSpan w:val="7"/>
          </w:tcPr>
          <w:p>
            <w:pPr>
              <w:ind w:left="48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5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revenue</w:t>
            </w:r>
          </w:p>
        </w:tc>
        <w:tc>
          <w:tcPr>
            <w:tcW w:w="1600" w:type="dxa"/>
            <w:vAlign w:val="bottom"/>
            <w:gridSpan w:val="2"/>
            <w:shd w:val="clear" w:color="auto" w:fill="CCEEFF"/>
          </w:tcPr>
          <w:p>
            <w:pPr>
              <w:jc w:val="right"/>
              <w:ind w:right="12"/>
              <w:spacing w:after="0"/>
              <w:rPr>
                <w:sz w:val="20"/>
                <w:szCs w:val="20"/>
                <w:color w:val="auto"/>
              </w:rPr>
            </w:pPr>
            <w:r>
              <w:rPr>
                <w:rFonts w:ascii="Arial" w:cs="Arial" w:eastAsia="Arial" w:hAnsi="Arial"/>
                <w:sz w:val="18"/>
                <w:szCs w:val="18"/>
                <w:color w:val="auto"/>
              </w:rPr>
              <w:t>$957,830</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$734,369</w:t>
            </w:r>
          </w:p>
        </w:tc>
        <w:tc>
          <w:tcPr>
            <w:tcW w:w="40" w:type="dxa"/>
            <w:vAlign w:val="bottom"/>
            <w:shd w:val="clear" w:color="auto" w:fill="CCEEFF"/>
          </w:tcPr>
          <w:p>
            <w:pPr>
              <w:spacing w:after="0"/>
              <w:rPr>
                <w:sz w:val="18"/>
                <w:szCs w:val="18"/>
                <w:color w:val="auto"/>
              </w:rPr>
            </w:pPr>
          </w:p>
        </w:tc>
        <w:tc>
          <w:tcPr>
            <w:tcW w:w="1140" w:type="dxa"/>
            <w:vAlign w:val="bottom"/>
            <w:gridSpan w:val="4"/>
            <w:shd w:val="clear" w:color="auto" w:fill="CCEEFF"/>
          </w:tcPr>
          <w:p>
            <w:pPr>
              <w:ind w:left="640"/>
              <w:spacing w:after="0"/>
              <w:rPr>
                <w:sz w:val="20"/>
                <w:szCs w:val="20"/>
                <w:color w:val="auto"/>
              </w:rPr>
            </w:pPr>
            <w:r>
              <w:rPr>
                <w:rFonts w:ascii="Arial" w:cs="Arial" w:eastAsia="Arial" w:hAnsi="Arial"/>
                <w:sz w:val="18"/>
                <w:szCs w:val="18"/>
                <w:color w:val="auto"/>
                <w:w w:val="93"/>
              </w:rPr>
              <w:t>30.4%</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Net revenue for the three months ended May 3, 2014 increased by $223.5 million compared to the three months ended May 4, 2013. The increase in net revenue during the three months ended May 3, 2014 was led by sales of our mobile and wireless products where we saw strong growth from multiple Tier-1 customers who have launched their 4G LTE smart phones in China based on our solutions. Sales of our 3G products in the three months ended May 3, 2014 were also higher compared to the three months ended May 4, 2013. In our storage market, we saw higher HDD revenue, which was mostly driven by continued growth for our 500 gigabyte per platter products and increased demand for enterprise drives at a top North America based HDD customer. In addition, revenue for SSD controllers increased significantly compared to the prior year.</w:t>
      </w:r>
    </w:p>
    <w:p>
      <w:pPr>
        <w:spacing w:after="0" w:line="120" w:lineRule="exact"/>
        <w:rPr>
          <w:sz w:val="20"/>
          <w:szCs w:val="20"/>
          <w:color w:val="auto"/>
        </w:rPr>
      </w:pPr>
    </w:p>
    <w:p>
      <w:pPr>
        <w:ind w:right="140" w:firstLine="456"/>
        <w:spacing w:after="0" w:line="332" w:lineRule="auto"/>
        <w:rPr>
          <w:sz w:val="20"/>
          <w:szCs w:val="20"/>
          <w:color w:val="auto"/>
        </w:rPr>
      </w:pPr>
      <w:r>
        <w:rPr>
          <w:rFonts w:ascii="Arial" w:cs="Arial" w:eastAsia="Arial" w:hAnsi="Arial"/>
          <w:sz w:val="16"/>
          <w:szCs w:val="16"/>
          <w:color w:val="auto"/>
        </w:rPr>
        <w:t>We currently expect overall net revenue for the three months ending August 2, 2014 to be in the range of $940 million to $980 million. At the midpoint of this range, we expect revenue from all of our end markets to be relatively flat compared the three months ended May 3, 2014.</w:t>
      </w:r>
    </w:p>
    <w:p>
      <w:pPr>
        <w:spacing w:after="0" w:line="85"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net revenue. We had two end customers who each represented greater than 10% of our total net revenue for the three months ended May 3, 2014 and May 4, 2013, respectively. Net revenue from one of these two customers for the three months ended May 3, 2014 and May 4, 2013 was 19% and 28% of total net revenue, respectively. Net revenue from the other customer for the three months ended May 3, 2014 and May 4, 2013 was 11% of total net revenue for each fiscal year. We also had one distributor who represented 10% of our net revenue for the three months ended May 3, 2014. No distributors accounted for more than 10% of our net revenue for the three months ended May 4, 2013. We expect to continue to experience similar customer concentration in future periods.</w:t>
      </w:r>
    </w:p>
    <w:p>
      <w:pPr>
        <w:spacing w:after="0" w:line="120"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color w:val="auto"/>
        </w:rPr>
        <w:t>Most of our sales are expected to continue to be made to customers located outside of the United States, primarily in Asia. Sales to customers located in Asia represented 95% of our net revenue for the three months ended May 3, 2014 compared to 93% of our net revenue for the three months ended May 4, 2013. Because many manufacturers and manufacturing subcontractors of our customers are located in Asia, we expect that most of our net revenue will continue to be represented by sales to our customers in that region.</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20"/>
          </w:cols>
          <w:pgMar w:left="240" w:top="459" w:right="2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360" w:type="dxa"/>
            <w:vAlign w:val="bottom"/>
          </w:tcPr>
          <w:p>
            <w:pPr>
              <w:spacing w:after="0"/>
              <w:rPr>
                <w:sz w:val="14"/>
                <w:szCs w:val="14"/>
                <w:color w:val="auto"/>
              </w:rPr>
            </w:pPr>
          </w:p>
        </w:tc>
        <w:tc>
          <w:tcPr>
            <w:tcW w:w="2520" w:type="dxa"/>
            <w:vAlign w:val="bottom"/>
            <w:gridSpan w:val="3"/>
          </w:tcPr>
          <w:p>
            <w:pPr>
              <w:jc w:val="right"/>
              <w:ind w:right="920"/>
              <w:spacing w:after="0"/>
              <w:rPr>
                <w:sz w:val="20"/>
                <w:szCs w:val="20"/>
                <w:color w:val="auto"/>
              </w:rPr>
            </w:pPr>
            <w:r>
              <w:rPr>
                <w:rFonts w:ascii="Arial" w:cs="Arial" w:eastAsia="Arial" w:hAnsi="Arial"/>
                <w:sz w:val="14"/>
                <w:szCs w:val="14"/>
                <w:b w:val="1"/>
                <w:bCs w:val="1"/>
                <w:color w:val="auto"/>
              </w:rPr>
              <w:t>Three Months Ended</w:t>
            </w:r>
          </w:p>
        </w:tc>
        <w:tc>
          <w:tcPr>
            <w:tcW w:w="500" w:type="dxa"/>
            <w:vAlign w:val="bottom"/>
            <w:vMerge w:val="restart"/>
          </w:tcPr>
          <w:p>
            <w:pPr>
              <w:ind w:left="200"/>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360" w:type="dxa"/>
            <w:vAlign w:val="bottom"/>
          </w:tcPr>
          <w:p>
            <w:pPr>
              <w:spacing w:after="0"/>
              <w:rPr>
                <w:sz w:val="11"/>
                <w:szCs w:val="11"/>
                <w:color w:val="auto"/>
              </w:rPr>
            </w:pPr>
          </w:p>
        </w:tc>
        <w:tc>
          <w:tcPr>
            <w:tcW w:w="1060" w:type="dxa"/>
            <w:vAlign w:val="bottom"/>
            <w:tcBorders>
              <w:top w:val="single" w:sz="8" w:color="auto"/>
            </w:tcBorders>
          </w:tcPr>
          <w:p>
            <w:pPr>
              <w:jc w:val="right"/>
              <w:ind w:right="446"/>
              <w:spacing w:after="0" w:line="129" w:lineRule="exact"/>
              <w:rPr>
                <w:sz w:val="20"/>
                <w:szCs w:val="20"/>
                <w:color w:val="auto"/>
              </w:rPr>
            </w:pPr>
            <w:r>
              <w:rPr>
                <w:rFonts w:ascii="Arial" w:cs="Arial" w:eastAsia="Arial" w:hAnsi="Arial"/>
                <w:sz w:val="14"/>
                <w:szCs w:val="14"/>
                <w:b w:val="1"/>
                <w:bCs w:val="1"/>
                <w:color w:val="auto"/>
              </w:rPr>
              <w:t>May 3,</w:t>
            </w:r>
          </w:p>
        </w:tc>
        <w:tc>
          <w:tcPr>
            <w:tcW w:w="900" w:type="dxa"/>
            <w:vAlign w:val="bottom"/>
            <w:tcBorders>
              <w:top w:val="single" w:sz="8" w:color="auto"/>
            </w:tcBorders>
          </w:tcPr>
          <w:p>
            <w:pPr>
              <w:jc w:val="right"/>
              <w:ind w:right="62"/>
              <w:spacing w:after="0" w:line="129" w:lineRule="exact"/>
              <w:rPr>
                <w:sz w:val="20"/>
                <w:szCs w:val="20"/>
                <w:color w:val="auto"/>
              </w:rPr>
            </w:pPr>
            <w:r>
              <w:rPr>
                <w:rFonts w:ascii="Arial" w:cs="Arial" w:eastAsia="Arial" w:hAnsi="Arial"/>
                <w:sz w:val="14"/>
                <w:szCs w:val="14"/>
                <w:b w:val="1"/>
                <w:bCs w:val="1"/>
                <w:color w:val="auto"/>
              </w:rPr>
              <w:t>May 4,</w:t>
            </w:r>
          </w:p>
        </w:tc>
        <w:tc>
          <w:tcPr>
            <w:tcW w:w="560" w:type="dxa"/>
            <w:vAlign w:val="bottom"/>
          </w:tcPr>
          <w:p>
            <w:pPr>
              <w:spacing w:after="0"/>
              <w:rPr>
                <w:sz w:val="11"/>
                <w:szCs w:val="11"/>
                <w:color w:val="auto"/>
              </w:rPr>
            </w:pPr>
          </w:p>
        </w:tc>
        <w:tc>
          <w:tcPr>
            <w:tcW w:w="50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360" w:type="dxa"/>
            <w:vAlign w:val="bottom"/>
          </w:tcPr>
          <w:p>
            <w:pPr>
              <w:spacing w:after="0"/>
              <w:rPr>
                <w:sz w:val="14"/>
                <w:szCs w:val="14"/>
                <w:color w:val="auto"/>
              </w:rPr>
            </w:pPr>
          </w:p>
        </w:tc>
        <w:tc>
          <w:tcPr>
            <w:tcW w:w="1060" w:type="dxa"/>
            <w:vAlign w:val="bottom"/>
          </w:tcPr>
          <w:p>
            <w:pPr>
              <w:jc w:val="right"/>
              <w:ind w:right="506"/>
              <w:spacing w:after="0"/>
              <w:rPr>
                <w:sz w:val="20"/>
                <w:szCs w:val="20"/>
                <w:color w:val="auto"/>
              </w:rPr>
            </w:pPr>
            <w:r>
              <w:rPr>
                <w:rFonts w:ascii="Arial" w:cs="Arial" w:eastAsia="Arial" w:hAnsi="Arial"/>
                <w:sz w:val="14"/>
                <w:szCs w:val="14"/>
                <w:b w:val="1"/>
                <w:bCs w:val="1"/>
                <w:color w:val="auto"/>
              </w:rPr>
              <w:t>2014</w:t>
            </w:r>
          </w:p>
        </w:tc>
        <w:tc>
          <w:tcPr>
            <w:tcW w:w="9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2013</w:t>
            </w:r>
          </w:p>
        </w:tc>
        <w:tc>
          <w:tcPr>
            <w:tcW w:w="56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6360" w:type="dxa"/>
            <w:vAlign w:val="bottom"/>
          </w:tcPr>
          <w:p>
            <w:pPr>
              <w:spacing w:after="0"/>
              <w:rPr>
                <w:sz w:val="12"/>
                <w:szCs w:val="12"/>
                <w:color w:val="auto"/>
              </w:rPr>
            </w:pPr>
          </w:p>
        </w:tc>
        <w:tc>
          <w:tcPr>
            <w:tcW w:w="2520" w:type="dxa"/>
            <w:vAlign w:val="bottom"/>
            <w:tcBorders>
              <w:top w:val="single" w:sz="8" w:color="auto"/>
            </w:tcBorders>
            <w:gridSpan w:val="3"/>
          </w:tcPr>
          <w:p>
            <w:pPr>
              <w:jc w:val="right"/>
              <w:ind w:right="4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50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36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060" w:type="dxa"/>
            <w:vAlign w:val="bottom"/>
            <w:shd w:val="clear" w:color="auto" w:fill="CCEEFF"/>
          </w:tcPr>
          <w:p>
            <w:pPr>
              <w:jc w:val="right"/>
              <w:ind w:right="306"/>
              <w:spacing w:after="0"/>
              <w:rPr>
                <w:sz w:val="20"/>
                <w:szCs w:val="20"/>
                <w:color w:val="auto"/>
              </w:rPr>
            </w:pPr>
            <w:r>
              <w:rPr>
                <w:rFonts w:ascii="Arial" w:cs="Arial" w:eastAsia="Arial" w:hAnsi="Arial"/>
                <w:sz w:val="18"/>
                <w:szCs w:val="18"/>
                <w:color w:val="auto"/>
                <w:w w:val="87"/>
              </w:rPr>
              <w:t>$493,860</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$335,438</w:t>
            </w:r>
          </w:p>
        </w:tc>
        <w:tc>
          <w:tcPr>
            <w:tcW w:w="560" w:type="dxa"/>
            <w:vAlign w:val="bottom"/>
            <w:shd w:val="clear" w:color="auto" w:fill="CCEEFF"/>
          </w:tcPr>
          <w:p>
            <w:pPr>
              <w:spacing w:after="0"/>
              <w:rPr>
                <w:sz w:val="18"/>
                <w:szCs w:val="18"/>
                <w:color w:val="auto"/>
              </w:rPr>
            </w:pPr>
          </w:p>
        </w:tc>
        <w:tc>
          <w:tcPr>
            <w:tcW w:w="70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w w:val="93"/>
              </w:rPr>
              <w:t>47.2%</w:t>
            </w:r>
          </w:p>
        </w:tc>
        <w:tc>
          <w:tcPr>
            <w:tcW w:w="0" w:type="dxa"/>
            <w:vAlign w:val="bottom"/>
          </w:tcPr>
          <w:p>
            <w:pPr>
              <w:spacing w:after="0"/>
              <w:rPr>
                <w:sz w:val="1"/>
                <w:szCs w:val="1"/>
                <w:color w:val="auto"/>
              </w:rPr>
            </w:pPr>
          </w:p>
        </w:tc>
      </w:tr>
      <w:tr>
        <w:trPr>
          <w:trHeight w:val="222"/>
        </w:trPr>
        <w:tc>
          <w:tcPr>
            <w:tcW w:w="6360" w:type="dxa"/>
            <w:vAlign w:val="bottom"/>
          </w:tcPr>
          <w:p>
            <w:pPr>
              <w:spacing w:after="0"/>
              <w:rPr>
                <w:sz w:val="20"/>
                <w:szCs w:val="20"/>
                <w:color w:val="auto"/>
              </w:rPr>
            </w:pPr>
            <w:r>
              <w:rPr>
                <w:rFonts w:ascii="Arial" w:cs="Arial" w:eastAsia="Arial" w:hAnsi="Arial"/>
                <w:sz w:val="18"/>
                <w:szCs w:val="18"/>
                <w:color w:val="auto"/>
              </w:rPr>
              <w:t>% of net revenue</w:t>
            </w:r>
          </w:p>
        </w:tc>
        <w:tc>
          <w:tcPr>
            <w:tcW w:w="1060" w:type="dxa"/>
            <w:vAlign w:val="bottom"/>
          </w:tcPr>
          <w:p>
            <w:pPr>
              <w:jc w:val="right"/>
              <w:ind w:right="166"/>
              <w:spacing w:after="0"/>
              <w:rPr>
                <w:sz w:val="20"/>
                <w:szCs w:val="20"/>
                <w:color w:val="auto"/>
              </w:rPr>
            </w:pPr>
            <w:r>
              <w:rPr>
                <w:rFonts w:ascii="Arial" w:cs="Arial" w:eastAsia="Arial" w:hAnsi="Arial"/>
                <w:sz w:val="18"/>
                <w:szCs w:val="18"/>
                <w:color w:val="auto"/>
              </w:rPr>
              <w:t>51.6%</w:t>
            </w:r>
          </w:p>
        </w:tc>
        <w:tc>
          <w:tcPr>
            <w:tcW w:w="1460" w:type="dxa"/>
            <w:vAlign w:val="bottom"/>
            <w:gridSpan w:val="2"/>
          </w:tcPr>
          <w:p>
            <w:pPr>
              <w:jc w:val="right"/>
              <w:ind w:right="400"/>
              <w:spacing w:after="0"/>
              <w:rPr>
                <w:sz w:val="20"/>
                <w:szCs w:val="20"/>
                <w:color w:val="auto"/>
              </w:rPr>
            </w:pPr>
            <w:r>
              <w:rPr>
                <w:rFonts w:ascii="Arial" w:cs="Arial" w:eastAsia="Arial" w:hAnsi="Arial"/>
                <w:sz w:val="18"/>
                <w:szCs w:val="18"/>
                <w:color w:val="auto"/>
              </w:rPr>
              <w:t>45.7%</w:t>
            </w:r>
          </w:p>
        </w:tc>
        <w:tc>
          <w:tcPr>
            <w:tcW w:w="5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Cost of goods sold as a percentage of net revenue was higher for the three months ended May 3, 2014 compared to the three months ended May 4, 2013 due to a shift in the mix of our revenue towards our mobile and wireless products which have a higher average cost of goods sold as a percentage of revenue. In addition, we had higher inventory write-downs and increased royalty expense. Our cost of goods sold as a percentage of net revenue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foundry; assembly and test subcontractors; product warranty costs; changes in commodity prices such as gold; and the margin profiles of our new product introductions.</w:t>
      </w:r>
    </w:p>
    <w:p>
      <w:pPr>
        <w:spacing w:after="0" w:line="118" w:lineRule="exact"/>
        <w:rPr>
          <w:sz w:val="20"/>
          <w:szCs w:val="20"/>
          <w:color w:val="auto"/>
        </w:rPr>
      </w:pPr>
    </w:p>
    <w:p>
      <w:pPr>
        <w:ind w:right="340" w:firstLine="456"/>
        <w:spacing w:after="0" w:line="268" w:lineRule="auto"/>
        <w:rPr>
          <w:sz w:val="20"/>
          <w:szCs w:val="20"/>
          <w:color w:val="auto"/>
        </w:rPr>
      </w:pPr>
      <w:r>
        <w:rPr>
          <w:rFonts w:ascii="Arial" w:cs="Arial" w:eastAsia="Arial" w:hAnsi="Arial"/>
          <w:sz w:val="18"/>
          <w:szCs w:val="18"/>
          <w:color w:val="auto"/>
        </w:rPr>
        <w:t>We currently expect cost of goods sold as a percentage of net revenue for the three months ending August 2, 2014 to be slightly higher compared to the three months ended May 3, 2014.</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Share-Based Compensation Expense</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444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00" w:type="dxa"/>
            <w:vAlign w:val="bottom"/>
            <w:gridSpan w:val="5"/>
          </w:tcPr>
          <w:p>
            <w:pPr>
              <w:ind w:left="80"/>
              <w:spacing w:after="0"/>
              <w:rPr>
                <w:sz w:val="20"/>
                <w:szCs w:val="20"/>
                <w:color w:val="auto"/>
              </w:rPr>
            </w:pPr>
            <w:r>
              <w:rPr>
                <w:rFonts w:ascii="Arial" w:cs="Arial" w:eastAsia="Arial" w:hAnsi="Arial"/>
                <w:sz w:val="14"/>
                <w:szCs w:val="14"/>
                <w:b w:val="1"/>
                <w:bCs w:val="1"/>
                <w:color w:val="auto"/>
              </w:rPr>
              <w:t>Three Months Ended</w:t>
            </w:r>
          </w:p>
        </w:tc>
      </w:tr>
      <w:tr>
        <w:trPr>
          <w:trHeight w:val="129"/>
        </w:trPr>
        <w:tc>
          <w:tcPr>
            <w:tcW w:w="4440" w:type="dxa"/>
            <w:vAlign w:val="bottom"/>
          </w:tcPr>
          <w:p>
            <w:pPr>
              <w:spacing w:after="0"/>
              <w:rPr>
                <w:sz w:val="11"/>
                <w:szCs w:val="11"/>
                <w:color w:val="auto"/>
              </w:rPr>
            </w:pPr>
          </w:p>
        </w:tc>
        <w:tc>
          <w:tcPr>
            <w:tcW w:w="254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480" w:type="dxa"/>
            <w:vAlign w:val="bottom"/>
            <w:tcBorders>
              <w:top w:val="single" w:sz="8" w:color="auto"/>
            </w:tcBorders>
          </w:tcPr>
          <w:p>
            <w:pPr>
              <w:jc w:val="right"/>
              <w:ind w:right="1"/>
              <w:spacing w:after="0" w:line="129" w:lineRule="exact"/>
              <w:rPr>
                <w:sz w:val="20"/>
                <w:szCs w:val="20"/>
                <w:color w:val="auto"/>
              </w:rPr>
            </w:pPr>
            <w:r>
              <w:rPr>
                <w:rFonts w:ascii="Arial" w:cs="Arial" w:eastAsia="Arial" w:hAnsi="Arial"/>
                <w:sz w:val="14"/>
                <w:szCs w:val="14"/>
                <w:b w:val="1"/>
                <w:bCs w:val="1"/>
                <w:color w:val="auto"/>
                <w:w w:val="88"/>
              </w:rPr>
              <w:t>May 3,</w:t>
            </w:r>
          </w:p>
        </w:tc>
        <w:tc>
          <w:tcPr>
            <w:tcW w:w="44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jc w:val="right"/>
              <w:ind w:right="18"/>
              <w:spacing w:after="0" w:line="129" w:lineRule="exact"/>
              <w:rPr>
                <w:sz w:val="20"/>
                <w:szCs w:val="20"/>
                <w:color w:val="auto"/>
              </w:rPr>
            </w:pPr>
            <w:r>
              <w:rPr>
                <w:rFonts w:ascii="Arial" w:cs="Arial" w:eastAsia="Arial" w:hAnsi="Arial"/>
                <w:sz w:val="14"/>
                <w:szCs w:val="14"/>
                <w:b w:val="1"/>
                <w:bCs w:val="1"/>
                <w:color w:val="auto"/>
                <w:w w:val="88"/>
              </w:rPr>
              <w:t>May 4,</w:t>
            </w:r>
          </w:p>
        </w:tc>
        <w:tc>
          <w:tcPr>
            <w:tcW w:w="100" w:type="dxa"/>
            <w:vAlign w:val="bottom"/>
          </w:tcPr>
          <w:p>
            <w:pPr>
              <w:spacing w:after="0"/>
              <w:rPr>
                <w:sz w:val="11"/>
                <w:szCs w:val="11"/>
                <w:color w:val="auto"/>
              </w:rPr>
            </w:pPr>
          </w:p>
        </w:tc>
      </w:tr>
      <w:tr>
        <w:trPr>
          <w:trHeight w:val="161"/>
        </w:trPr>
        <w:tc>
          <w:tcPr>
            <w:tcW w:w="444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81"/>
              <w:spacing w:after="0"/>
              <w:rPr>
                <w:sz w:val="20"/>
                <w:szCs w:val="20"/>
                <w:color w:val="auto"/>
              </w:rPr>
            </w:pPr>
            <w:r>
              <w:rPr>
                <w:rFonts w:ascii="Arial" w:cs="Arial" w:eastAsia="Arial" w:hAnsi="Arial"/>
                <w:sz w:val="14"/>
                <w:szCs w:val="14"/>
                <w:b w:val="1"/>
                <w:bCs w:val="1"/>
                <w:color w:val="auto"/>
                <w:w w:val="96"/>
              </w:rPr>
              <w:t>2014</w:t>
            </w:r>
          </w:p>
        </w:tc>
        <w:tc>
          <w:tcPr>
            <w:tcW w:w="44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8"/>
              <w:spacing w:after="0"/>
              <w:rPr>
                <w:sz w:val="20"/>
                <w:szCs w:val="20"/>
                <w:color w:val="auto"/>
              </w:rPr>
            </w:pPr>
            <w:r>
              <w:rPr>
                <w:rFonts w:ascii="Arial" w:cs="Arial" w:eastAsia="Arial" w:hAnsi="Arial"/>
                <w:sz w:val="14"/>
                <w:szCs w:val="14"/>
                <w:b w:val="1"/>
                <w:bCs w:val="1"/>
                <w:color w:val="auto"/>
              </w:rPr>
              <w:t>2013</w:t>
            </w:r>
          </w:p>
        </w:tc>
        <w:tc>
          <w:tcPr>
            <w:tcW w:w="100" w:type="dxa"/>
            <w:vAlign w:val="bottom"/>
          </w:tcPr>
          <w:p>
            <w:pPr>
              <w:spacing w:after="0"/>
              <w:rPr>
                <w:sz w:val="14"/>
                <w:szCs w:val="14"/>
                <w:color w:val="auto"/>
              </w:rPr>
            </w:pPr>
          </w:p>
        </w:tc>
      </w:tr>
      <w:tr>
        <w:trPr>
          <w:trHeight w:val="142"/>
        </w:trPr>
        <w:tc>
          <w:tcPr>
            <w:tcW w:w="4440" w:type="dxa"/>
            <w:vAlign w:val="bottom"/>
          </w:tcPr>
          <w:p>
            <w:pPr>
              <w:spacing w:after="0"/>
              <w:rPr>
                <w:sz w:val="12"/>
                <w:szCs w:val="12"/>
                <w:color w:val="auto"/>
              </w:rPr>
            </w:pPr>
          </w:p>
        </w:tc>
        <w:tc>
          <w:tcPr>
            <w:tcW w:w="25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500" w:type="dxa"/>
            <w:vAlign w:val="bottom"/>
            <w:gridSpan w:val="4"/>
          </w:tcPr>
          <w:p>
            <w:pPr>
              <w:jc w:val="right"/>
              <w:ind w:right="318"/>
              <w:spacing w:after="0" w:line="142" w:lineRule="exact"/>
              <w:rPr>
                <w:sz w:val="20"/>
                <w:szCs w:val="20"/>
                <w:color w:val="auto"/>
              </w:rPr>
            </w:pPr>
            <w:r>
              <w:rPr>
                <w:rFonts w:ascii="Arial" w:cs="Arial" w:eastAsia="Arial" w:hAnsi="Arial"/>
                <w:sz w:val="14"/>
                <w:szCs w:val="14"/>
                <w:b w:val="1"/>
                <w:bCs w:val="1"/>
                <w:color w:val="auto"/>
              </w:rPr>
              <w:t>(in thousands)</w:t>
            </w:r>
          </w:p>
        </w:tc>
        <w:tc>
          <w:tcPr>
            <w:tcW w:w="100" w:type="dxa"/>
            <w:vAlign w:val="bottom"/>
          </w:tcPr>
          <w:p>
            <w:pPr>
              <w:spacing w:after="0"/>
              <w:rPr>
                <w:sz w:val="12"/>
                <w:szCs w:val="12"/>
                <w:color w:val="auto"/>
              </w:rPr>
            </w:pPr>
          </w:p>
        </w:tc>
      </w:tr>
      <w:tr>
        <w:trPr>
          <w:trHeight w:val="216"/>
        </w:trPr>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26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2,299</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1,867</w:t>
            </w:r>
          </w:p>
        </w:tc>
        <w:tc>
          <w:tcPr>
            <w:tcW w:w="100" w:type="dxa"/>
            <w:vAlign w:val="bottom"/>
            <w:shd w:val="clear" w:color="auto" w:fill="CCEEFF"/>
          </w:tcPr>
          <w:p>
            <w:pPr>
              <w:spacing w:after="0"/>
              <w:rPr>
                <w:sz w:val="18"/>
                <w:szCs w:val="18"/>
                <w:color w:val="auto"/>
              </w:rPr>
            </w:pPr>
          </w:p>
        </w:tc>
      </w:tr>
      <w:tr>
        <w:trPr>
          <w:trHeight w:val="216"/>
        </w:trPr>
        <w:tc>
          <w:tcPr>
            <w:tcW w:w="444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2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20,368</w:t>
            </w: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23,279</w:t>
            </w:r>
          </w:p>
        </w:tc>
        <w:tc>
          <w:tcPr>
            <w:tcW w:w="100" w:type="dxa"/>
            <w:vAlign w:val="bottom"/>
          </w:tcPr>
          <w:p>
            <w:pPr>
              <w:spacing w:after="0"/>
              <w:rPr>
                <w:sz w:val="18"/>
                <w:szCs w:val="18"/>
                <w:color w:val="auto"/>
              </w:rPr>
            </w:pPr>
          </w:p>
        </w:tc>
      </w:tr>
      <w:tr>
        <w:trPr>
          <w:trHeight w:val="216"/>
        </w:trPr>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2,928</w:t>
            </w: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3,392</w:t>
            </w:r>
          </w:p>
        </w:tc>
        <w:tc>
          <w:tcPr>
            <w:tcW w:w="100" w:type="dxa"/>
            <w:vAlign w:val="bottom"/>
            <w:shd w:val="clear" w:color="auto" w:fill="CCEEFF"/>
          </w:tcPr>
          <w:p>
            <w:pPr>
              <w:spacing w:after="0"/>
              <w:rPr>
                <w:sz w:val="18"/>
                <w:szCs w:val="18"/>
                <w:color w:val="auto"/>
              </w:rPr>
            </w:pPr>
          </w:p>
        </w:tc>
      </w:tr>
      <w:tr>
        <w:trPr>
          <w:trHeight w:val="223"/>
        </w:trPr>
        <w:tc>
          <w:tcPr>
            <w:tcW w:w="444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25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4,374</w:t>
            </w:r>
          </w:p>
        </w:tc>
        <w:tc>
          <w:tcPr>
            <w:tcW w:w="4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4,975</w:t>
            </w:r>
          </w:p>
        </w:tc>
        <w:tc>
          <w:tcPr>
            <w:tcW w:w="100" w:type="dxa"/>
            <w:vAlign w:val="bottom"/>
          </w:tcPr>
          <w:p>
            <w:pPr>
              <w:spacing w:after="0"/>
              <w:rPr>
                <w:sz w:val="19"/>
                <w:szCs w:val="19"/>
                <w:color w:val="auto"/>
              </w:rPr>
            </w:pPr>
          </w:p>
        </w:tc>
      </w:tr>
      <w:tr>
        <w:trPr>
          <w:trHeight w:val="216"/>
        </w:trPr>
        <w:tc>
          <w:tcPr>
            <w:tcW w:w="4440" w:type="dxa"/>
            <w:vAlign w:val="bottom"/>
            <w:shd w:val="clear" w:color="auto" w:fill="CCEEFF"/>
          </w:tcPr>
          <w:p>
            <w:pPr>
              <w:spacing w:after="0"/>
              <w:rPr>
                <w:sz w:val="18"/>
                <w:szCs w:val="18"/>
                <w:color w:val="auto"/>
              </w:rPr>
            </w:pPr>
          </w:p>
        </w:tc>
        <w:tc>
          <w:tcPr>
            <w:tcW w:w="26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29,969</w:t>
            </w:r>
          </w:p>
        </w:tc>
        <w:tc>
          <w:tcPr>
            <w:tcW w:w="5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33,513</w:t>
            </w:r>
          </w:p>
        </w:tc>
        <w:tc>
          <w:tcPr>
            <w:tcW w:w="100" w:type="dxa"/>
            <w:vAlign w:val="bottom"/>
            <w:shd w:val="clear" w:color="auto" w:fill="CCEEFF"/>
          </w:tcPr>
          <w:p>
            <w:pPr>
              <w:spacing w:after="0"/>
              <w:rPr>
                <w:sz w:val="18"/>
                <w:szCs w:val="18"/>
                <w:color w:val="auto"/>
              </w:rPr>
            </w:pPr>
          </w:p>
        </w:tc>
      </w:tr>
      <w:tr>
        <w:trPr>
          <w:trHeight w:val="20"/>
        </w:trPr>
        <w:tc>
          <w:tcPr>
            <w:tcW w:w="4440" w:type="dxa"/>
            <w:vAlign w:val="bottom"/>
          </w:tcPr>
          <w:p>
            <w:pPr>
              <w:spacing w:after="0" w:line="20" w:lineRule="exact"/>
              <w:rPr>
                <w:sz w:val="1"/>
                <w:szCs w:val="1"/>
                <w:color w:val="auto"/>
              </w:rPr>
            </w:pPr>
          </w:p>
        </w:tc>
        <w:tc>
          <w:tcPr>
            <w:tcW w:w="2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80" w:firstLine="456"/>
        <w:spacing w:after="0" w:line="306" w:lineRule="auto"/>
        <w:rPr>
          <w:sz w:val="20"/>
          <w:szCs w:val="20"/>
          <w:color w:val="auto"/>
        </w:rPr>
      </w:pPr>
      <w:r>
        <w:rPr>
          <w:rFonts w:ascii="Arial" w:cs="Arial" w:eastAsia="Arial" w:hAnsi="Arial"/>
          <w:sz w:val="16"/>
          <w:szCs w:val="16"/>
          <w:color w:val="auto"/>
        </w:rPr>
        <w:t>Share-based compensation expense decreased by $3.5 million for the three months ended May 3, 2014 compared to the three months ended May 4, 2013. The decrease was primarily due to the reversal of previously recognized expense associated with unvested equity awards that were cancelled as a result of the resignation in February 2014 of our Chief Technology Officer, combined with lower expense related to the employee stock purchase plan.</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240" w:type="dxa"/>
            <w:vAlign w:val="bottom"/>
          </w:tcPr>
          <w:p>
            <w:pPr>
              <w:spacing w:after="0"/>
              <w:rPr>
                <w:sz w:val="14"/>
                <w:szCs w:val="14"/>
                <w:color w:val="auto"/>
              </w:rPr>
            </w:pPr>
          </w:p>
        </w:tc>
        <w:tc>
          <w:tcPr>
            <w:tcW w:w="2600" w:type="dxa"/>
            <w:vAlign w:val="bottom"/>
            <w:gridSpan w:val="3"/>
          </w:tcPr>
          <w:p>
            <w:pPr>
              <w:jc w:val="right"/>
              <w:ind w:right="980"/>
              <w:spacing w:after="0"/>
              <w:rPr>
                <w:sz w:val="20"/>
                <w:szCs w:val="20"/>
                <w:color w:val="auto"/>
              </w:rPr>
            </w:pPr>
            <w:r>
              <w:rPr>
                <w:rFonts w:ascii="Arial" w:cs="Arial" w:eastAsia="Arial" w:hAnsi="Arial"/>
                <w:sz w:val="14"/>
                <w:szCs w:val="14"/>
                <w:b w:val="1"/>
                <w:bCs w:val="1"/>
                <w:color w:val="auto"/>
              </w:rPr>
              <w:t>Three Months Ended</w:t>
            </w:r>
          </w:p>
        </w:tc>
        <w:tc>
          <w:tcPr>
            <w:tcW w:w="5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240" w:type="dxa"/>
            <w:vAlign w:val="bottom"/>
          </w:tcPr>
          <w:p>
            <w:pPr>
              <w:spacing w:after="0"/>
              <w:rPr>
                <w:sz w:val="11"/>
                <w:szCs w:val="11"/>
                <w:color w:val="auto"/>
              </w:rPr>
            </w:pPr>
          </w:p>
        </w:tc>
        <w:tc>
          <w:tcPr>
            <w:tcW w:w="1080" w:type="dxa"/>
            <w:vAlign w:val="bottom"/>
            <w:tcBorders>
              <w:top w:val="single" w:sz="8" w:color="auto"/>
            </w:tcBorders>
          </w:tcPr>
          <w:p>
            <w:pPr>
              <w:jc w:val="right"/>
              <w:ind w:right="486"/>
              <w:spacing w:after="0" w:line="129" w:lineRule="exact"/>
              <w:rPr>
                <w:sz w:val="20"/>
                <w:szCs w:val="20"/>
                <w:color w:val="auto"/>
              </w:rPr>
            </w:pPr>
            <w:r>
              <w:rPr>
                <w:rFonts w:ascii="Arial" w:cs="Arial" w:eastAsia="Arial" w:hAnsi="Arial"/>
                <w:sz w:val="14"/>
                <w:szCs w:val="14"/>
                <w:b w:val="1"/>
                <w:bCs w:val="1"/>
                <w:color w:val="auto"/>
              </w:rPr>
              <w:t>May 3,</w:t>
            </w:r>
          </w:p>
        </w:tc>
        <w:tc>
          <w:tcPr>
            <w:tcW w:w="940" w:type="dxa"/>
            <w:vAlign w:val="bottom"/>
            <w:tcBorders>
              <w:top w:val="single" w:sz="8" w:color="auto"/>
            </w:tcBorders>
          </w:tcPr>
          <w:p>
            <w:pPr>
              <w:jc w:val="right"/>
              <w:ind w:right="62"/>
              <w:spacing w:after="0" w:line="129" w:lineRule="exact"/>
              <w:rPr>
                <w:sz w:val="20"/>
                <w:szCs w:val="20"/>
                <w:color w:val="auto"/>
              </w:rPr>
            </w:pPr>
            <w:r>
              <w:rPr>
                <w:rFonts w:ascii="Arial" w:cs="Arial" w:eastAsia="Arial" w:hAnsi="Arial"/>
                <w:sz w:val="14"/>
                <w:szCs w:val="14"/>
                <w:b w:val="1"/>
                <w:bCs w:val="1"/>
                <w:color w:val="auto"/>
              </w:rPr>
              <w:t>May 4,</w:t>
            </w:r>
          </w:p>
        </w:tc>
        <w:tc>
          <w:tcPr>
            <w:tcW w:w="580" w:type="dxa"/>
            <w:vAlign w:val="bottom"/>
          </w:tcPr>
          <w:p>
            <w:pPr>
              <w:spacing w:after="0"/>
              <w:rPr>
                <w:sz w:val="11"/>
                <w:szCs w:val="11"/>
                <w:color w:val="auto"/>
              </w:rPr>
            </w:pPr>
          </w:p>
        </w:tc>
        <w:tc>
          <w:tcPr>
            <w:tcW w:w="54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240" w:type="dxa"/>
            <w:vAlign w:val="bottom"/>
          </w:tcPr>
          <w:p>
            <w:pPr>
              <w:spacing w:after="0"/>
              <w:rPr>
                <w:sz w:val="14"/>
                <w:szCs w:val="14"/>
                <w:color w:val="auto"/>
              </w:rPr>
            </w:pPr>
          </w:p>
        </w:tc>
        <w:tc>
          <w:tcPr>
            <w:tcW w:w="1080" w:type="dxa"/>
            <w:vAlign w:val="bottom"/>
          </w:tcPr>
          <w:p>
            <w:pPr>
              <w:jc w:val="right"/>
              <w:ind w:right="546"/>
              <w:spacing w:after="0"/>
              <w:rPr>
                <w:sz w:val="20"/>
                <w:szCs w:val="20"/>
                <w:color w:val="auto"/>
              </w:rPr>
            </w:pPr>
            <w:r>
              <w:rPr>
                <w:rFonts w:ascii="Arial" w:cs="Arial" w:eastAsia="Arial" w:hAnsi="Arial"/>
                <w:sz w:val="14"/>
                <w:szCs w:val="14"/>
                <w:b w:val="1"/>
                <w:bCs w:val="1"/>
                <w:color w:val="auto"/>
              </w:rPr>
              <w:t>2014</w:t>
            </w:r>
          </w:p>
        </w:tc>
        <w:tc>
          <w:tcPr>
            <w:tcW w:w="940" w:type="dxa"/>
            <w:vAlign w:val="bottom"/>
          </w:tcPr>
          <w:p>
            <w:pPr>
              <w:jc w:val="right"/>
              <w:ind w:right="122"/>
              <w:spacing w:after="0"/>
              <w:rPr>
                <w:sz w:val="20"/>
                <w:szCs w:val="20"/>
                <w:color w:val="auto"/>
              </w:rPr>
            </w:pPr>
            <w:r>
              <w:rPr>
                <w:rFonts w:ascii="Arial" w:cs="Arial" w:eastAsia="Arial" w:hAnsi="Arial"/>
                <w:sz w:val="14"/>
                <w:szCs w:val="14"/>
                <w:b w:val="1"/>
                <w:bCs w:val="1"/>
                <w:color w:val="auto"/>
              </w:rPr>
              <w:t>2013</w:t>
            </w:r>
          </w:p>
        </w:tc>
        <w:tc>
          <w:tcPr>
            <w:tcW w:w="580" w:type="dxa"/>
            <w:vAlign w:val="bottom"/>
          </w:tcPr>
          <w:p>
            <w:pPr>
              <w:spacing w:after="0"/>
              <w:rPr>
                <w:sz w:val="14"/>
                <w:szCs w:val="14"/>
                <w:color w:val="auto"/>
              </w:rPr>
            </w:pPr>
          </w:p>
        </w:tc>
        <w:tc>
          <w:tcPr>
            <w:tcW w:w="74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6240" w:type="dxa"/>
            <w:vAlign w:val="bottom"/>
          </w:tcPr>
          <w:p>
            <w:pPr>
              <w:spacing w:after="0"/>
              <w:rPr>
                <w:sz w:val="12"/>
                <w:szCs w:val="12"/>
                <w:color w:val="auto"/>
              </w:rPr>
            </w:pPr>
          </w:p>
        </w:tc>
        <w:tc>
          <w:tcPr>
            <w:tcW w:w="2600" w:type="dxa"/>
            <w:vAlign w:val="bottom"/>
            <w:tcBorders>
              <w:top w:val="single" w:sz="8" w:color="auto"/>
            </w:tcBorders>
            <w:gridSpan w:val="3"/>
          </w:tcPr>
          <w:p>
            <w:pPr>
              <w:jc w:val="right"/>
              <w:ind w:right="8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54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24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1080" w:type="dxa"/>
            <w:vAlign w:val="bottom"/>
            <w:shd w:val="clear" w:color="auto" w:fill="CCEEFF"/>
          </w:tcPr>
          <w:p>
            <w:pPr>
              <w:jc w:val="right"/>
              <w:ind w:right="346"/>
              <w:spacing w:after="0"/>
              <w:rPr>
                <w:sz w:val="20"/>
                <w:szCs w:val="20"/>
                <w:color w:val="auto"/>
              </w:rPr>
            </w:pPr>
            <w:r>
              <w:rPr>
                <w:rFonts w:ascii="Arial" w:cs="Arial" w:eastAsia="Arial" w:hAnsi="Arial"/>
                <w:sz w:val="18"/>
                <w:szCs w:val="18"/>
                <w:color w:val="auto"/>
                <w:w w:val="85"/>
              </w:rPr>
              <w:t>$295,363</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$279,052</w:t>
            </w:r>
          </w:p>
        </w:tc>
        <w:tc>
          <w:tcPr>
            <w:tcW w:w="58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5.8%</w:t>
            </w:r>
          </w:p>
        </w:tc>
        <w:tc>
          <w:tcPr>
            <w:tcW w:w="0" w:type="dxa"/>
            <w:vAlign w:val="bottom"/>
          </w:tcPr>
          <w:p>
            <w:pPr>
              <w:spacing w:after="0"/>
              <w:rPr>
                <w:sz w:val="1"/>
                <w:szCs w:val="1"/>
                <w:color w:val="auto"/>
              </w:rPr>
            </w:pPr>
          </w:p>
        </w:tc>
      </w:tr>
      <w:tr>
        <w:trPr>
          <w:trHeight w:val="222"/>
        </w:trPr>
        <w:tc>
          <w:tcPr>
            <w:tcW w:w="6240" w:type="dxa"/>
            <w:vAlign w:val="bottom"/>
          </w:tcPr>
          <w:p>
            <w:pPr>
              <w:spacing w:after="0"/>
              <w:rPr>
                <w:sz w:val="20"/>
                <w:szCs w:val="20"/>
                <w:color w:val="auto"/>
              </w:rPr>
            </w:pPr>
            <w:r>
              <w:rPr>
                <w:rFonts w:ascii="Arial" w:cs="Arial" w:eastAsia="Arial" w:hAnsi="Arial"/>
                <w:sz w:val="18"/>
                <w:szCs w:val="18"/>
                <w:color w:val="auto"/>
              </w:rPr>
              <w:t>% of net revenue</w:t>
            </w:r>
          </w:p>
        </w:tc>
        <w:tc>
          <w:tcPr>
            <w:tcW w:w="1080" w:type="dxa"/>
            <w:vAlign w:val="bottom"/>
          </w:tcPr>
          <w:p>
            <w:pPr>
              <w:jc w:val="right"/>
              <w:ind w:right="186"/>
              <w:spacing w:after="0"/>
              <w:rPr>
                <w:sz w:val="20"/>
                <w:szCs w:val="20"/>
                <w:color w:val="auto"/>
              </w:rPr>
            </w:pPr>
            <w:r>
              <w:rPr>
                <w:rFonts w:ascii="Arial" w:cs="Arial" w:eastAsia="Arial" w:hAnsi="Arial"/>
                <w:sz w:val="18"/>
                <w:szCs w:val="18"/>
                <w:color w:val="auto"/>
              </w:rPr>
              <w:t>30.8%</w:t>
            </w:r>
          </w:p>
        </w:tc>
        <w:tc>
          <w:tcPr>
            <w:tcW w:w="1520" w:type="dxa"/>
            <w:vAlign w:val="bottom"/>
            <w:gridSpan w:val="2"/>
          </w:tcPr>
          <w:p>
            <w:pPr>
              <w:jc w:val="right"/>
              <w:ind w:right="440"/>
              <w:spacing w:after="0"/>
              <w:rPr>
                <w:sz w:val="20"/>
                <w:szCs w:val="20"/>
                <w:color w:val="auto"/>
              </w:rPr>
            </w:pPr>
            <w:r>
              <w:rPr>
                <w:rFonts w:ascii="Arial" w:cs="Arial" w:eastAsia="Arial" w:hAnsi="Arial"/>
                <w:sz w:val="18"/>
                <w:szCs w:val="18"/>
                <w:color w:val="auto"/>
              </w:rPr>
              <w:t>38.0%</w:t>
            </w:r>
          </w:p>
        </w:tc>
        <w:tc>
          <w:tcPr>
            <w:tcW w:w="5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60" w:firstLine="456"/>
        <w:spacing w:after="0" w:line="318" w:lineRule="auto"/>
        <w:rPr>
          <w:sz w:val="20"/>
          <w:szCs w:val="20"/>
          <w:color w:val="auto"/>
        </w:rPr>
      </w:pPr>
      <w:r>
        <w:rPr>
          <w:rFonts w:ascii="Arial" w:cs="Arial" w:eastAsia="Arial" w:hAnsi="Arial"/>
          <w:sz w:val="15"/>
          <w:szCs w:val="15"/>
          <w:color w:val="auto"/>
        </w:rPr>
        <w:t>Research and development expense increased by $16.3 million for the three months ended May 3, 2014 compared to the three months ended May 4, 2013. This increase was primarily attributable to $22.7 million of higher personnel-related costs associated with new employees hired during the quarter to support new designs and an increase in average employee compensation. In addition, there was $4.7 million of restructuring and other exit-related costs included in research and development expenses, which is further described in the restructuring section of Management’s Discussion and Analysis of Financial Condition and Results of Operations. These increases were offset by $14.9 million of higher reimbursements for non-recurring engineering services from our customers.</w:t>
      </w:r>
    </w:p>
    <w:p>
      <w:pPr>
        <w:spacing w:after="0" w:line="18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3140" w:type="dxa"/>
            <w:vAlign w:val="bottom"/>
          </w:tcPr>
          <w:p>
            <w:pPr>
              <w:spacing w:after="0"/>
              <w:rPr>
                <w:sz w:val="14"/>
                <w:szCs w:val="14"/>
                <w:color w:val="auto"/>
              </w:rPr>
            </w:pPr>
          </w:p>
        </w:tc>
        <w:tc>
          <w:tcPr>
            <w:tcW w:w="3220" w:type="dxa"/>
            <w:vAlign w:val="bottom"/>
          </w:tcPr>
          <w:p>
            <w:pPr>
              <w:spacing w:after="0"/>
              <w:rPr>
                <w:sz w:val="14"/>
                <w:szCs w:val="14"/>
                <w:color w:val="auto"/>
              </w:rPr>
            </w:pPr>
          </w:p>
        </w:tc>
        <w:tc>
          <w:tcPr>
            <w:tcW w:w="2480" w:type="dxa"/>
            <w:vAlign w:val="bottom"/>
            <w:gridSpan w:val="3"/>
          </w:tcPr>
          <w:p>
            <w:pPr>
              <w:jc w:val="right"/>
              <w:ind w:right="940"/>
              <w:spacing w:after="0"/>
              <w:rPr>
                <w:sz w:val="20"/>
                <w:szCs w:val="20"/>
                <w:color w:val="auto"/>
              </w:rPr>
            </w:pPr>
            <w:r>
              <w:rPr>
                <w:rFonts w:ascii="Arial" w:cs="Arial" w:eastAsia="Arial" w:hAnsi="Arial"/>
                <w:sz w:val="14"/>
                <w:szCs w:val="14"/>
                <w:b w:val="1"/>
                <w:bCs w:val="1"/>
                <w:color w:val="auto"/>
              </w:rPr>
              <w:t>Three Months Ended</w:t>
            </w:r>
          </w:p>
        </w:tc>
        <w:tc>
          <w:tcPr>
            <w:tcW w:w="480" w:type="dxa"/>
            <w:vAlign w:val="bottom"/>
            <w:vMerge w:val="restart"/>
          </w:tcPr>
          <w:p>
            <w:pPr>
              <w:ind w:left="200"/>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140" w:type="dxa"/>
            <w:vAlign w:val="bottom"/>
          </w:tcPr>
          <w:p>
            <w:pPr>
              <w:spacing w:after="0"/>
              <w:rPr>
                <w:sz w:val="11"/>
                <w:szCs w:val="11"/>
                <w:color w:val="auto"/>
              </w:rPr>
            </w:pPr>
          </w:p>
        </w:tc>
        <w:tc>
          <w:tcPr>
            <w:tcW w:w="3220" w:type="dxa"/>
            <w:vAlign w:val="bottom"/>
          </w:tcPr>
          <w:p>
            <w:pPr>
              <w:spacing w:after="0"/>
              <w:rPr>
                <w:sz w:val="11"/>
                <w:szCs w:val="11"/>
                <w:color w:val="auto"/>
              </w:rPr>
            </w:pPr>
          </w:p>
        </w:tc>
        <w:tc>
          <w:tcPr>
            <w:tcW w:w="1000" w:type="dxa"/>
            <w:vAlign w:val="bottom"/>
            <w:tcBorders>
              <w:top w:val="single" w:sz="8" w:color="auto"/>
            </w:tcBorders>
          </w:tcPr>
          <w:p>
            <w:pPr>
              <w:jc w:val="right"/>
              <w:ind w:right="432"/>
              <w:spacing w:after="0" w:line="129" w:lineRule="exact"/>
              <w:rPr>
                <w:sz w:val="20"/>
                <w:szCs w:val="20"/>
                <w:color w:val="auto"/>
              </w:rPr>
            </w:pPr>
            <w:r>
              <w:rPr>
                <w:rFonts w:ascii="Arial" w:cs="Arial" w:eastAsia="Arial" w:hAnsi="Arial"/>
                <w:sz w:val="14"/>
                <w:szCs w:val="14"/>
                <w:b w:val="1"/>
                <w:bCs w:val="1"/>
                <w:color w:val="auto"/>
              </w:rPr>
              <w:t>May 3,</w:t>
            </w:r>
          </w:p>
        </w:tc>
        <w:tc>
          <w:tcPr>
            <w:tcW w:w="840" w:type="dxa"/>
            <w:vAlign w:val="bottom"/>
            <w:tcBorders>
              <w:top w:val="single" w:sz="8" w:color="auto"/>
            </w:tcBorders>
          </w:tcPr>
          <w:p>
            <w:pPr>
              <w:jc w:val="right"/>
              <w:ind w:right="2"/>
              <w:spacing w:after="0" w:line="129" w:lineRule="exact"/>
              <w:rPr>
                <w:sz w:val="20"/>
                <w:szCs w:val="20"/>
                <w:color w:val="auto"/>
              </w:rPr>
            </w:pPr>
            <w:r>
              <w:rPr>
                <w:rFonts w:ascii="Arial" w:cs="Arial" w:eastAsia="Arial" w:hAnsi="Arial"/>
                <w:sz w:val="14"/>
                <w:szCs w:val="14"/>
                <w:b w:val="1"/>
                <w:bCs w:val="1"/>
                <w:color w:val="auto"/>
              </w:rPr>
              <w:t>May 4,</w:t>
            </w:r>
          </w:p>
        </w:tc>
        <w:tc>
          <w:tcPr>
            <w:tcW w:w="640" w:type="dxa"/>
            <w:vAlign w:val="bottom"/>
          </w:tcPr>
          <w:p>
            <w:pPr>
              <w:spacing w:after="0"/>
              <w:rPr>
                <w:sz w:val="11"/>
                <w:szCs w:val="11"/>
                <w:color w:val="auto"/>
              </w:rPr>
            </w:pPr>
          </w:p>
        </w:tc>
        <w:tc>
          <w:tcPr>
            <w:tcW w:w="48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140" w:type="dxa"/>
            <w:vAlign w:val="bottom"/>
          </w:tcPr>
          <w:p>
            <w:pPr>
              <w:spacing w:after="0"/>
              <w:rPr>
                <w:sz w:val="14"/>
                <w:szCs w:val="14"/>
                <w:color w:val="auto"/>
              </w:rPr>
            </w:pPr>
          </w:p>
        </w:tc>
        <w:tc>
          <w:tcPr>
            <w:tcW w:w="4220" w:type="dxa"/>
            <w:vAlign w:val="bottom"/>
            <w:gridSpan w:val="2"/>
          </w:tcPr>
          <w:p>
            <w:pPr>
              <w:jc w:val="right"/>
              <w:ind w:right="492"/>
              <w:spacing w:after="0"/>
              <w:rPr>
                <w:sz w:val="20"/>
                <w:szCs w:val="20"/>
                <w:color w:val="auto"/>
              </w:rPr>
            </w:pPr>
            <w:r>
              <w:rPr>
                <w:rFonts w:ascii="Arial" w:cs="Arial" w:eastAsia="Arial" w:hAnsi="Arial"/>
                <w:sz w:val="14"/>
                <w:szCs w:val="14"/>
                <w:b w:val="1"/>
                <w:bCs w:val="1"/>
                <w:color w:val="auto"/>
              </w:rPr>
              <w:t>2014</w:t>
            </w:r>
          </w:p>
        </w:tc>
        <w:tc>
          <w:tcPr>
            <w:tcW w:w="840" w:type="dxa"/>
            <w:vAlign w:val="bottom"/>
          </w:tcPr>
          <w:p>
            <w:pPr>
              <w:jc w:val="right"/>
              <w:ind w:right="82"/>
              <w:spacing w:after="0"/>
              <w:rPr>
                <w:sz w:val="20"/>
                <w:szCs w:val="20"/>
                <w:color w:val="auto"/>
              </w:rPr>
            </w:pPr>
            <w:r>
              <w:rPr>
                <w:rFonts w:ascii="Arial" w:cs="Arial" w:eastAsia="Arial" w:hAnsi="Arial"/>
                <w:sz w:val="14"/>
                <w:szCs w:val="14"/>
                <w:b w:val="1"/>
                <w:bCs w:val="1"/>
                <w:color w:val="auto"/>
              </w:rPr>
              <w:t>2013</w:t>
            </w:r>
          </w:p>
        </w:tc>
        <w:tc>
          <w:tcPr>
            <w:tcW w:w="640" w:type="dxa"/>
            <w:vAlign w:val="bottom"/>
          </w:tcPr>
          <w:p>
            <w:pPr>
              <w:spacing w:after="0"/>
              <w:rPr>
                <w:sz w:val="14"/>
                <w:szCs w:val="14"/>
                <w:color w:val="auto"/>
              </w:rPr>
            </w:pPr>
          </w:p>
        </w:tc>
        <w:tc>
          <w:tcPr>
            <w:tcW w:w="740" w:type="dxa"/>
            <w:vAlign w:val="bottom"/>
            <w:gridSpan w:val="2"/>
          </w:tcPr>
          <w:p>
            <w:pPr>
              <w:ind w:left="4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3140" w:type="dxa"/>
            <w:vAlign w:val="bottom"/>
          </w:tcPr>
          <w:p>
            <w:pPr>
              <w:spacing w:after="0"/>
              <w:rPr>
                <w:sz w:val="12"/>
                <w:szCs w:val="12"/>
                <w:color w:val="auto"/>
              </w:rPr>
            </w:pPr>
          </w:p>
        </w:tc>
        <w:tc>
          <w:tcPr>
            <w:tcW w:w="3220" w:type="dxa"/>
            <w:vAlign w:val="bottom"/>
          </w:tcPr>
          <w:p>
            <w:pPr>
              <w:spacing w:after="0"/>
              <w:rPr>
                <w:sz w:val="12"/>
                <w:szCs w:val="12"/>
                <w:color w:val="auto"/>
              </w:rPr>
            </w:pPr>
          </w:p>
        </w:tc>
        <w:tc>
          <w:tcPr>
            <w:tcW w:w="2480" w:type="dxa"/>
            <w:vAlign w:val="bottom"/>
            <w:tcBorders>
              <w:top w:val="single" w:sz="8" w:color="auto"/>
            </w:tcBorders>
            <w:gridSpan w:val="3"/>
          </w:tcPr>
          <w:p>
            <w:pPr>
              <w:jc w:val="right"/>
              <w:ind w:right="4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48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14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4220" w:type="dxa"/>
            <w:vAlign w:val="bottom"/>
            <w:gridSpan w:val="2"/>
            <w:shd w:val="clear" w:color="auto" w:fill="CCEEFF"/>
          </w:tcPr>
          <w:p>
            <w:pPr>
              <w:jc w:val="right"/>
              <w:ind w:right="352"/>
              <w:spacing w:after="0"/>
              <w:rPr>
                <w:sz w:val="20"/>
                <w:szCs w:val="20"/>
                <w:color w:val="auto"/>
              </w:rPr>
            </w:pPr>
            <w:r>
              <w:rPr>
                <w:rFonts w:ascii="Arial" w:cs="Arial" w:eastAsia="Arial" w:hAnsi="Arial"/>
                <w:sz w:val="18"/>
                <w:szCs w:val="18"/>
                <w:color w:val="auto"/>
              </w:rPr>
              <w:t>$38,358</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$39,989</w:t>
            </w:r>
          </w:p>
        </w:tc>
        <w:tc>
          <w:tcPr>
            <w:tcW w:w="6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w w:val="98"/>
              </w:rPr>
              <w:t>(4.1)%</w:t>
            </w:r>
          </w:p>
        </w:tc>
        <w:tc>
          <w:tcPr>
            <w:tcW w:w="0" w:type="dxa"/>
            <w:vAlign w:val="bottom"/>
          </w:tcPr>
          <w:p>
            <w:pPr>
              <w:spacing w:after="0"/>
              <w:rPr>
                <w:sz w:val="1"/>
                <w:szCs w:val="1"/>
                <w:color w:val="auto"/>
              </w:rPr>
            </w:pPr>
          </w:p>
        </w:tc>
      </w:tr>
      <w:tr>
        <w:trPr>
          <w:trHeight w:val="222"/>
        </w:trPr>
        <w:tc>
          <w:tcPr>
            <w:tcW w:w="3140" w:type="dxa"/>
            <w:vAlign w:val="bottom"/>
          </w:tcPr>
          <w:p>
            <w:pPr>
              <w:spacing w:after="0"/>
              <w:rPr>
                <w:sz w:val="20"/>
                <w:szCs w:val="20"/>
                <w:color w:val="auto"/>
              </w:rPr>
            </w:pPr>
            <w:r>
              <w:rPr>
                <w:rFonts w:ascii="Arial" w:cs="Arial" w:eastAsia="Arial" w:hAnsi="Arial"/>
                <w:sz w:val="18"/>
                <w:szCs w:val="18"/>
                <w:color w:val="auto"/>
              </w:rPr>
              <w:t>% of net revenue</w:t>
            </w:r>
          </w:p>
        </w:tc>
        <w:tc>
          <w:tcPr>
            <w:tcW w:w="4220" w:type="dxa"/>
            <w:vAlign w:val="bottom"/>
            <w:gridSpan w:val="2"/>
          </w:tcPr>
          <w:p>
            <w:pPr>
              <w:jc w:val="right"/>
              <w:ind w:right="192"/>
              <w:spacing w:after="0"/>
              <w:rPr>
                <w:sz w:val="20"/>
                <w:szCs w:val="20"/>
                <w:color w:val="auto"/>
              </w:rPr>
            </w:pPr>
            <w:r>
              <w:rPr>
                <w:rFonts w:ascii="Arial" w:cs="Arial" w:eastAsia="Arial" w:hAnsi="Arial"/>
                <w:sz w:val="18"/>
                <w:szCs w:val="18"/>
                <w:color w:val="auto"/>
              </w:rPr>
              <w:t>4.0%</w:t>
            </w:r>
          </w:p>
        </w:tc>
        <w:tc>
          <w:tcPr>
            <w:tcW w:w="1480" w:type="dxa"/>
            <w:vAlign w:val="bottom"/>
            <w:gridSpan w:val="2"/>
          </w:tcPr>
          <w:p>
            <w:pPr>
              <w:jc w:val="right"/>
              <w:ind w:right="480"/>
              <w:spacing w:after="0"/>
              <w:rPr>
                <w:sz w:val="20"/>
                <w:szCs w:val="20"/>
                <w:color w:val="auto"/>
              </w:rPr>
            </w:pPr>
            <w:r>
              <w:rPr>
                <w:rFonts w:ascii="Arial" w:cs="Arial" w:eastAsia="Arial" w:hAnsi="Arial"/>
                <w:sz w:val="18"/>
                <w:szCs w:val="18"/>
                <w:color w:val="auto"/>
              </w:rPr>
              <w:t>5.4%</w:t>
            </w:r>
          </w:p>
        </w:tc>
        <w:tc>
          <w:tcPr>
            <w:tcW w:w="4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6"/>
        </w:trPr>
        <w:tc>
          <w:tcPr>
            <w:tcW w:w="3140" w:type="dxa"/>
            <w:vAlign w:val="bottom"/>
          </w:tcPr>
          <w:p>
            <w:pPr>
              <w:spacing w:after="0"/>
              <w:rPr>
                <w:sz w:val="24"/>
                <w:szCs w:val="24"/>
                <w:color w:val="auto"/>
              </w:rPr>
            </w:pPr>
          </w:p>
        </w:tc>
        <w:tc>
          <w:tcPr>
            <w:tcW w:w="3220" w:type="dxa"/>
            <w:vAlign w:val="bottom"/>
          </w:tcPr>
          <w:p>
            <w:pPr>
              <w:jc w:val="right"/>
              <w:ind w:right="1397"/>
              <w:spacing w:after="0"/>
              <w:rPr>
                <w:sz w:val="20"/>
                <w:szCs w:val="20"/>
                <w:color w:val="auto"/>
              </w:rPr>
            </w:pPr>
            <w:r>
              <w:rPr>
                <w:rFonts w:ascii="Arial" w:cs="Arial" w:eastAsia="Arial" w:hAnsi="Arial"/>
                <w:sz w:val="18"/>
                <w:szCs w:val="18"/>
                <w:color w:val="auto"/>
              </w:rPr>
              <w:t>27</w:t>
            </w:r>
          </w:p>
        </w:tc>
        <w:tc>
          <w:tcPr>
            <w:tcW w:w="10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Selling and marketing expense decreased by $1.6 million for the three months ended May 3, 2014 compared to the three months ended May 4, 2013. The decrease was primarily attributable to a $1.1 million decrease in expenses for marketing communication activities as a result of our efforts to control discretionary spending.</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4240" w:type="dxa"/>
            <w:vAlign w:val="bottom"/>
          </w:tcPr>
          <w:p>
            <w:pPr>
              <w:spacing w:after="0"/>
              <w:rPr>
                <w:sz w:val="14"/>
                <w:szCs w:val="14"/>
                <w:color w:val="auto"/>
              </w:rPr>
            </w:pPr>
          </w:p>
        </w:tc>
        <w:tc>
          <w:tcPr>
            <w:tcW w:w="2320" w:type="dxa"/>
            <w:vAlign w:val="bottom"/>
          </w:tcPr>
          <w:p>
            <w:pPr>
              <w:spacing w:after="0"/>
              <w:rPr>
                <w:sz w:val="14"/>
                <w:szCs w:val="14"/>
                <w:color w:val="auto"/>
              </w:rPr>
            </w:pPr>
          </w:p>
        </w:tc>
        <w:tc>
          <w:tcPr>
            <w:tcW w:w="2380" w:type="dxa"/>
            <w:vAlign w:val="bottom"/>
            <w:gridSpan w:val="3"/>
          </w:tcPr>
          <w:p>
            <w:pPr>
              <w:jc w:val="right"/>
              <w:ind w:right="880"/>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ind w:left="140"/>
              <w:spacing w:after="0"/>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240" w:type="dxa"/>
            <w:vAlign w:val="bottom"/>
          </w:tcPr>
          <w:p>
            <w:pPr>
              <w:spacing w:after="0"/>
              <w:rPr>
                <w:sz w:val="11"/>
                <w:szCs w:val="11"/>
                <w:color w:val="auto"/>
              </w:rPr>
            </w:pPr>
          </w:p>
        </w:tc>
        <w:tc>
          <w:tcPr>
            <w:tcW w:w="2320" w:type="dxa"/>
            <w:vAlign w:val="bottom"/>
          </w:tcPr>
          <w:p>
            <w:pPr>
              <w:spacing w:after="0"/>
              <w:rPr>
                <w:sz w:val="11"/>
                <w:szCs w:val="11"/>
                <w:color w:val="auto"/>
              </w:rPr>
            </w:pPr>
          </w:p>
        </w:tc>
        <w:tc>
          <w:tcPr>
            <w:tcW w:w="960" w:type="dxa"/>
            <w:vAlign w:val="bottom"/>
            <w:tcBorders>
              <w:top w:val="single" w:sz="8" w:color="auto"/>
            </w:tcBorders>
          </w:tcPr>
          <w:p>
            <w:pPr>
              <w:jc w:val="right"/>
              <w:ind w:right="412"/>
              <w:spacing w:after="0" w:line="129" w:lineRule="exact"/>
              <w:rPr>
                <w:sz w:val="20"/>
                <w:szCs w:val="20"/>
                <w:color w:val="auto"/>
              </w:rPr>
            </w:pPr>
            <w:r>
              <w:rPr>
                <w:rFonts w:ascii="Arial" w:cs="Arial" w:eastAsia="Arial" w:hAnsi="Arial"/>
                <w:sz w:val="14"/>
                <w:szCs w:val="14"/>
                <w:b w:val="1"/>
                <w:bCs w:val="1"/>
                <w:color w:val="auto"/>
              </w:rPr>
              <w:t>May 3,</w:t>
            </w:r>
          </w:p>
        </w:tc>
        <w:tc>
          <w:tcPr>
            <w:tcW w:w="800" w:type="dxa"/>
            <w:vAlign w:val="bottom"/>
            <w:tcBorders>
              <w:top w:val="single" w:sz="8" w:color="auto"/>
            </w:tcBorders>
          </w:tcPr>
          <w:p>
            <w:pPr>
              <w:jc w:val="right"/>
              <w:ind w:right="2"/>
              <w:spacing w:after="0" w:line="129" w:lineRule="exact"/>
              <w:rPr>
                <w:sz w:val="20"/>
                <w:szCs w:val="20"/>
                <w:color w:val="auto"/>
              </w:rPr>
            </w:pPr>
            <w:r>
              <w:rPr>
                <w:rFonts w:ascii="Arial" w:cs="Arial" w:eastAsia="Arial" w:hAnsi="Arial"/>
                <w:sz w:val="14"/>
                <w:szCs w:val="14"/>
                <w:b w:val="1"/>
                <w:bCs w:val="1"/>
                <w:color w:val="auto"/>
              </w:rPr>
              <w:t>May 4,</w:t>
            </w:r>
          </w:p>
        </w:tc>
        <w:tc>
          <w:tcPr>
            <w:tcW w:w="62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240" w:type="dxa"/>
            <w:vAlign w:val="bottom"/>
          </w:tcPr>
          <w:p>
            <w:pPr>
              <w:spacing w:after="0"/>
              <w:rPr>
                <w:sz w:val="14"/>
                <w:szCs w:val="14"/>
                <w:color w:val="auto"/>
              </w:rPr>
            </w:pPr>
          </w:p>
        </w:tc>
        <w:tc>
          <w:tcPr>
            <w:tcW w:w="3280" w:type="dxa"/>
            <w:vAlign w:val="bottom"/>
            <w:gridSpan w:val="2"/>
          </w:tcPr>
          <w:p>
            <w:pPr>
              <w:jc w:val="right"/>
              <w:ind w:right="472"/>
              <w:spacing w:after="0"/>
              <w:rPr>
                <w:sz w:val="20"/>
                <w:szCs w:val="20"/>
                <w:color w:val="auto"/>
              </w:rPr>
            </w:pPr>
            <w:r>
              <w:rPr>
                <w:rFonts w:ascii="Arial" w:cs="Arial" w:eastAsia="Arial" w:hAnsi="Arial"/>
                <w:sz w:val="14"/>
                <w:szCs w:val="14"/>
                <w:b w:val="1"/>
                <w:bCs w:val="1"/>
                <w:color w:val="auto"/>
              </w:rPr>
              <w:t>2014</w:t>
            </w:r>
          </w:p>
        </w:tc>
        <w:tc>
          <w:tcPr>
            <w:tcW w:w="800" w:type="dxa"/>
            <w:vAlign w:val="bottom"/>
          </w:tcPr>
          <w:p>
            <w:pPr>
              <w:jc w:val="right"/>
              <w:ind w:right="62"/>
              <w:spacing w:after="0"/>
              <w:rPr>
                <w:sz w:val="20"/>
                <w:szCs w:val="20"/>
                <w:color w:val="auto"/>
              </w:rPr>
            </w:pPr>
            <w:r>
              <w:rPr>
                <w:rFonts w:ascii="Arial" w:cs="Arial" w:eastAsia="Arial" w:hAnsi="Arial"/>
                <w:sz w:val="14"/>
                <w:szCs w:val="14"/>
                <w:b w:val="1"/>
                <w:bCs w:val="1"/>
                <w:color w:val="auto"/>
              </w:rPr>
              <w:t>2013</w:t>
            </w:r>
          </w:p>
        </w:tc>
        <w:tc>
          <w:tcPr>
            <w:tcW w:w="620" w:type="dxa"/>
            <w:vAlign w:val="bottom"/>
          </w:tcPr>
          <w:p>
            <w:pPr>
              <w:spacing w:after="0"/>
              <w:rPr>
                <w:sz w:val="14"/>
                <w:szCs w:val="14"/>
                <w:color w:val="auto"/>
              </w:rPr>
            </w:pPr>
          </w:p>
        </w:tc>
        <w:tc>
          <w:tcPr>
            <w:tcW w:w="640" w:type="dxa"/>
            <w:vAlign w:val="bottom"/>
            <w:gridSpan w:val="2"/>
          </w:tcPr>
          <w:p>
            <w:pPr>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424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2380" w:type="dxa"/>
            <w:vAlign w:val="bottom"/>
            <w:tcBorders>
              <w:top w:val="single" w:sz="8" w:color="auto"/>
            </w:tcBorders>
            <w:gridSpan w:val="3"/>
          </w:tcPr>
          <w:p>
            <w:pPr>
              <w:jc w:val="right"/>
              <w:ind w:right="2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44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24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3280" w:type="dxa"/>
            <w:vAlign w:val="bottom"/>
            <w:gridSpan w:val="2"/>
            <w:shd w:val="clear" w:color="auto" w:fill="CCEEFF"/>
          </w:tcPr>
          <w:p>
            <w:pPr>
              <w:jc w:val="right"/>
              <w:ind w:right="312"/>
              <w:spacing w:after="0"/>
              <w:rPr>
                <w:sz w:val="20"/>
                <w:szCs w:val="20"/>
                <w:color w:val="auto"/>
              </w:rPr>
            </w:pPr>
            <w:r>
              <w:rPr>
                <w:rFonts w:ascii="Arial" w:cs="Arial" w:eastAsia="Arial" w:hAnsi="Arial"/>
                <w:sz w:val="18"/>
                <w:szCs w:val="18"/>
                <w:color w:val="auto"/>
              </w:rPr>
              <w:t>$30,573</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$26,323</w:t>
            </w:r>
          </w:p>
        </w:tc>
        <w:tc>
          <w:tcPr>
            <w:tcW w:w="620" w:type="dxa"/>
            <w:vAlign w:val="bottom"/>
            <w:shd w:val="clear" w:color="auto" w:fill="CCEEFF"/>
          </w:tcPr>
          <w:p>
            <w:pPr>
              <w:spacing w:after="0"/>
              <w:rPr>
                <w:sz w:val="18"/>
                <w:szCs w:val="18"/>
                <w:color w:val="auto"/>
              </w:rPr>
            </w:pPr>
          </w:p>
        </w:tc>
        <w:tc>
          <w:tcPr>
            <w:tcW w:w="64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w w:val="93"/>
              </w:rPr>
              <w:t>16.1%</w:t>
            </w:r>
          </w:p>
        </w:tc>
        <w:tc>
          <w:tcPr>
            <w:tcW w:w="0" w:type="dxa"/>
            <w:vAlign w:val="bottom"/>
          </w:tcPr>
          <w:p>
            <w:pPr>
              <w:spacing w:after="0"/>
              <w:rPr>
                <w:sz w:val="1"/>
                <w:szCs w:val="1"/>
                <w:color w:val="auto"/>
              </w:rPr>
            </w:pPr>
          </w:p>
        </w:tc>
      </w:tr>
      <w:tr>
        <w:trPr>
          <w:trHeight w:val="222"/>
        </w:trPr>
        <w:tc>
          <w:tcPr>
            <w:tcW w:w="4240" w:type="dxa"/>
            <w:vAlign w:val="bottom"/>
          </w:tcPr>
          <w:p>
            <w:pPr>
              <w:spacing w:after="0"/>
              <w:rPr>
                <w:sz w:val="20"/>
                <w:szCs w:val="20"/>
                <w:color w:val="auto"/>
              </w:rPr>
            </w:pPr>
            <w:r>
              <w:rPr>
                <w:rFonts w:ascii="Arial" w:cs="Arial" w:eastAsia="Arial" w:hAnsi="Arial"/>
                <w:sz w:val="18"/>
                <w:szCs w:val="18"/>
                <w:color w:val="auto"/>
              </w:rPr>
              <w:t>% of net revenue</w:t>
            </w:r>
          </w:p>
        </w:tc>
        <w:tc>
          <w:tcPr>
            <w:tcW w:w="3280" w:type="dxa"/>
            <w:vAlign w:val="bottom"/>
            <w:gridSpan w:val="2"/>
          </w:tcPr>
          <w:p>
            <w:pPr>
              <w:jc w:val="right"/>
              <w:ind w:right="172"/>
              <w:spacing w:after="0"/>
              <w:rPr>
                <w:sz w:val="20"/>
                <w:szCs w:val="20"/>
                <w:color w:val="auto"/>
              </w:rPr>
            </w:pPr>
            <w:r>
              <w:rPr>
                <w:rFonts w:ascii="Arial" w:cs="Arial" w:eastAsia="Arial" w:hAnsi="Arial"/>
                <w:sz w:val="18"/>
                <w:szCs w:val="18"/>
                <w:color w:val="auto"/>
              </w:rPr>
              <w:t>3.2%</w:t>
            </w:r>
          </w:p>
        </w:tc>
        <w:tc>
          <w:tcPr>
            <w:tcW w:w="1420" w:type="dxa"/>
            <w:vAlign w:val="bottom"/>
            <w:gridSpan w:val="2"/>
          </w:tcPr>
          <w:p>
            <w:pPr>
              <w:jc w:val="right"/>
              <w:ind w:right="460"/>
              <w:spacing w:after="0"/>
              <w:rPr>
                <w:sz w:val="20"/>
                <w:szCs w:val="20"/>
                <w:color w:val="auto"/>
              </w:rPr>
            </w:pPr>
            <w:r>
              <w:rPr>
                <w:rFonts w:ascii="Arial" w:cs="Arial" w:eastAsia="Arial" w:hAnsi="Arial"/>
                <w:sz w:val="18"/>
                <w:szCs w:val="18"/>
                <w:color w:val="auto"/>
              </w:rPr>
              <w:t>3.6%</w:t>
            </w:r>
          </w:p>
        </w:tc>
        <w:tc>
          <w:tcPr>
            <w:tcW w:w="4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General and administrative expense increased by $4.3 million for the three months ended May 3, 2014 compared to the three months ended May 4, 2013. This increase was due primarily to a $4.0 million increase in legal expenses for ongoing litigation matters, combined with an increase in average employee compensation.</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Amortization and Write-Off of Acquired Intangible Assets</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526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2060" w:type="dxa"/>
            <w:vAlign w:val="bottom"/>
            <w:gridSpan w:val="3"/>
          </w:tcPr>
          <w:p>
            <w:pPr>
              <w:jc w:val="right"/>
              <w:ind w:right="600"/>
              <w:spacing w:after="0"/>
              <w:rPr>
                <w:sz w:val="20"/>
                <w:szCs w:val="20"/>
                <w:color w:val="auto"/>
              </w:rPr>
            </w:pPr>
            <w:r>
              <w:rPr>
                <w:rFonts w:ascii="Arial" w:cs="Arial" w:eastAsia="Arial" w:hAnsi="Arial"/>
                <w:sz w:val="14"/>
                <w:szCs w:val="14"/>
                <w:b w:val="1"/>
                <w:bCs w:val="1"/>
                <w:color w:val="auto"/>
              </w:rPr>
              <w:t>Three Months Ended</w:t>
            </w:r>
          </w:p>
        </w:tc>
        <w:tc>
          <w:tcPr>
            <w:tcW w:w="68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260" w:type="dxa"/>
            <w:vAlign w:val="bottom"/>
          </w:tcPr>
          <w:p>
            <w:pPr>
              <w:spacing w:after="0"/>
              <w:rPr>
                <w:sz w:val="11"/>
                <w:szCs w:val="11"/>
                <w:color w:val="auto"/>
              </w:rPr>
            </w:pPr>
          </w:p>
        </w:tc>
        <w:tc>
          <w:tcPr>
            <w:tcW w:w="1320" w:type="dxa"/>
            <w:vAlign w:val="bottom"/>
          </w:tcPr>
          <w:p>
            <w:pPr>
              <w:spacing w:after="0"/>
              <w:rPr>
                <w:sz w:val="11"/>
                <w:szCs w:val="11"/>
                <w:color w:val="auto"/>
              </w:rPr>
            </w:pPr>
          </w:p>
        </w:tc>
        <w:tc>
          <w:tcPr>
            <w:tcW w:w="880" w:type="dxa"/>
            <w:vAlign w:val="bottom"/>
            <w:tcBorders>
              <w:top w:val="single" w:sz="8" w:color="auto"/>
            </w:tcBorders>
          </w:tcPr>
          <w:p>
            <w:pPr>
              <w:jc w:val="right"/>
              <w:ind w:right="352"/>
              <w:spacing w:after="0" w:line="129" w:lineRule="exact"/>
              <w:rPr>
                <w:sz w:val="20"/>
                <w:szCs w:val="20"/>
                <w:color w:val="auto"/>
              </w:rPr>
            </w:pPr>
            <w:r>
              <w:rPr>
                <w:rFonts w:ascii="Arial" w:cs="Arial" w:eastAsia="Arial" w:hAnsi="Arial"/>
                <w:sz w:val="14"/>
                <w:szCs w:val="14"/>
                <w:b w:val="1"/>
                <w:bCs w:val="1"/>
                <w:color w:val="auto"/>
              </w:rPr>
              <w:t>May 3,</w:t>
            </w:r>
          </w:p>
        </w:tc>
        <w:tc>
          <w:tcPr>
            <w:tcW w:w="820" w:type="dxa"/>
            <w:vAlign w:val="bottom"/>
            <w:tcBorders>
              <w:top w:val="single" w:sz="8" w:color="auto"/>
            </w:tcBorders>
          </w:tcPr>
          <w:p>
            <w:pPr>
              <w:jc w:val="right"/>
              <w:ind w:right="22"/>
              <w:spacing w:after="0" w:line="129" w:lineRule="exact"/>
              <w:rPr>
                <w:sz w:val="20"/>
                <w:szCs w:val="20"/>
                <w:color w:val="auto"/>
              </w:rPr>
            </w:pPr>
            <w:r>
              <w:rPr>
                <w:rFonts w:ascii="Arial" w:cs="Arial" w:eastAsia="Arial" w:hAnsi="Arial"/>
                <w:sz w:val="14"/>
                <w:szCs w:val="14"/>
                <w:b w:val="1"/>
                <w:bCs w:val="1"/>
                <w:color w:val="auto"/>
              </w:rPr>
              <w:t>May 4,</w:t>
            </w:r>
          </w:p>
        </w:tc>
        <w:tc>
          <w:tcPr>
            <w:tcW w:w="360" w:type="dxa"/>
            <w:vAlign w:val="bottom"/>
          </w:tcPr>
          <w:p>
            <w:pPr>
              <w:spacing w:after="0"/>
              <w:rPr>
                <w:sz w:val="11"/>
                <w:szCs w:val="11"/>
                <w:color w:val="auto"/>
              </w:rPr>
            </w:pPr>
          </w:p>
        </w:tc>
        <w:tc>
          <w:tcPr>
            <w:tcW w:w="68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260" w:type="dxa"/>
            <w:vAlign w:val="bottom"/>
          </w:tcPr>
          <w:p>
            <w:pPr>
              <w:spacing w:after="0"/>
              <w:rPr>
                <w:sz w:val="14"/>
                <w:szCs w:val="14"/>
                <w:color w:val="auto"/>
              </w:rPr>
            </w:pPr>
          </w:p>
        </w:tc>
        <w:tc>
          <w:tcPr>
            <w:tcW w:w="2200" w:type="dxa"/>
            <w:vAlign w:val="bottom"/>
            <w:gridSpan w:val="2"/>
          </w:tcPr>
          <w:p>
            <w:pPr>
              <w:jc w:val="right"/>
              <w:ind w:right="432"/>
              <w:spacing w:after="0"/>
              <w:rPr>
                <w:sz w:val="20"/>
                <w:szCs w:val="20"/>
                <w:color w:val="auto"/>
              </w:rPr>
            </w:pPr>
            <w:r>
              <w:rPr>
                <w:rFonts w:ascii="Arial" w:cs="Arial" w:eastAsia="Arial" w:hAnsi="Arial"/>
                <w:sz w:val="14"/>
                <w:szCs w:val="14"/>
                <w:b w:val="1"/>
                <w:bCs w:val="1"/>
                <w:color w:val="auto"/>
              </w:rPr>
              <w:t>2014</w:t>
            </w:r>
          </w:p>
        </w:tc>
        <w:tc>
          <w:tcPr>
            <w:tcW w:w="820" w:type="dxa"/>
            <w:vAlign w:val="bottom"/>
          </w:tcPr>
          <w:p>
            <w:pPr>
              <w:jc w:val="right"/>
              <w:ind w:right="82"/>
              <w:spacing w:after="0"/>
              <w:rPr>
                <w:sz w:val="20"/>
                <w:szCs w:val="20"/>
                <w:color w:val="auto"/>
              </w:rPr>
            </w:pPr>
            <w:r>
              <w:rPr>
                <w:rFonts w:ascii="Arial" w:cs="Arial" w:eastAsia="Arial" w:hAnsi="Arial"/>
                <w:sz w:val="14"/>
                <w:szCs w:val="14"/>
                <w:b w:val="1"/>
                <w:bCs w:val="1"/>
                <w:color w:val="auto"/>
              </w:rPr>
              <w:t>2013</w:t>
            </w:r>
          </w:p>
        </w:tc>
        <w:tc>
          <w:tcPr>
            <w:tcW w:w="360" w:type="dxa"/>
            <w:vAlign w:val="bottom"/>
          </w:tcPr>
          <w:p>
            <w:pPr>
              <w:spacing w:after="0"/>
              <w:rPr>
                <w:sz w:val="14"/>
                <w:szCs w:val="14"/>
                <w:color w:val="auto"/>
              </w:rPr>
            </w:pPr>
          </w:p>
        </w:tc>
        <w:tc>
          <w:tcPr>
            <w:tcW w:w="94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5260" w:type="dxa"/>
            <w:vAlign w:val="bottom"/>
          </w:tcPr>
          <w:p>
            <w:pPr>
              <w:spacing w:after="0"/>
              <w:rPr>
                <w:sz w:val="12"/>
                <w:szCs w:val="12"/>
                <w:color w:val="auto"/>
              </w:rPr>
            </w:pPr>
          </w:p>
        </w:tc>
        <w:tc>
          <w:tcPr>
            <w:tcW w:w="1320" w:type="dxa"/>
            <w:vAlign w:val="bottom"/>
          </w:tcPr>
          <w:p>
            <w:pPr>
              <w:spacing w:after="0"/>
              <w:rPr>
                <w:sz w:val="12"/>
                <w:szCs w:val="12"/>
                <w:color w:val="auto"/>
              </w:rPr>
            </w:pPr>
          </w:p>
        </w:tc>
        <w:tc>
          <w:tcPr>
            <w:tcW w:w="2740" w:type="dxa"/>
            <w:vAlign w:val="bottom"/>
            <w:tcBorders>
              <w:top w:val="single" w:sz="8" w:color="auto"/>
            </w:tcBorders>
            <w:gridSpan w:val="4"/>
          </w:tcPr>
          <w:p>
            <w:pPr>
              <w:ind w:left="42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26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2200" w:type="dxa"/>
            <w:vAlign w:val="bottom"/>
            <w:gridSpan w:val="2"/>
            <w:shd w:val="clear" w:color="auto" w:fill="CCEEFF"/>
          </w:tcPr>
          <w:p>
            <w:pPr>
              <w:jc w:val="right"/>
              <w:ind w:right="312"/>
              <w:spacing w:after="0"/>
              <w:rPr>
                <w:sz w:val="20"/>
                <w:szCs w:val="20"/>
                <w:color w:val="auto"/>
              </w:rPr>
            </w:pPr>
            <w:r>
              <w:rPr>
                <w:rFonts w:ascii="Arial" w:cs="Arial" w:eastAsia="Arial" w:hAnsi="Arial"/>
                <w:sz w:val="18"/>
                <w:szCs w:val="18"/>
                <w:color w:val="auto"/>
              </w:rPr>
              <w:t>$6,689</w:t>
            </w:r>
          </w:p>
        </w:tc>
        <w:tc>
          <w:tcPr>
            <w:tcW w:w="118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$10,686</w:t>
            </w:r>
          </w:p>
        </w:tc>
        <w:tc>
          <w:tcPr>
            <w:tcW w:w="9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(37.4)%</w:t>
            </w:r>
          </w:p>
        </w:tc>
        <w:tc>
          <w:tcPr>
            <w:tcW w:w="0" w:type="dxa"/>
            <w:vAlign w:val="bottom"/>
          </w:tcPr>
          <w:p>
            <w:pPr>
              <w:spacing w:after="0"/>
              <w:rPr>
                <w:sz w:val="1"/>
                <w:szCs w:val="1"/>
                <w:color w:val="auto"/>
              </w:rPr>
            </w:pPr>
          </w:p>
        </w:tc>
      </w:tr>
      <w:tr>
        <w:trPr>
          <w:trHeight w:val="222"/>
        </w:trPr>
        <w:tc>
          <w:tcPr>
            <w:tcW w:w="5260" w:type="dxa"/>
            <w:vAlign w:val="bottom"/>
          </w:tcPr>
          <w:p>
            <w:pPr>
              <w:spacing w:after="0"/>
              <w:rPr>
                <w:sz w:val="20"/>
                <w:szCs w:val="20"/>
                <w:color w:val="auto"/>
              </w:rPr>
            </w:pPr>
            <w:r>
              <w:rPr>
                <w:rFonts w:ascii="Arial" w:cs="Arial" w:eastAsia="Arial" w:hAnsi="Arial"/>
                <w:sz w:val="18"/>
                <w:szCs w:val="18"/>
                <w:color w:val="auto"/>
              </w:rPr>
              <w:t>% of net revenue</w:t>
            </w:r>
          </w:p>
        </w:tc>
        <w:tc>
          <w:tcPr>
            <w:tcW w:w="2200" w:type="dxa"/>
            <w:vAlign w:val="bottom"/>
            <w:gridSpan w:val="2"/>
          </w:tcPr>
          <w:p>
            <w:pPr>
              <w:jc w:val="right"/>
              <w:ind w:right="172"/>
              <w:spacing w:after="0"/>
              <w:rPr>
                <w:sz w:val="20"/>
                <w:szCs w:val="20"/>
                <w:color w:val="auto"/>
              </w:rPr>
            </w:pPr>
            <w:r>
              <w:rPr>
                <w:rFonts w:ascii="Arial" w:cs="Arial" w:eastAsia="Arial" w:hAnsi="Arial"/>
                <w:sz w:val="18"/>
                <w:szCs w:val="18"/>
                <w:color w:val="auto"/>
              </w:rPr>
              <w:t>0.7%</w:t>
            </w:r>
          </w:p>
        </w:tc>
        <w:tc>
          <w:tcPr>
            <w:tcW w:w="1180" w:type="dxa"/>
            <w:vAlign w:val="bottom"/>
            <w:gridSpan w:val="2"/>
          </w:tcPr>
          <w:p>
            <w:pPr>
              <w:jc w:val="right"/>
              <w:ind w:right="220"/>
              <w:spacing w:after="0"/>
              <w:rPr>
                <w:sz w:val="20"/>
                <w:szCs w:val="20"/>
                <w:color w:val="auto"/>
              </w:rPr>
            </w:pPr>
            <w:r>
              <w:rPr>
                <w:rFonts w:ascii="Arial" w:cs="Arial" w:eastAsia="Arial" w:hAnsi="Arial"/>
                <w:sz w:val="18"/>
                <w:szCs w:val="18"/>
                <w:color w:val="auto"/>
              </w:rPr>
              <w:t>1.5%</w:t>
            </w:r>
          </w:p>
        </w:tc>
        <w:tc>
          <w:tcPr>
            <w:tcW w:w="6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Amortization and write-off of acquired intangible assets decreased by $4.0 million for the three months ended May 3, 2014 compared to the three months ended May 4, 2013. The decrease was due to a reduction in amortization expense as certain intangible assets have become fully amortized. The decrease in amortization expense was partially offset by a charge to write off $3.4 million of in-process research and development in the three months ended May 3, 2014, upon our decision to discontinue the related project.</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Restructuring</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484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560" w:type="dxa"/>
            <w:vAlign w:val="bottom"/>
            <w:gridSpan w:val="5"/>
          </w:tcPr>
          <w:p>
            <w:pPr>
              <w:jc w:val="center"/>
              <w:ind w:right="220"/>
              <w:spacing w:after="0"/>
              <w:rPr>
                <w:sz w:val="20"/>
                <w:szCs w:val="20"/>
                <w:color w:val="auto"/>
              </w:rPr>
            </w:pPr>
            <w:r>
              <w:rPr>
                <w:rFonts w:ascii="Arial" w:cs="Arial" w:eastAsia="Arial" w:hAnsi="Arial"/>
                <w:sz w:val="14"/>
                <w:szCs w:val="14"/>
                <w:b w:val="1"/>
                <w:bCs w:val="1"/>
                <w:color w:val="auto"/>
                <w:w w:val="88"/>
              </w:rPr>
              <w:t>Three Months Ended</w:t>
            </w:r>
          </w:p>
        </w:tc>
      </w:tr>
      <w:tr>
        <w:trPr>
          <w:trHeight w:val="129"/>
        </w:trPr>
        <w:tc>
          <w:tcPr>
            <w:tcW w:w="4840" w:type="dxa"/>
            <w:vAlign w:val="bottom"/>
          </w:tcPr>
          <w:p>
            <w:pPr>
              <w:spacing w:after="0"/>
              <w:rPr>
                <w:sz w:val="11"/>
                <w:szCs w:val="11"/>
                <w:color w:val="auto"/>
              </w:rPr>
            </w:pPr>
          </w:p>
        </w:tc>
        <w:tc>
          <w:tcPr>
            <w:tcW w:w="2180" w:type="dxa"/>
            <w:vAlign w:val="bottom"/>
          </w:tcPr>
          <w:p>
            <w:pPr>
              <w:spacing w:after="0"/>
              <w:rPr>
                <w:sz w:val="11"/>
                <w:szCs w:val="11"/>
                <w:color w:val="auto"/>
              </w:rPr>
            </w:pPr>
          </w:p>
        </w:tc>
        <w:tc>
          <w:tcPr>
            <w:tcW w:w="56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rPr>
              <w:t>May 3,</w:t>
            </w:r>
          </w:p>
        </w:tc>
        <w:tc>
          <w:tcPr>
            <w:tcW w:w="520" w:type="dxa"/>
            <w:vAlign w:val="bottom"/>
            <w:tcBorders>
              <w:top w:val="single" w:sz="8" w:color="auto"/>
            </w:tcBorders>
          </w:tcPr>
          <w:p>
            <w:pPr>
              <w:spacing w:after="0"/>
              <w:rPr>
                <w:sz w:val="11"/>
                <w:szCs w:val="11"/>
                <w:color w:val="auto"/>
              </w:rPr>
            </w:pPr>
          </w:p>
        </w:tc>
        <w:tc>
          <w:tcPr>
            <w:tcW w:w="480" w:type="dxa"/>
            <w:vAlign w:val="bottom"/>
            <w:tcBorders>
              <w:top w:val="single" w:sz="8" w:color="auto"/>
            </w:tcBorders>
            <w:gridSpan w:val="2"/>
          </w:tcPr>
          <w:p>
            <w:pPr>
              <w:ind w:left="40"/>
              <w:spacing w:after="0" w:line="129" w:lineRule="exact"/>
              <w:rPr>
                <w:sz w:val="20"/>
                <w:szCs w:val="20"/>
                <w:color w:val="auto"/>
              </w:rPr>
            </w:pPr>
            <w:r>
              <w:rPr>
                <w:rFonts w:ascii="Arial" w:cs="Arial" w:eastAsia="Arial" w:hAnsi="Arial"/>
                <w:sz w:val="14"/>
                <w:szCs w:val="14"/>
                <w:b w:val="1"/>
                <w:bCs w:val="1"/>
                <w:color w:val="auto"/>
                <w:w w:val="98"/>
              </w:rPr>
              <w:t>May 4,</w:t>
            </w:r>
          </w:p>
        </w:tc>
        <w:tc>
          <w:tcPr>
            <w:tcW w:w="100" w:type="dxa"/>
            <w:vAlign w:val="bottom"/>
          </w:tcPr>
          <w:p>
            <w:pPr>
              <w:spacing w:after="0"/>
              <w:rPr>
                <w:sz w:val="11"/>
                <w:szCs w:val="11"/>
                <w:color w:val="auto"/>
              </w:rPr>
            </w:pPr>
          </w:p>
        </w:tc>
      </w:tr>
      <w:tr>
        <w:trPr>
          <w:trHeight w:val="161"/>
        </w:trPr>
        <w:tc>
          <w:tcPr>
            <w:tcW w:w="484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jc w:val="right"/>
              <w:ind w:right="80"/>
              <w:spacing w:after="0"/>
              <w:rPr>
                <w:sz w:val="20"/>
                <w:szCs w:val="20"/>
                <w:color w:val="auto"/>
              </w:rPr>
            </w:pPr>
            <w:r>
              <w:rPr>
                <w:rFonts w:ascii="Arial" w:cs="Arial" w:eastAsia="Arial" w:hAnsi="Arial"/>
                <w:sz w:val="14"/>
                <w:szCs w:val="14"/>
                <w:b w:val="1"/>
                <w:bCs w:val="1"/>
                <w:color w:val="auto"/>
                <w:w w:val="89"/>
              </w:rPr>
              <w:t>2014</w:t>
            </w:r>
          </w:p>
        </w:tc>
        <w:tc>
          <w:tcPr>
            <w:tcW w:w="5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rPr>
              <w:t>2013</w:t>
            </w:r>
          </w:p>
        </w:tc>
        <w:tc>
          <w:tcPr>
            <w:tcW w:w="100" w:type="dxa"/>
            <w:vAlign w:val="bottom"/>
          </w:tcPr>
          <w:p>
            <w:pPr>
              <w:spacing w:after="0"/>
              <w:rPr>
                <w:sz w:val="14"/>
                <w:szCs w:val="14"/>
                <w:color w:val="auto"/>
              </w:rPr>
            </w:pPr>
          </w:p>
        </w:tc>
      </w:tr>
      <w:tr>
        <w:trPr>
          <w:trHeight w:val="142"/>
        </w:trPr>
        <w:tc>
          <w:tcPr>
            <w:tcW w:w="4840" w:type="dxa"/>
            <w:vAlign w:val="bottom"/>
          </w:tcPr>
          <w:p>
            <w:pPr>
              <w:spacing w:after="0"/>
              <w:rPr>
                <w:sz w:val="12"/>
                <w:szCs w:val="12"/>
                <w:color w:val="auto"/>
              </w:rPr>
            </w:pPr>
          </w:p>
        </w:tc>
        <w:tc>
          <w:tcPr>
            <w:tcW w:w="2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60" w:type="dxa"/>
            <w:vAlign w:val="bottom"/>
            <w:gridSpan w:val="4"/>
          </w:tcPr>
          <w:p>
            <w:pPr>
              <w:jc w:val="center"/>
              <w:ind w:right="36"/>
              <w:spacing w:after="0" w:line="142" w:lineRule="exact"/>
              <w:rPr>
                <w:sz w:val="20"/>
                <w:szCs w:val="20"/>
                <w:color w:val="auto"/>
              </w:rPr>
            </w:pPr>
            <w:r>
              <w:rPr>
                <w:rFonts w:ascii="Arial" w:cs="Arial" w:eastAsia="Arial" w:hAnsi="Arial"/>
                <w:sz w:val="14"/>
                <w:szCs w:val="14"/>
                <w:b w:val="1"/>
                <w:bCs w:val="1"/>
                <w:color w:val="auto"/>
                <w:w w:val="84"/>
              </w:rPr>
              <w:t>(in thousands)</w:t>
            </w:r>
          </w:p>
        </w:tc>
        <w:tc>
          <w:tcPr>
            <w:tcW w:w="100" w:type="dxa"/>
            <w:vAlign w:val="bottom"/>
          </w:tcPr>
          <w:p>
            <w:pPr>
              <w:spacing w:after="0"/>
              <w:rPr>
                <w:sz w:val="12"/>
                <w:szCs w:val="12"/>
                <w:color w:val="auto"/>
              </w:rPr>
            </w:pPr>
          </w:p>
        </w:tc>
      </w:tr>
      <w:tr>
        <w:trPr>
          <w:trHeight w:val="216"/>
        </w:trPr>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2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4,682</w:t>
            </w: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rPr>
              <w:t>—</w:t>
            </w:r>
          </w:p>
        </w:tc>
      </w:tr>
      <w:tr>
        <w:trPr>
          <w:trHeight w:val="216"/>
        </w:trPr>
        <w:tc>
          <w:tcPr>
            <w:tcW w:w="4840" w:type="dxa"/>
            <w:vAlign w:val="bottom"/>
          </w:tcPr>
          <w:p>
            <w:pPr>
              <w:spacing w:after="0"/>
              <w:rPr>
                <w:sz w:val="20"/>
                <w:szCs w:val="20"/>
                <w:color w:val="auto"/>
              </w:rPr>
            </w:pPr>
            <w:r>
              <w:rPr>
                <w:rFonts w:ascii="Arial" w:cs="Arial" w:eastAsia="Arial" w:hAnsi="Arial"/>
                <w:sz w:val="18"/>
                <w:szCs w:val="18"/>
                <w:color w:val="auto"/>
              </w:rPr>
              <w:t>Selling and marketing</w:t>
            </w:r>
          </w:p>
        </w:tc>
        <w:tc>
          <w:tcPr>
            <w:tcW w:w="2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rPr>
              <w:t>48</w:t>
            </w:r>
          </w:p>
        </w:tc>
        <w:tc>
          <w:tcPr>
            <w:tcW w:w="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gridSpan w:val="2"/>
          </w:tcPr>
          <w:p>
            <w:pPr>
              <w:ind w:left="140"/>
              <w:spacing w:after="0"/>
              <w:rPr>
                <w:sz w:val="20"/>
                <w:szCs w:val="20"/>
                <w:color w:val="auto"/>
              </w:rPr>
            </w:pPr>
            <w:r>
              <w:rPr>
                <w:rFonts w:ascii="Arial" w:cs="Arial" w:eastAsia="Arial" w:hAnsi="Arial"/>
                <w:sz w:val="18"/>
                <w:szCs w:val="18"/>
                <w:color w:val="auto"/>
              </w:rPr>
              <w:t>—</w:t>
            </w:r>
          </w:p>
        </w:tc>
      </w:tr>
      <w:tr>
        <w:trPr>
          <w:trHeight w:val="216"/>
        </w:trPr>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2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358</w:t>
            </w:r>
          </w:p>
        </w:tc>
        <w:tc>
          <w:tcPr>
            <w:tcW w:w="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00" w:type="dxa"/>
            <w:vAlign w:val="bottom"/>
            <w:shd w:val="clear" w:color="auto" w:fill="CCEEFF"/>
          </w:tcPr>
          <w:p>
            <w:pPr>
              <w:ind w:left="140"/>
              <w:spacing w:after="0"/>
              <w:rPr>
                <w:sz w:val="20"/>
                <w:szCs w:val="20"/>
                <w:color w:val="auto"/>
              </w:rPr>
            </w:pPr>
            <w:r>
              <w:rPr>
                <w:rFonts w:ascii="Arial" w:cs="Arial" w:eastAsia="Arial" w:hAnsi="Arial"/>
                <w:sz w:val="18"/>
                <w:szCs w:val="18"/>
                <w:color w:val="auto"/>
                <w:w w:val="79"/>
              </w:rPr>
              <w:t>228</w:t>
            </w:r>
          </w:p>
        </w:tc>
        <w:tc>
          <w:tcPr>
            <w:tcW w:w="100" w:type="dxa"/>
            <w:vAlign w:val="bottom"/>
            <w:shd w:val="clear" w:color="auto" w:fill="CCEEFF"/>
          </w:tcPr>
          <w:p>
            <w:pPr>
              <w:spacing w:after="0"/>
              <w:rPr>
                <w:sz w:val="18"/>
                <w:szCs w:val="18"/>
                <w:color w:val="auto"/>
              </w:rPr>
            </w:pPr>
          </w:p>
        </w:tc>
      </w:tr>
      <w:tr>
        <w:trPr>
          <w:trHeight w:val="223"/>
        </w:trPr>
        <w:tc>
          <w:tcPr>
            <w:tcW w:w="4840" w:type="dxa"/>
            <w:vAlign w:val="bottom"/>
          </w:tcPr>
          <w:p>
            <w:pPr>
              <w:spacing w:after="0"/>
              <w:rPr>
                <w:sz w:val="20"/>
                <w:szCs w:val="20"/>
                <w:color w:val="auto"/>
              </w:rPr>
            </w:pPr>
            <w:r>
              <w:rPr>
                <w:rFonts w:ascii="Arial" w:cs="Arial" w:eastAsia="Arial" w:hAnsi="Arial"/>
                <w:sz w:val="18"/>
                <w:szCs w:val="18"/>
                <w:color w:val="auto"/>
              </w:rPr>
              <w:t>Write-off of acquired intangible assets</w:t>
            </w:r>
          </w:p>
        </w:tc>
        <w:tc>
          <w:tcPr>
            <w:tcW w:w="21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7"/>
              </w:rPr>
              <w:t>3,386</w:t>
            </w:r>
          </w:p>
        </w:tc>
        <w:tc>
          <w:tcPr>
            <w:tcW w:w="5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400" w:type="dxa"/>
            <w:vAlign w:val="bottom"/>
            <w:tcBorders>
              <w:bottom w:val="single" w:sz="8" w:color="auto"/>
            </w:tcBorders>
          </w:tcPr>
          <w:p>
            <w:pPr>
              <w:ind w:left="14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r>
      <w:tr>
        <w:trPr>
          <w:trHeight w:val="216"/>
        </w:trPr>
        <w:tc>
          <w:tcPr>
            <w:tcW w:w="4840" w:type="dxa"/>
            <w:vAlign w:val="bottom"/>
            <w:shd w:val="clear" w:color="auto" w:fill="CCEEFF"/>
          </w:tcPr>
          <w:p>
            <w:pPr>
              <w:spacing w:after="0"/>
              <w:rPr>
                <w:sz w:val="18"/>
                <w:szCs w:val="18"/>
                <w:color w:val="auto"/>
              </w:rPr>
            </w:pPr>
          </w:p>
        </w:tc>
        <w:tc>
          <w:tcPr>
            <w:tcW w:w="2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8,474</w:t>
            </w: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ind w:left="140"/>
              <w:spacing w:after="0"/>
              <w:rPr>
                <w:sz w:val="20"/>
                <w:szCs w:val="20"/>
                <w:color w:val="auto"/>
              </w:rPr>
            </w:pPr>
            <w:r>
              <w:rPr>
                <w:rFonts w:ascii="Arial" w:cs="Arial" w:eastAsia="Arial" w:hAnsi="Arial"/>
                <w:sz w:val="18"/>
                <w:szCs w:val="18"/>
                <w:color w:val="auto"/>
                <w:w w:val="79"/>
              </w:rPr>
              <w:t>228</w:t>
            </w:r>
          </w:p>
        </w:tc>
        <w:tc>
          <w:tcPr>
            <w:tcW w:w="100" w:type="dxa"/>
            <w:vAlign w:val="bottom"/>
            <w:shd w:val="clear" w:color="auto" w:fill="CCEEFF"/>
          </w:tcPr>
          <w:p>
            <w:pPr>
              <w:spacing w:after="0"/>
              <w:rPr>
                <w:sz w:val="18"/>
                <w:szCs w:val="18"/>
                <w:color w:val="auto"/>
              </w:rPr>
            </w:pPr>
          </w:p>
        </w:tc>
      </w:tr>
      <w:tr>
        <w:trPr>
          <w:trHeight w:val="20"/>
        </w:trPr>
        <w:tc>
          <w:tcPr>
            <w:tcW w:w="484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80" w:firstLine="456"/>
        <w:spacing w:after="0" w:line="306" w:lineRule="auto"/>
        <w:rPr>
          <w:sz w:val="20"/>
          <w:szCs w:val="20"/>
          <w:color w:val="auto"/>
        </w:rPr>
      </w:pPr>
      <w:r>
        <w:rPr>
          <w:rFonts w:ascii="Arial" w:cs="Arial" w:eastAsia="Arial" w:hAnsi="Arial"/>
          <w:sz w:val="16"/>
          <w:szCs w:val="16"/>
          <w:color w:val="auto"/>
        </w:rPr>
        <w:t>We recorded a total $8.5 million restructuring charge in the three months ended May 3, 2014. The charge included $4.6 million for severance costs and $0.5 million for other exit-related costs primarily associated with previous facility closures (See “Note 8 – Restructuring” in the Notes to Unaudited Condensed Consolidated Financial Statements). In addition, the charge included $3.4 million to write off an acquired intangible asset.</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and Other Income, Net</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438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1980" w:type="dxa"/>
            <w:vAlign w:val="bottom"/>
            <w:gridSpan w:val="3"/>
          </w:tcPr>
          <w:p>
            <w:pPr>
              <w:jc w:val="right"/>
              <w:ind w:right="560"/>
              <w:spacing w:after="0"/>
              <w:rPr>
                <w:sz w:val="20"/>
                <w:szCs w:val="20"/>
                <w:color w:val="auto"/>
              </w:rPr>
            </w:pPr>
            <w:r>
              <w:rPr>
                <w:rFonts w:ascii="Arial" w:cs="Arial" w:eastAsia="Arial" w:hAnsi="Arial"/>
                <w:sz w:val="14"/>
                <w:szCs w:val="14"/>
                <w:b w:val="1"/>
                <w:bCs w:val="1"/>
                <w:color w:val="auto"/>
              </w:rPr>
              <w:t>Three Months Ended</w:t>
            </w:r>
          </w:p>
        </w:tc>
        <w:tc>
          <w:tcPr>
            <w:tcW w:w="68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380" w:type="dxa"/>
            <w:vAlign w:val="bottom"/>
          </w:tcPr>
          <w:p>
            <w:pPr>
              <w:spacing w:after="0"/>
              <w:rPr>
                <w:sz w:val="11"/>
                <w:szCs w:val="11"/>
                <w:color w:val="auto"/>
              </w:rPr>
            </w:pPr>
          </w:p>
        </w:tc>
        <w:tc>
          <w:tcPr>
            <w:tcW w:w="2280" w:type="dxa"/>
            <w:vAlign w:val="bottom"/>
          </w:tcPr>
          <w:p>
            <w:pPr>
              <w:spacing w:after="0"/>
              <w:rPr>
                <w:sz w:val="11"/>
                <w:szCs w:val="11"/>
                <w:color w:val="auto"/>
              </w:rPr>
            </w:pPr>
          </w:p>
        </w:tc>
        <w:tc>
          <w:tcPr>
            <w:tcW w:w="880" w:type="dxa"/>
            <w:vAlign w:val="bottom"/>
            <w:tcBorders>
              <w:top w:val="single" w:sz="8" w:color="auto"/>
            </w:tcBorders>
          </w:tcPr>
          <w:p>
            <w:pPr>
              <w:jc w:val="right"/>
              <w:ind w:right="352"/>
              <w:spacing w:after="0" w:line="129" w:lineRule="exact"/>
              <w:rPr>
                <w:sz w:val="20"/>
                <w:szCs w:val="20"/>
                <w:color w:val="auto"/>
              </w:rPr>
            </w:pPr>
            <w:r>
              <w:rPr>
                <w:rFonts w:ascii="Arial" w:cs="Arial" w:eastAsia="Arial" w:hAnsi="Arial"/>
                <w:sz w:val="14"/>
                <w:szCs w:val="14"/>
                <w:b w:val="1"/>
                <w:bCs w:val="1"/>
                <w:color w:val="auto"/>
              </w:rPr>
              <w:t>May 3,</w:t>
            </w:r>
          </w:p>
        </w:tc>
        <w:tc>
          <w:tcPr>
            <w:tcW w:w="7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May 4,</w:t>
            </w:r>
          </w:p>
        </w:tc>
        <w:tc>
          <w:tcPr>
            <w:tcW w:w="360" w:type="dxa"/>
            <w:vAlign w:val="bottom"/>
          </w:tcPr>
          <w:p>
            <w:pPr>
              <w:spacing w:after="0"/>
              <w:rPr>
                <w:sz w:val="11"/>
                <w:szCs w:val="11"/>
                <w:color w:val="auto"/>
              </w:rPr>
            </w:pPr>
          </w:p>
        </w:tc>
        <w:tc>
          <w:tcPr>
            <w:tcW w:w="68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380" w:type="dxa"/>
            <w:vAlign w:val="bottom"/>
          </w:tcPr>
          <w:p>
            <w:pPr>
              <w:spacing w:after="0"/>
              <w:rPr>
                <w:sz w:val="14"/>
                <w:szCs w:val="14"/>
                <w:color w:val="auto"/>
              </w:rPr>
            </w:pPr>
          </w:p>
        </w:tc>
        <w:tc>
          <w:tcPr>
            <w:tcW w:w="3160" w:type="dxa"/>
            <w:vAlign w:val="bottom"/>
            <w:gridSpan w:val="2"/>
          </w:tcPr>
          <w:p>
            <w:pPr>
              <w:jc w:val="right"/>
              <w:ind w:right="432"/>
              <w:spacing w:after="0"/>
              <w:rPr>
                <w:sz w:val="20"/>
                <w:szCs w:val="20"/>
                <w:color w:val="auto"/>
              </w:rPr>
            </w:pPr>
            <w:r>
              <w:rPr>
                <w:rFonts w:ascii="Arial" w:cs="Arial" w:eastAsia="Arial" w:hAnsi="Arial"/>
                <w:sz w:val="14"/>
                <w:szCs w:val="14"/>
                <w:b w:val="1"/>
                <w:bCs w:val="1"/>
                <w:color w:val="auto"/>
              </w:rPr>
              <w:t>2014</w:t>
            </w:r>
          </w:p>
        </w:tc>
        <w:tc>
          <w:tcPr>
            <w:tcW w:w="740" w:type="dxa"/>
            <w:vAlign w:val="bottom"/>
          </w:tcPr>
          <w:p>
            <w:pPr>
              <w:jc w:val="right"/>
              <w:ind w:right="42"/>
              <w:spacing w:after="0"/>
              <w:rPr>
                <w:sz w:val="20"/>
                <w:szCs w:val="20"/>
                <w:color w:val="auto"/>
              </w:rPr>
            </w:pPr>
            <w:r>
              <w:rPr>
                <w:rFonts w:ascii="Arial" w:cs="Arial" w:eastAsia="Arial" w:hAnsi="Arial"/>
                <w:sz w:val="14"/>
                <w:szCs w:val="14"/>
                <w:b w:val="1"/>
                <w:bCs w:val="1"/>
                <w:color w:val="auto"/>
              </w:rPr>
              <w:t>2013</w:t>
            </w:r>
          </w:p>
        </w:tc>
        <w:tc>
          <w:tcPr>
            <w:tcW w:w="360" w:type="dxa"/>
            <w:vAlign w:val="bottom"/>
          </w:tcPr>
          <w:p>
            <w:pPr>
              <w:spacing w:after="0"/>
              <w:rPr>
                <w:sz w:val="14"/>
                <w:szCs w:val="14"/>
                <w:color w:val="auto"/>
              </w:rPr>
            </w:pPr>
          </w:p>
        </w:tc>
        <w:tc>
          <w:tcPr>
            <w:tcW w:w="94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4380" w:type="dxa"/>
            <w:vAlign w:val="bottom"/>
          </w:tcPr>
          <w:p>
            <w:pPr>
              <w:spacing w:after="0"/>
              <w:rPr>
                <w:sz w:val="12"/>
                <w:szCs w:val="12"/>
                <w:color w:val="auto"/>
              </w:rPr>
            </w:pPr>
          </w:p>
        </w:tc>
        <w:tc>
          <w:tcPr>
            <w:tcW w:w="2280" w:type="dxa"/>
            <w:vAlign w:val="bottom"/>
          </w:tcPr>
          <w:p>
            <w:pPr>
              <w:spacing w:after="0"/>
              <w:rPr>
                <w:sz w:val="12"/>
                <w:szCs w:val="12"/>
                <w:color w:val="auto"/>
              </w:rPr>
            </w:pPr>
          </w:p>
        </w:tc>
        <w:tc>
          <w:tcPr>
            <w:tcW w:w="2660" w:type="dxa"/>
            <w:vAlign w:val="bottom"/>
            <w:tcBorders>
              <w:top w:val="single" w:sz="8" w:color="auto"/>
            </w:tcBorders>
            <w:gridSpan w:val="4"/>
          </w:tcPr>
          <w:p>
            <w:pPr>
              <w:ind w:left="380"/>
              <w:spacing w:after="0" w:line="142" w:lineRule="exact"/>
              <w:rPr>
                <w:sz w:val="20"/>
                <w:szCs w:val="20"/>
                <w:color w:val="auto"/>
              </w:rPr>
            </w:pPr>
            <w:r>
              <w:rPr>
                <w:rFonts w:ascii="Arial" w:cs="Arial" w:eastAsia="Arial" w:hAnsi="Arial"/>
                <w:sz w:val="14"/>
                <w:szCs w:val="14"/>
                <w:b w:val="1"/>
                <w:bCs w:val="1"/>
                <w:color w:val="auto"/>
                <w:w w:val="99"/>
              </w:rPr>
              <w:t>(in thousands, except percentage)</w:t>
            </w: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38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3160" w:type="dxa"/>
            <w:vAlign w:val="bottom"/>
            <w:gridSpan w:val="2"/>
            <w:shd w:val="clear" w:color="auto" w:fill="CCEEFF"/>
          </w:tcPr>
          <w:p>
            <w:pPr>
              <w:jc w:val="right"/>
              <w:ind w:right="312"/>
              <w:spacing w:after="0"/>
              <w:rPr>
                <w:sz w:val="20"/>
                <w:szCs w:val="20"/>
                <w:color w:val="auto"/>
              </w:rPr>
            </w:pPr>
            <w:r>
              <w:rPr>
                <w:rFonts w:ascii="Arial" w:cs="Arial" w:eastAsia="Arial" w:hAnsi="Arial"/>
                <w:sz w:val="18"/>
                <w:szCs w:val="18"/>
                <w:color w:val="auto"/>
              </w:rPr>
              <w:t>$1,925</w:t>
            </w:r>
          </w:p>
        </w:tc>
        <w:tc>
          <w:tcPr>
            <w:tcW w:w="110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$3,160</w:t>
            </w:r>
          </w:p>
        </w:tc>
        <w:tc>
          <w:tcPr>
            <w:tcW w:w="9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(39.1)%</w:t>
            </w:r>
          </w:p>
        </w:tc>
        <w:tc>
          <w:tcPr>
            <w:tcW w:w="0" w:type="dxa"/>
            <w:vAlign w:val="bottom"/>
          </w:tcPr>
          <w:p>
            <w:pPr>
              <w:spacing w:after="0"/>
              <w:rPr>
                <w:sz w:val="1"/>
                <w:szCs w:val="1"/>
                <w:color w:val="auto"/>
              </w:rPr>
            </w:pPr>
          </w:p>
        </w:tc>
      </w:tr>
      <w:tr>
        <w:trPr>
          <w:trHeight w:val="222"/>
        </w:trPr>
        <w:tc>
          <w:tcPr>
            <w:tcW w:w="4380" w:type="dxa"/>
            <w:vAlign w:val="bottom"/>
          </w:tcPr>
          <w:p>
            <w:pPr>
              <w:spacing w:after="0"/>
              <w:rPr>
                <w:sz w:val="20"/>
                <w:szCs w:val="20"/>
                <w:color w:val="auto"/>
              </w:rPr>
            </w:pPr>
            <w:r>
              <w:rPr>
                <w:rFonts w:ascii="Arial" w:cs="Arial" w:eastAsia="Arial" w:hAnsi="Arial"/>
                <w:sz w:val="18"/>
                <w:szCs w:val="18"/>
                <w:color w:val="auto"/>
              </w:rPr>
              <w:t>% of net revenue</w:t>
            </w:r>
          </w:p>
        </w:tc>
        <w:tc>
          <w:tcPr>
            <w:tcW w:w="3160" w:type="dxa"/>
            <w:vAlign w:val="bottom"/>
            <w:gridSpan w:val="2"/>
          </w:tcPr>
          <w:p>
            <w:pPr>
              <w:jc w:val="right"/>
              <w:ind w:right="152"/>
              <w:spacing w:after="0"/>
              <w:rPr>
                <w:sz w:val="20"/>
                <w:szCs w:val="20"/>
                <w:color w:val="auto"/>
              </w:rPr>
            </w:pPr>
            <w:r>
              <w:rPr>
                <w:rFonts w:ascii="Arial" w:cs="Arial" w:eastAsia="Arial" w:hAnsi="Arial"/>
                <w:sz w:val="18"/>
                <w:szCs w:val="18"/>
                <w:color w:val="auto"/>
              </w:rPr>
              <w:t>0.2%</w:t>
            </w:r>
          </w:p>
        </w:tc>
        <w:tc>
          <w:tcPr>
            <w:tcW w:w="1100" w:type="dxa"/>
            <w:vAlign w:val="bottom"/>
            <w:gridSpan w:val="2"/>
          </w:tcPr>
          <w:p>
            <w:pPr>
              <w:jc w:val="right"/>
              <w:ind w:right="220"/>
              <w:spacing w:after="0"/>
              <w:rPr>
                <w:sz w:val="20"/>
                <w:szCs w:val="20"/>
                <w:color w:val="auto"/>
              </w:rPr>
            </w:pPr>
            <w:r>
              <w:rPr>
                <w:rFonts w:ascii="Arial" w:cs="Arial" w:eastAsia="Arial" w:hAnsi="Arial"/>
                <w:sz w:val="18"/>
                <w:szCs w:val="18"/>
                <w:color w:val="auto"/>
              </w:rPr>
              <w:t>0.4%</w:t>
            </w:r>
          </w:p>
        </w:tc>
        <w:tc>
          <w:tcPr>
            <w:tcW w:w="6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Interest and other income, net, decreased for the three months ended May 3, 2014 compared to the three months ended May 4, 2013, primarily due to the recognition of foreign currency losses from the revaluation of our foreign currency denominated tax liabilities as the U.S. dollar weakened during the three months ended May 3, 2014.</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00"/>
          </w:cols>
          <w:pgMar w:left="240" w:top="459" w:right="25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Benefit for Income Taxes</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320" w:type="dxa"/>
            <w:vAlign w:val="bottom"/>
          </w:tcPr>
          <w:p>
            <w:pPr>
              <w:spacing w:after="0"/>
              <w:rPr>
                <w:sz w:val="14"/>
                <w:szCs w:val="14"/>
                <w:color w:val="auto"/>
              </w:rPr>
            </w:pPr>
          </w:p>
        </w:tc>
        <w:tc>
          <w:tcPr>
            <w:tcW w:w="2500" w:type="dxa"/>
            <w:vAlign w:val="bottom"/>
            <w:gridSpan w:val="3"/>
          </w:tcPr>
          <w:p>
            <w:pPr>
              <w:jc w:val="right"/>
              <w:ind w:right="980"/>
              <w:spacing w:after="0"/>
              <w:rPr>
                <w:sz w:val="20"/>
                <w:szCs w:val="20"/>
                <w:color w:val="auto"/>
              </w:rPr>
            </w:pPr>
            <w:r>
              <w:rPr>
                <w:rFonts w:ascii="Arial" w:cs="Arial" w:eastAsia="Arial" w:hAnsi="Arial"/>
                <w:sz w:val="14"/>
                <w:szCs w:val="14"/>
                <w:b w:val="1"/>
                <w:bCs w:val="1"/>
                <w:color w:val="auto"/>
              </w:rPr>
              <w:t>Three Months Ended</w:t>
            </w:r>
          </w:p>
        </w:tc>
        <w:tc>
          <w:tcPr>
            <w:tcW w:w="50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320" w:type="dxa"/>
            <w:vAlign w:val="bottom"/>
          </w:tcPr>
          <w:p>
            <w:pPr>
              <w:spacing w:after="0"/>
              <w:rPr>
                <w:sz w:val="11"/>
                <w:szCs w:val="11"/>
                <w:color w:val="auto"/>
              </w:rPr>
            </w:pPr>
          </w:p>
        </w:tc>
        <w:tc>
          <w:tcPr>
            <w:tcW w:w="1020" w:type="dxa"/>
            <w:vAlign w:val="bottom"/>
            <w:tcBorders>
              <w:top w:val="single" w:sz="8" w:color="auto"/>
            </w:tcBorders>
          </w:tcPr>
          <w:p>
            <w:pPr>
              <w:jc w:val="right"/>
              <w:ind w:right="486"/>
              <w:spacing w:after="0" w:line="129" w:lineRule="exact"/>
              <w:rPr>
                <w:sz w:val="20"/>
                <w:szCs w:val="20"/>
                <w:color w:val="auto"/>
              </w:rPr>
            </w:pPr>
            <w:r>
              <w:rPr>
                <w:rFonts w:ascii="Arial" w:cs="Arial" w:eastAsia="Arial" w:hAnsi="Arial"/>
                <w:sz w:val="14"/>
                <w:szCs w:val="14"/>
                <w:b w:val="1"/>
                <w:bCs w:val="1"/>
                <w:color w:val="auto"/>
              </w:rPr>
              <w:t>May 3,</w:t>
            </w:r>
          </w:p>
        </w:tc>
        <w:tc>
          <w:tcPr>
            <w:tcW w:w="820" w:type="dxa"/>
            <w:vAlign w:val="bottom"/>
            <w:tcBorders>
              <w:top w:val="single" w:sz="8" w:color="auto"/>
            </w:tcBorders>
          </w:tcPr>
          <w:p>
            <w:pPr>
              <w:jc w:val="right"/>
              <w:ind w:right="2"/>
              <w:spacing w:after="0" w:line="129" w:lineRule="exact"/>
              <w:rPr>
                <w:sz w:val="20"/>
                <w:szCs w:val="20"/>
                <w:color w:val="auto"/>
              </w:rPr>
            </w:pPr>
            <w:r>
              <w:rPr>
                <w:rFonts w:ascii="Arial" w:cs="Arial" w:eastAsia="Arial" w:hAnsi="Arial"/>
                <w:sz w:val="14"/>
                <w:szCs w:val="14"/>
                <w:b w:val="1"/>
                <w:bCs w:val="1"/>
                <w:color w:val="auto"/>
              </w:rPr>
              <w:t>May 4,</w:t>
            </w:r>
          </w:p>
        </w:tc>
        <w:tc>
          <w:tcPr>
            <w:tcW w:w="660" w:type="dxa"/>
            <w:vAlign w:val="bottom"/>
          </w:tcPr>
          <w:p>
            <w:pPr>
              <w:spacing w:after="0"/>
              <w:rPr>
                <w:sz w:val="11"/>
                <w:szCs w:val="11"/>
                <w:color w:val="auto"/>
              </w:rPr>
            </w:pPr>
          </w:p>
        </w:tc>
        <w:tc>
          <w:tcPr>
            <w:tcW w:w="50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320" w:type="dxa"/>
            <w:vAlign w:val="bottom"/>
          </w:tcPr>
          <w:p>
            <w:pPr>
              <w:spacing w:after="0"/>
              <w:rPr>
                <w:sz w:val="14"/>
                <w:szCs w:val="14"/>
                <w:color w:val="auto"/>
              </w:rPr>
            </w:pPr>
          </w:p>
        </w:tc>
        <w:tc>
          <w:tcPr>
            <w:tcW w:w="1020" w:type="dxa"/>
            <w:vAlign w:val="bottom"/>
          </w:tcPr>
          <w:p>
            <w:pPr>
              <w:jc w:val="right"/>
              <w:ind w:right="546"/>
              <w:spacing w:after="0"/>
              <w:rPr>
                <w:sz w:val="20"/>
                <w:szCs w:val="20"/>
                <w:color w:val="auto"/>
              </w:rPr>
            </w:pPr>
            <w:r>
              <w:rPr>
                <w:rFonts w:ascii="Arial" w:cs="Arial" w:eastAsia="Arial" w:hAnsi="Arial"/>
                <w:sz w:val="14"/>
                <w:szCs w:val="14"/>
                <w:b w:val="1"/>
                <w:bCs w:val="1"/>
                <w:color w:val="auto"/>
              </w:rPr>
              <w:t>2014</w:t>
            </w:r>
          </w:p>
        </w:tc>
        <w:tc>
          <w:tcPr>
            <w:tcW w:w="820" w:type="dxa"/>
            <w:vAlign w:val="bottom"/>
          </w:tcPr>
          <w:p>
            <w:pPr>
              <w:jc w:val="right"/>
              <w:ind w:right="82"/>
              <w:spacing w:after="0"/>
              <w:rPr>
                <w:sz w:val="20"/>
                <w:szCs w:val="20"/>
                <w:color w:val="auto"/>
              </w:rPr>
            </w:pPr>
            <w:r>
              <w:rPr>
                <w:rFonts w:ascii="Arial" w:cs="Arial" w:eastAsia="Arial" w:hAnsi="Arial"/>
                <w:sz w:val="14"/>
                <w:szCs w:val="14"/>
                <w:b w:val="1"/>
                <w:bCs w:val="1"/>
                <w:color w:val="auto"/>
              </w:rPr>
              <w:t>2013</w:t>
            </w:r>
          </w:p>
        </w:tc>
        <w:tc>
          <w:tcPr>
            <w:tcW w:w="660" w:type="dxa"/>
            <w:vAlign w:val="bottom"/>
          </w:tcPr>
          <w:p>
            <w:pPr>
              <w:spacing w:after="0"/>
              <w:rPr>
                <w:sz w:val="14"/>
                <w:szCs w:val="14"/>
                <w:color w:val="auto"/>
              </w:rPr>
            </w:pPr>
          </w:p>
        </w:tc>
        <w:tc>
          <w:tcPr>
            <w:tcW w:w="76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6320" w:type="dxa"/>
            <w:vAlign w:val="bottom"/>
          </w:tcPr>
          <w:p>
            <w:pPr>
              <w:spacing w:after="0"/>
              <w:rPr>
                <w:sz w:val="12"/>
                <w:szCs w:val="12"/>
                <w:color w:val="auto"/>
              </w:rPr>
            </w:pPr>
          </w:p>
        </w:tc>
        <w:tc>
          <w:tcPr>
            <w:tcW w:w="2500" w:type="dxa"/>
            <w:vAlign w:val="bottom"/>
            <w:tcBorders>
              <w:top w:val="single" w:sz="8" w:color="auto"/>
            </w:tcBorders>
            <w:gridSpan w:val="3"/>
          </w:tcPr>
          <w:p>
            <w:pPr>
              <w:jc w:val="right"/>
              <w:ind w:right="4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5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320" w:type="dxa"/>
            <w:vAlign w:val="bottom"/>
            <w:shd w:val="clear" w:color="auto" w:fill="CCEEFF"/>
          </w:tcPr>
          <w:p>
            <w:pPr>
              <w:spacing w:after="0"/>
              <w:rPr>
                <w:sz w:val="20"/>
                <w:szCs w:val="20"/>
                <w:color w:val="auto"/>
              </w:rPr>
            </w:pPr>
            <w:r>
              <w:rPr>
                <w:rFonts w:ascii="Arial" w:cs="Arial" w:eastAsia="Arial" w:hAnsi="Arial"/>
                <w:sz w:val="18"/>
                <w:szCs w:val="18"/>
                <w:color w:val="auto"/>
              </w:rPr>
              <w:t>Benefit for income taxes</w:t>
            </w:r>
          </w:p>
        </w:tc>
        <w:tc>
          <w:tcPr>
            <w:tcW w:w="1020" w:type="dxa"/>
            <w:vAlign w:val="bottom"/>
            <w:shd w:val="clear" w:color="auto" w:fill="CCEEFF"/>
          </w:tcPr>
          <w:p>
            <w:pPr>
              <w:jc w:val="right"/>
              <w:ind w:right="346"/>
              <w:spacing w:after="0"/>
              <w:rPr>
                <w:sz w:val="20"/>
                <w:szCs w:val="20"/>
                <w:color w:val="auto"/>
              </w:rPr>
            </w:pPr>
            <w:r>
              <w:rPr>
                <w:rFonts w:ascii="Arial" w:cs="Arial" w:eastAsia="Arial" w:hAnsi="Arial"/>
                <w:sz w:val="18"/>
                <w:szCs w:val="18"/>
                <w:color w:val="auto"/>
                <w:w w:val="86"/>
              </w:rPr>
              <w:t>$(4,567)</w:t>
            </w:r>
          </w:p>
        </w:tc>
        <w:tc>
          <w:tcPr>
            <w:tcW w:w="148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$(7,168)</w:t>
            </w: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(36.3)%</w:t>
            </w:r>
          </w:p>
        </w:tc>
        <w:tc>
          <w:tcPr>
            <w:tcW w:w="0" w:type="dxa"/>
            <w:vAlign w:val="bottom"/>
          </w:tcPr>
          <w:p>
            <w:pPr>
              <w:spacing w:after="0"/>
              <w:rPr>
                <w:sz w:val="1"/>
                <w:szCs w:val="1"/>
                <w:color w:val="auto"/>
              </w:rPr>
            </w:pPr>
          </w:p>
        </w:tc>
      </w:tr>
      <w:tr>
        <w:trPr>
          <w:trHeight w:val="222"/>
        </w:trPr>
        <w:tc>
          <w:tcPr>
            <w:tcW w:w="6320" w:type="dxa"/>
            <w:vAlign w:val="bottom"/>
          </w:tcPr>
          <w:p>
            <w:pPr>
              <w:spacing w:after="0"/>
              <w:rPr>
                <w:sz w:val="20"/>
                <w:szCs w:val="20"/>
                <w:color w:val="auto"/>
              </w:rPr>
            </w:pPr>
            <w:r>
              <w:rPr>
                <w:rFonts w:ascii="Arial" w:cs="Arial" w:eastAsia="Arial" w:hAnsi="Arial"/>
                <w:sz w:val="18"/>
                <w:szCs w:val="18"/>
                <w:color w:val="auto"/>
              </w:rPr>
              <w:t>% of net revenue</w:t>
            </w:r>
          </w:p>
        </w:tc>
        <w:tc>
          <w:tcPr>
            <w:tcW w:w="1020" w:type="dxa"/>
            <w:vAlign w:val="bottom"/>
          </w:tcPr>
          <w:p>
            <w:pPr>
              <w:jc w:val="right"/>
              <w:ind w:right="186"/>
              <w:spacing w:after="0"/>
              <w:rPr>
                <w:sz w:val="20"/>
                <w:szCs w:val="20"/>
                <w:color w:val="auto"/>
              </w:rPr>
            </w:pPr>
            <w:r>
              <w:rPr>
                <w:rFonts w:ascii="Arial" w:cs="Arial" w:eastAsia="Arial" w:hAnsi="Arial"/>
                <w:sz w:val="18"/>
                <w:szCs w:val="18"/>
                <w:color w:val="auto"/>
              </w:rPr>
              <w:t>(0.5)%</w:t>
            </w:r>
          </w:p>
        </w:tc>
        <w:tc>
          <w:tcPr>
            <w:tcW w:w="1480" w:type="dxa"/>
            <w:vAlign w:val="bottom"/>
            <w:gridSpan w:val="2"/>
          </w:tcPr>
          <w:p>
            <w:pPr>
              <w:jc w:val="right"/>
              <w:ind w:right="460"/>
              <w:spacing w:after="0"/>
              <w:rPr>
                <w:sz w:val="20"/>
                <w:szCs w:val="20"/>
                <w:color w:val="auto"/>
              </w:rPr>
            </w:pPr>
            <w:r>
              <w:rPr>
                <w:rFonts w:ascii="Arial" w:cs="Arial" w:eastAsia="Arial" w:hAnsi="Arial"/>
                <w:sz w:val="18"/>
                <w:szCs w:val="18"/>
                <w:color w:val="auto"/>
              </w:rPr>
              <w:t>(1.0)%</w:t>
            </w:r>
          </w:p>
        </w:tc>
        <w:tc>
          <w:tcPr>
            <w:tcW w:w="5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20" w:firstLine="456"/>
        <w:spacing w:after="0" w:line="254" w:lineRule="auto"/>
        <w:rPr>
          <w:sz w:val="20"/>
          <w:szCs w:val="20"/>
          <w:color w:val="auto"/>
        </w:rPr>
      </w:pPr>
      <w:r>
        <w:rPr>
          <w:rFonts w:ascii="Arial" w:cs="Arial" w:eastAsia="Arial" w:hAnsi="Arial"/>
          <w:sz w:val="18"/>
          <w:szCs w:val="18"/>
          <w:color w:val="auto"/>
        </w:rPr>
        <w:t>The income tax benefit for the three months ended May 3, 2014 included the current income tax liability of $5.7 million, which was offset by tax benefits of $2.5 million from a net reduction in unrecognized tax benefits and $7.8 million from a increase in the net deferred tax assets because of the continued discussion with the Singapore tax authorities that resulted in an agreement for a major portion of the pre-tax income to be taxed at a new Development and Expansion Incentive (“DEI”). The net reduction in unrecognized tax benefits arose from the release of $4.9 million due to expiration of the statute of limitations, which was reduced by an increase in current unrecognized tax benefit estimates of $1.1 million and a $1.3 million tax expense related to the fiscal year 2014 tax return of a non-U.S. jurisdiction.</w:t>
      </w:r>
    </w:p>
    <w:p>
      <w:pPr>
        <w:spacing w:after="0" w:line="144"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The income tax benefit for the three months ended May 4, 2013 included the current income tax liability of $1.8 million and $0.7 million in settlements of audits in non-U.S, jurisdictions, which was more than offset by a net reduction in unrecognized tax benefits of $9.7 million for the three months ended May 4, 2013. The net reduction in unrecognized tax benefits primarily arose from the expiration of statute of limitations and from the settlement of two audits in non-U.S. jurisdictions, less increases in current unrecognized tax benefit estimates.</w:t>
      </w:r>
    </w:p>
    <w:p>
      <w:pPr>
        <w:spacing w:after="0" w:line="143" w:lineRule="exact"/>
        <w:rPr>
          <w:sz w:val="20"/>
          <w:szCs w:val="20"/>
          <w:color w:val="auto"/>
        </w:rPr>
      </w:pPr>
    </w:p>
    <w:p>
      <w:pPr>
        <w:ind w:right="260" w:firstLine="456"/>
        <w:spacing w:after="0" w:line="306" w:lineRule="auto"/>
        <w:rPr>
          <w:sz w:val="20"/>
          <w:szCs w:val="20"/>
          <w:color w:val="auto"/>
        </w:rPr>
      </w:pPr>
      <w:r>
        <w:rPr>
          <w:rFonts w:ascii="Arial" w:cs="Arial" w:eastAsia="Arial" w:hAnsi="Arial"/>
          <w:sz w:val="16"/>
          <w:szCs w:val="16"/>
          <w:color w:val="auto"/>
        </w:rPr>
        <w:t>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$18 million from the lapse of the statutes of limitation in various jurisdictions during the next 12 months.</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operate under tax incentives in certain countries, which may be extended if certain additional requirements are satisfied. The tax incentives are</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conditional upon meeting certain employment and investment thresholds. The impact of these tax incentives decreased foreign taxes by $3.3 million for the three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months ended May 3, 2014 and $2.1 million for the three months ended May 4, 2013. The benefit of the tax incentives on net income per share was less than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$0.01 per share for the three months ended May 3, 2014 and May 4, 2013. Our continued discussions with the Singapore Economic Development Board (“EDB”)</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regarding incentives after June 2014 have resulted in an agreement for a major portion of a new DEI. We continue to discuss the remaining portion of the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incentives with the EDB in order to reach an agreement by June 30, 2014.</w:t>
      </w:r>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96" w:lineRule="exact"/>
        <w:rPr>
          <w:sz w:val="20"/>
          <w:szCs w:val="20"/>
          <w:color w:val="auto"/>
        </w:rPr>
      </w:pPr>
    </w:p>
    <w:p>
      <w:pPr>
        <w:ind w:firstLine="456"/>
        <w:spacing w:after="0" w:line="284" w:lineRule="auto"/>
        <w:rPr>
          <w:sz w:val="20"/>
          <w:szCs w:val="20"/>
          <w:color w:val="auto"/>
        </w:rPr>
      </w:pPr>
      <w:r>
        <w:rPr>
          <w:rFonts w:ascii="Arial" w:cs="Arial" w:eastAsia="Arial" w:hAnsi="Arial"/>
          <w:sz w:val="16"/>
          <w:szCs w:val="16"/>
          <w:color w:val="auto"/>
        </w:rPr>
        <w:t>Our principal source of liquidity as of May 3, 2014 consisted of approximately $2.1 billion of cash, cash equivalents and short-term investments, of which approximately $900 million is held by foreign subsidiaries (outside Bermuda). Approximately $500 million of this amount held by foreign subsidiaries is related to undistributed earnings, which have been indefinitely reinvested outside of Bermuda. These funds are primarily held in Israel, the United States and Switzerland. We have plans to use such amounts to fund various activities outside of Bermuda including working capital requirements, capital expenditures for expansion, funding of future acquisitions, or other financing activities. If such funds were needed by the parent company in Bermuda or if the amounts were otherwise no longer considered indefinitely reinvested, we would incur a tax expense of approximately $150 million. We believe that our existing cash, cash equivalents and short-term investments, together with cash generated from operations, exercise of employee stock options and purchases under our employee stock purchase plan will be sufficient to cover our working capital needs, capital expenditures, investment requirements, any declared dividends and commitments for at least the next 12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 In addition, we are named as defendants to several litigation actions and an unfavorable outcome in any current litigation could have a material adverse effect on our liquidity, cash flows and results of operations. Specifically, with respect to the CMU litigation, a jury has awarded past damages of $1.17 billion, and CMU has sought pre-judgment interest, post-judgment interest, attorneys’ fees, and an injunction and/or ongoing royalties. Based on a series of post-trial rulings, the District Court calculated the damages including enhancement to total approximately $1.54 billion, and held that, under its decision, CMU is entitled to post judgment interest and an ongoing royalty. Based on the royalty rate assessed by the District Court, such additional royalties through May 3, 2014 would be approximately $250 million. On May 7, 2014, the District Court entered final judgment and on May 14, 2014 we filed a notice of appeal and posted a bond to stay execution of judgment pending the appeal. We strongly believe that we do not infringe on the methods described in the CMU patents and that our products use our own internally developed patented read channel technology. See the section entitled “Off-Balance Sheet Arrangements” below for a discussion of the effects on liquidity from the CMU litigation.</w:t>
      </w:r>
    </w:p>
    <w:p>
      <w:pPr>
        <w:spacing w:after="0" w:line="131"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To the extent that our existing cash, cash equivalents and short-term investments and cash generated by operations are insufficient to fund our future activities, we may need to raise additional funds through public or private debt or equity financing. We may also enter into additional acquisitions of businesses, purchase assets or enter into other strategic arrangements in the future, which could also require us to seek debt or equity financing. Additional equity financing or convertible debt financing may be dilutive to our current shareholders. If we</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20"/>
          </w:cols>
          <w:pgMar w:left="240" w:top="45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200"/>
        <w:spacing w:after="0" w:line="259" w:lineRule="auto"/>
        <w:rPr>
          <w:sz w:val="20"/>
          <w:szCs w:val="20"/>
          <w:color w:val="auto"/>
        </w:rPr>
      </w:pPr>
      <w:r>
        <w:rPr>
          <w:rFonts w:ascii="Arial" w:cs="Arial" w:eastAsia="Arial" w:hAnsi="Arial"/>
          <w:sz w:val="18"/>
          <w:szCs w:val="18"/>
          <w:color w:val="auto"/>
        </w:rPr>
        <w:t>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shares.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90" w:lineRule="exact"/>
        <w:rPr>
          <w:sz w:val="20"/>
          <w:szCs w:val="20"/>
          <w:color w:val="auto"/>
        </w:rPr>
      </w:pPr>
    </w:p>
    <w:p>
      <w:pPr>
        <w:ind w:right="140" w:firstLine="456"/>
        <w:spacing w:after="0" w:line="291" w:lineRule="auto"/>
        <w:rPr>
          <w:sz w:val="20"/>
          <w:szCs w:val="20"/>
          <w:color w:val="auto"/>
        </w:rPr>
      </w:pPr>
      <w:r>
        <w:rPr>
          <w:rFonts w:ascii="Arial" w:cs="Arial" w:eastAsia="Arial" w:hAnsi="Arial"/>
          <w:sz w:val="16"/>
          <w:szCs w:val="16"/>
          <w:color w:val="auto"/>
        </w:rPr>
        <w:t>Net cash provided by operating activities was $235.1 million for the three months ended May 3, 2014. The cash inflows from operations for the three months ended May 3, 2014 were due to $165.0 million of net income adjusted for non-cash items and a positive effect from changes in working capital of $70.1 million. The cash inflow from working capital for the three months ended May 3, 2014 was primarily driven by an increase in accounts payable as production activity was higher in the first quarter of fiscal 2015 and deferred income due to higher inventory levels at distributors. In addition, accrued employee compensation increased primarily due to higher contributions withheld for the employee stock purchase plan. This positive impact on working capital was partially offset by an increase in accounts receivable from higher revenue levels and proportionally higher shipments in the second half of the quarter.</w:t>
      </w:r>
    </w:p>
    <w:p>
      <w:pPr>
        <w:spacing w:after="0" w:line="120" w:lineRule="exact"/>
        <w:rPr>
          <w:sz w:val="20"/>
          <w:szCs w:val="20"/>
          <w:color w:val="auto"/>
        </w:rPr>
      </w:pPr>
    </w:p>
    <w:p>
      <w:pPr>
        <w:ind w:right="180" w:firstLine="456"/>
        <w:spacing w:after="0" w:line="332" w:lineRule="auto"/>
        <w:rPr>
          <w:sz w:val="20"/>
          <w:szCs w:val="20"/>
          <w:color w:val="auto"/>
        </w:rPr>
      </w:pPr>
      <w:r>
        <w:rPr>
          <w:rFonts w:ascii="Arial" w:cs="Arial" w:eastAsia="Arial" w:hAnsi="Arial"/>
          <w:sz w:val="16"/>
          <w:szCs w:val="16"/>
          <w:color w:val="auto"/>
        </w:rPr>
        <w:t>Net cash provided by operating activities was $83.9 million for the three months ended May 4, 2013. The cash inflows from operations for the three months ended May 4, 2013 were primarily due to $124.9 million of net income adjusted for non-cash items, offset by working capital changes of $41.0 million.</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(Used in) Provided by Investing Activities</w:t>
      </w:r>
    </w:p>
    <w:p>
      <w:pPr>
        <w:spacing w:after="0" w:line="90" w:lineRule="exact"/>
        <w:rPr>
          <w:sz w:val="20"/>
          <w:szCs w:val="20"/>
          <w:color w:val="auto"/>
        </w:rPr>
      </w:pPr>
    </w:p>
    <w:p>
      <w:pPr>
        <w:ind w:right="280" w:firstLine="456"/>
        <w:spacing w:after="0" w:line="306" w:lineRule="auto"/>
        <w:rPr>
          <w:sz w:val="20"/>
          <w:szCs w:val="20"/>
          <w:color w:val="auto"/>
        </w:rPr>
      </w:pPr>
      <w:r>
        <w:rPr>
          <w:rFonts w:ascii="Arial" w:cs="Arial" w:eastAsia="Arial" w:hAnsi="Arial"/>
          <w:sz w:val="16"/>
          <w:szCs w:val="16"/>
          <w:color w:val="auto"/>
        </w:rPr>
        <w:t>Net cash used in investing activities was $24.3 million for the three months ended May 3, 2014 compared to net cash provided by investing activities of $0.4 million for the three months ended May 4, 2013. For the three months ended May 3, 2014, net cash used in investing activities was primarily from the payment of $16.1 million for the purchase of property and equipment and $8.1 million for the purchase of technology licenses.</w:t>
      </w:r>
    </w:p>
    <w:p>
      <w:pPr>
        <w:spacing w:after="0" w:line="107"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Net cash provided by investing activities for the three months ended May 4, 2013 was generated from the sales and maturities of available-for-sale securities of $335.8 million less purchases of available-for-sale securities of $306.8 million. In addition, we paid $20.1 million for the purchase of property and equipment and $5.9 million for the purchase of technology licenses.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Used in Financing Activities</w:t>
      </w:r>
    </w:p>
    <w:p>
      <w:pPr>
        <w:spacing w:after="0" w:line="90"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Net cash used in financing activities was $35.3 million for the three months ended May 3, 2014 compared to net cash used in financing activities of $241.8 million for the three months ended May 4, 2013. For the three months ended May 3, 2014, net cash used in financing activities was primarily attributable to payments of our quarterly dividends of $30.2 million. In addition, we paid $24.3 million for the minimum tax withholding on behalf of employees for net share settlements, which was partially offset by $19.1 million proceeds from the issuance of our common shares under our share-based plans</w:t>
      </w:r>
    </w:p>
    <w:p>
      <w:pPr>
        <w:spacing w:after="0" w:line="113"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Net cash used in financing activities for the three months ended May 4, 2013 was primarily attributable to repurchases under our share repurchase program. Adjusted for repurchases made in the final three days of the quarter that were accrued but not yet paid due to the standard three-days settlement period, we paid $216.7 million to repurchase shares. The cash outflow was partially offset by net proceeds of $10.4 million from the issuance of our common shares under our share-based plans less the minimum tax withholding paid on behalf of employees for net share settlements.</w:t>
      </w:r>
    </w:p>
    <w:p>
      <w:pPr>
        <w:spacing w:after="0" w:line="2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96"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On May 14, 2014, we filed a Notice of Appeal to appeal the final judgment issued by the District Court in the CMU litigation. In order to stay the execution of the final judgment pending its appeal, we filed a supersedeas bond for $1.54 billion with the District Court. The bond was issued by a consortium of sureties authorized by the U.S. Treasury. If the judgment is affirmed after the completion of all appellate proceedings, and we do not thereafter fully satisfy the judgment within thirty days, the sureties are obligated under the bond to make payment to CMU. In support of the bond, we entered into separate indemnity agreements with each of the sureties to indemnify the sureties from all costs and payments made under the bond. The indemnity agreements did not require collateral to be posted at the time of the issuance of the bond. Therefore no cash or other Company assets are considered restricted as of the date of this filing. However, the indemnity agreements provide that each of the sureties have the right to demand to be placed in funds or call for collateral under pre-defined events. The indemnity agreements will remain outstanding for as long as the underlying bond remains outstanding.</w:t>
      </w:r>
    </w:p>
    <w:p>
      <w:pPr>
        <w:spacing w:after="0" w:line="118"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The Court has required us to report ongoing royalties under the current judgment. Based on the royalty rate assessed by the District Court, such additional royalties through May 3, 2014 would be approximately $250 million. It is unknown at this time whether we will be required to secure all or a portion of the ongoing royalties. If we are required to secure all or some portion of the ongoing royalties, we may be required to post cash or other Company assets as collateral.</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00"/>
          </w:cols>
          <w:pgMar w:left="240" w:top="459" w:right="25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306" w:lineRule="auto"/>
        <w:rPr>
          <w:sz w:val="20"/>
          <w:szCs w:val="20"/>
          <w:color w:val="auto"/>
        </w:rPr>
      </w:pPr>
      <w:r>
        <w:rPr>
          <w:rFonts w:ascii="Arial" w:cs="Arial" w:eastAsia="Arial" w:hAnsi="Arial"/>
          <w:sz w:val="16"/>
          <w:szCs w:val="16"/>
          <w:color w:val="auto"/>
        </w:rPr>
        <w:t>As part of our ongoing business, we do not participate in transactions that generate relationships with unconsolidated entities of financial partnerships, such as entities often referred to as structured finance or special purpose entities (“SPEs”), which would have been established for the purpose of facilitating off-balance sheet arrangements or other contractually narrow or limited purposes. As of May 3, 2014, we were not involved in any unconsolidated SPE transactions.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w:t>
      </w:r>
    </w:p>
    <w:p>
      <w:pPr>
        <w:spacing w:after="0" w:line="96" w:lineRule="exact"/>
        <w:rPr>
          <w:sz w:val="20"/>
          <w:szCs w:val="20"/>
          <w:color w:val="auto"/>
        </w:rPr>
      </w:pPr>
    </w:p>
    <w:p>
      <w:pPr>
        <w:ind w:right="260" w:firstLine="456"/>
        <w:spacing w:after="0" w:line="259" w:lineRule="auto"/>
        <w:rPr>
          <w:sz w:val="20"/>
          <w:szCs w:val="20"/>
          <w:color w:val="auto"/>
        </w:rPr>
      </w:pPr>
      <w:r>
        <w:rPr>
          <w:rFonts w:ascii="Arial" w:cs="Arial" w:eastAsia="Arial" w:hAnsi="Arial"/>
          <w:sz w:val="18"/>
          <w:szCs w:val="18"/>
          <w:color w:val="auto"/>
        </w:rPr>
        <w:t>We presented our contractual obligations at February 1, 2014 in our Annual Report on Form 10-K for the fiscal year then ended. There have been no material changes outside the ordinary course of business in those obligations during the three months ended May 3, 2014, other than as noted under the section entitled “Off-Balance Sheet Arrangements” above.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96"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i w:val="1"/>
          <w:iCs w:val="1"/>
          <w:color w:val="auto"/>
        </w:rPr>
        <w:t>Interest Rate Risk</w:t>
      </w:r>
      <w:r>
        <w:rPr>
          <w:rFonts w:ascii="Arial" w:cs="Arial" w:eastAsia="Arial" w:hAnsi="Arial"/>
          <w:sz w:val="16"/>
          <w:szCs w:val="16"/>
          <w:color w:val="auto"/>
        </w:rPr>
        <w:t>. Our interest rate risk relates primarily to our fixed income short-term investment portfolio as we did not have any outstanding debt as of</w:t>
      </w:r>
      <w:r>
        <w:rPr>
          <w:rFonts w:ascii="Arial" w:cs="Arial" w:eastAsia="Arial" w:hAnsi="Arial"/>
          <w:sz w:val="16"/>
          <w:szCs w:val="16"/>
          <w:i w:val="1"/>
          <w:iCs w:val="1"/>
          <w:color w:val="auto"/>
        </w:rPr>
        <w:t xml:space="preserve"> </w:t>
      </w:r>
      <w:r>
        <w:rPr>
          <w:rFonts w:ascii="Arial" w:cs="Arial" w:eastAsia="Arial" w:hAnsi="Arial"/>
          <w:sz w:val="16"/>
          <w:szCs w:val="16"/>
          <w:color w:val="auto"/>
        </w:rPr>
        <w:t>May 3, 2014. We maintain an investment policy that requires minimum credit ratings, diversification of credit risk and limits the long-term interest rate risk by requiring maturities of generally less than five years. We invest our excess cash primarily in highly liquid debt instruments of the U.S. government and its agencies, time deposits, money market mutual funds, asset backed securities and corporate debt securities. These investments are classified as available-for-sale and, consequently, are recorded on our balance sheets at fair market value with their related unrealized gain or loss reflected as a component of accumulated other comprehensive income in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w:t>
      </w:r>
    </w:p>
    <w:p>
      <w:pPr>
        <w:spacing w:after="0" w:line="118"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To provide an assessment of the interest rate risk associated with our investment portfolio, we performed a sensitivity analysis to determine the impact that an adverse change in interest rates would have on the value of the investment portfolio. Based on investment positions as of May 3, 2014, a hypothetical 100 basis point increase in interest rates across all maturities would result in a $13.7 million decline in the fair market value of the portfolio. Due to our positive cash flow from operations, the relatively short-term nature of our investment portfolio and our ability to hold investments to maturity, such change in fair market value would likely not have resulted in any cash flow impact.</w:t>
      </w:r>
    </w:p>
    <w:p>
      <w:pPr>
        <w:spacing w:after="0" w:line="143"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As of May 3, 2014, our investment portfolio included $16.2 million in par value of auction rate securities. Beginning in February 2008, liquidity issues in the global credit markets resulted in a failure of auction rate securities, as the amount of securities submitted for sale in those auctions exceeded the amount of bids. Since this time, many of the issuers have refinanced their debt and paid down the auction rate securities which have resulted in a smaller pool of outstanding securities. Although these securities have continued to pay interest and show an improvement in the underlying collateralization, there is currently limited trading volume. To estimate the fair value of the auction rate securities, we use a discounted cash flow model based on estimated timing and amount of future interest and principal payments. In developing the cash flow model, we consider the credit quality and liquidity of the underlying securities and related issuer, the collateralization of underlying security investments and other considerations. As of May 3, 2014, the fair value of auction rate securities in our investment portfolio was $2.7 million less than par value and the fair value was recorded in long-term investments.</w:t>
      </w:r>
    </w:p>
    <w:p>
      <w:pPr>
        <w:spacing w:after="0" w:line="118"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Based on our balance of approximately $2.1 billion in cash, cash equivalents and short-term investments, and the fact that we continue to generate positive cash flow on a quarterly basis, we do not anticipate having to sell these securities below par value and do not have the intent to sell these auction rate securities until recovery. Since we consider the impairment to be temporary, we recorded the unrealized loss to accumulated other comprehensive income, a component of shareholders’ equity.</w:t>
      </w:r>
    </w:p>
    <w:p>
      <w:pPr>
        <w:spacing w:after="0" w:line="143"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i w:val="1"/>
          <w:iCs w:val="1"/>
          <w:color w:val="auto"/>
        </w:rPr>
        <w:t xml:space="preserve">Investment Risk. </w:t>
      </w:r>
      <w:r>
        <w:rPr>
          <w:rFonts w:ascii="Arial" w:cs="Arial" w:eastAsia="Arial" w:hAnsi="Arial"/>
          <w:sz w:val="18"/>
          <w:szCs w:val="18"/>
          <w:color w:val="auto"/>
        </w:rPr>
        <w:t>We invest in equity instruments of privately held companies for strategic purposes. We account for these investments under the cost</w:t>
      </w:r>
      <w:r>
        <w:rPr>
          <w:rFonts w:ascii="Arial" w:cs="Arial" w:eastAsia="Arial" w:hAnsi="Arial"/>
          <w:sz w:val="18"/>
          <w:szCs w:val="18"/>
          <w:i w:val="1"/>
          <w:iCs w:val="1"/>
          <w:color w:val="auto"/>
        </w:rPr>
        <w:t xml:space="preserve"> </w:t>
      </w:r>
      <w:r>
        <w:rPr>
          <w:rFonts w:ascii="Arial" w:cs="Arial" w:eastAsia="Arial" w:hAnsi="Arial"/>
          <w:sz w:val="18"/>
          <w:szCs w:val="18"/>
          <w:color w:val="auto"/>
        </w:rPr>
        <w:t>method when we do not have the ability to exercise significant influence or control over the operations of these companies and under the equity method when we have the ability to exercise significant influence, but do not have control. Carrying value of these equity investments was $15.0 million at May 3, 2014, and was included in other non-current assets in our balance sheets. We monitor these investments for impairment and make appropriate reductions in carrying value when an impairment is deemed to be other-than-temporary.</w:t>
      </w:r>
    </w:p>
    <w:p>
      <w:pPr>
        <w:spacing w:after="0" w:line="143"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Substantially all of our sales and the majority of our expenses are denominated in U.S. dollars. Since we operate in many</w:t>
      </w:r>
      <w:r>
        <w:rPr>
          <w:rFonts w:ascii="Arial" w:cs="Arial" w:eastAsia="Arial" w:hAnsi="Arial"/>
          <w:sz w:val="16"/>
          <w:szCs w:val="16"/>
          <w:i w:val="1"/>
          <w:iCs w:val="1"/>
          <w:color w:val="auto"/>
        </w:rPr>
        <w:t xml:space="preserve"> </w:t>
      </w:r>
      <w:r>
        <w:rPr>
          <w:rFonts w:ascii="Arial" w:cs="Arial" w:eastAsia="Arial" w:hAnsi="Arial"/>
          <w:sz w:val="16"/>
          <w:szCs w:val="16"/>
          <w:color w:val="auto"/>
        </w:rPr>
        <w:t>countries, we pay certain payroll and other operating expenses in local currencies and these expenses may be higher or lower in U.S. dollar terms. Furthermore, our operations in Israel and China represent a large portion of our total foreign currency exposure. We may also hold certain assets and liabilities, including potential tax liabilities in local currency on our balance sheet. These tax liabilities would be settled in local currency. Therefore, foreign exchange gains and losses from remeasuring the tax liabilities are recorded to interest and other income, net. The related effects of foreign exchange fluctuations on local currency expenses are recorded to operating expenses. Significant fluctuations in exchange rates in countries where we incur expenses or record assets or liabilities in local currency could affect our business and operating results in the future. There is also a risk that our customers may be negatively impacted in their ability to purchase our products priced in U.S. dollars when there has been significant volatility in foreign currency exchange rates.</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20"/>
          </w:cols>
          <w:pgMar w:left="240" w:top="459" w:right="2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engage in hedging transactions to help mitigate some of the volatility to forecasted cash flows due to changes in foreign exchange rates, and in particular hedge a portion of the forecasted Israeli shekel expenses and forecasted Chinese yuan expense. We enter into certain short-term forward exchange contracts, typically less than 12 months in duration, to hedge exposures for expenses and purchases denominated in foreign currencies when the currency exposure is significant and there is a high certainty of the underlying cash flow. We do not enter into derivative financial instruments for trading or speculative purposes. We may choose not to hedge certain foreign exchange exposures due to immateriality, offsetting exposures, prohibitive economic cost of hedging a particular currency, and limited availability of appropriate hedging instruments. To the extent our foreign currency hedges are effective, the results of the hedge activities offset the underlying expense within the operating expense. Financial instruments not designated as hedges or hedges deemed ineffective are recorded in interest and other income, net. We do not hedge our tax liabilities denominated in local currency on our balance sheet as the timing of these tax liabilities becoming cash flows is not deemed to be certain.</w:t>
      </w:r>
    </w:p>
    <w:p>
      <w:pPr>
        <w:spacing w:after="0" w:line="120"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4.3%. We expect our hedges of foreign currency exposures to be highly effective and offset a significant portion of the short-term impact of changes in exchange rates.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96"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Our management, with the participation of our Chief Executive Officer and our Chief Financial Officer, has evaluated the effectiveness of our disclosure controls and procedures (as defined in Rule 13a-15(e) of the Exchange Act). Our disclosure controls and procedures are designed to ensure that information required to be disclosed is recorded, processed, summarized and reported within the time periods specified in the rules and forms of the Securities and Exchange Commission and that such information is accumulated and communicated to management, including the Chief Executive Officer and Chief Financial Officer, as appropriate, to allow timely decisions regarding required disclosure. Based on this evaluation, our Chief Executive Officer and Chief Financial Officer concluded that, as of May 3, 2014, our disclosure controls and procedures were effective to provide reasonable assurance.</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96"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There were no changes in our internal control over financial reporting during the three months ended May 3, 2014 that have materially affected, or are reasonably likely to materially affect, our internal control over financial reporting.</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Limitation on Effectiveness of Controls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It should be noted that any system of controls, however well designed and operated, can provide only reasonable, and not absolute, assurance that the objectives of the system are met. The design of any control system is based, in part, upon the benefits of the control system relative to its costs. Control systems can be circumvented by the individual acts of some persons, by collusion of two or more people, or by management override of the control. In addition, over time, controls may become inadequate because of changes in conditions, or the degree of compliance with the policies and procedures may deteriorate. In addition, the design of any control system is based in part upon certain assumptions about the likelihood of future events.</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20"/>
          </w:cols>
          <w:pgMar w:left="240" w:top="459" w:right="2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 OTHER INFORMATION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96"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The information under the caption ‘Contingencies’ as set forth in “Note 10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96"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i w:val="1"/>
          <w:iCs w:val="1"/>
          <w:color w:val="auto"/>
        </w:rPr>
        <w:t>Before deciding to purchase, hold or sell our common shares, you should carefully consider the risks described below in addition to the other cautionary statements and risks described elsewhere and the other information contained in this Quarterly Report on Form 10-Q and in our other filings with the Securities and Exchange Commission (“SEC”), including our Annual Report on Form 10-K for the year ended February 1, 2014 and subsequent reports on Forms 10-Q and 8-K. Many of these risks and uncertainties are beyond our control, including business cycles and seasonal trends of the computing, semiconductor and related industries.</w:t>
      </w:r>
    </w:p>
    <w:p>
      <w:pPr>
        <w:spacing w:after="0" w:line="224"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113"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132"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51" w:lineRule="exact"/>
        <w:rPr>
          <w:sz w:val="20"/>
          <w:szCs w:val="20"/>
          <w:color w:val="auto"/>
        </w:rPr>
      </w:pPr>
    </w:p>
    <w:p>
      <w:pPr>
        <w:ind w:left="900" w:right="40" w:hanging="325"/>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specific conditions in the end markets we address, including the continuing volatility in the technology sector and semiconductor industry;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highly competitive nature of the end markets we serve, particularly within the semiconductor industry;</w:t>
      </w:r>
    </w:p>
    <w:p>
      <w:pPr>
        <w:spacing w:after="0" w:line="90" w:lineRule="exact"/>
        <w:rPr>
          <w:rFonts w:ascii="Arial" w:cs="Arial" w:eastAsia="Arial" w:hAnsi="Arial"/>
          <w:sz w:val="18"/>
          <w:szCs w:val="18"/>
          <w:color w:val="auto"/>
        </w:rPr>
      </w:pPr>
    </w:p>
    <w:p>
      <w:pPr>
        <w:ind w:left="900" w:right="400" w:hanging="325"/>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90" w:lineRule="exact"/>
        <w:rPr>
          <w:rFonts w:ascii="Arial" w:cs="Arial" w:eastAsia="Arial" w:hAnsi="Arial"/>
          <w:sz w:val="18"/>
          <w:szCs w:val="18"/>
          <w:color w:val="auto"/>
        </w:rPr>
      </w:pPr>
    </w:p>
    <w:p>
      <w:pPr>
        <w:ind w:left="900" w:hanging="325"/>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 and our reliance on third parties to produce our products;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6"/>
          <w:szCs w:val="16"/>
          <w:color w:val="auto"/>
        </w:rPr>
      </w:pPr>
      <w:r>
        <w:rPr>
          <w:rFonts w:ascii="Arial" w:cs="Arial" w:eastAsia="Arial" w:hAnsi="Arial"/>
          <w:sz w:val="16"/>
          <w:szCs w:val="16"/>
          <w:color w:val="auto"/>
        </w:rPr>
        <w:t>cancellations, rescheduling or deferrals of significant customer orders or shipments, as well as the ability of our customers to manage inventory;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gain or loss of a design win or key customer;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seasonality in sales of consumer devices in which our products are incorporated;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0" w:lineRule="exact"/>
        <w:rPr>
          <w:rFonts w:ascii="Arial" w:cs="Arial" w:eastAsia="Arial" w:hAnsi="Arial"/>
          <w:sz w:val="18"/>
          <w:szCs w:val="18"/>
          <w:color w:val="auto"/>
        </w:rPr>
      </w:pPr>
    </w:p>
    <w:p>
      <w:pPr>
        <w:ind w:left="900" w:right="340" w:hanging="325"/>
        <w:spacing w:after="0" w:line="268" w:lineRule="auto"/>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 as well as our ability to anticipate and adapt to changes in technology;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failure to protect our intellectual property;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impact of a significant natural disaster, including earthquakes, floods and tsunamis;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ability to attract and retain highly skilled managerial, engineering, sales and marketing personnel.</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00"/>
          </w:cols>
          <w:pgMar w:left="240" w:top="459" w:right="25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Due to fluctuations in our quarterly results of operations and other factors, the price at which our common shares will trade is likely to continue to be highly volatile. From January 30, 2011 through May 3, 2014, our common shares have traded as low as $6.98 and as high as $20.42 per share. Accordingly, you may not be able to resell your common shares at or above the price you paid. In future periods, our stock price could decline if, amongst other factors, our revenues or operating results are below our estimates or the estimates or expectations of securities analysts and investors.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operate in intensely competitive markets, and our failure to compete effectively would harm our results of operations.</w:t>
      </w:r>
    </w:p>
    <w:p>
      <w:pPr>
        <w:spacing w:after="0" w:line="90" w:lineRule="exact"/>
        <w:rPr>
          <w:sz w:val="20"/>
          <w:szCs w:val="20"/>
          <w:color w:val="auto"/>
        </w:rPr>
      </w:pPr>
    </w:p>
    <w:p>
      <w:pPr>
        <w:ind w:right="60" w:firstLine="456"/>
        <w:spacing w:after="0" w:line="285" w:lineRule="auto"/>
        <w:rPr>
          <w:sz w:val="20"/>
          <w:szCs w:val="20"/>
          <w:color w:val="auto"/>
        </w:rPr>
      </w:pPr>
      <w:r>
        <w:rPr>
          <w:rFonts w:ascii="Arial" w:cs="Arial" w:eastAsia="Arial" w:hAnsi="Arial"/>
          <w:sz w:val="16"/>
          <w:szCs w:val="16"/>
          <w:color w:val="auto"/>
        </w:rPr>
        <w:t>The semiconductor industry and specifically the mobile and wireless communications markets are extremely competitive, and we expect competition to intensify as current competitors expand their product offerings and new competitors enter the market. This has especially intensified as semiconductor companies have begun to offer more integrated platforms. We currently compete with a number of large domestic and international companies in the business of designing integrated circuits and related applications, some of which have greater financial, technical and management resources than us. Our efforts to introduce new products into markets with entrenched competitors will expose us to additional competitive pressures. For example, we expect we will face significant competition in the transition into the LTE market. We expect competition to continue to increase as industry standards continue to evolve and become better known, and others realize the market potential of this trend to platform integration. As competition in the markets in which we operate continues to increase, our revenues and gross margins may decline. For example, competitors with greater financial resources may be able to offer lower prices than us, or they may offer additional products, services or other incentives that we may not be able to match. In addition, many of our competitors operate and maintain their own fabrication facilities and have longer operating histories, greater name recognition, larger customer bases, and greater sales, marketing and distribution resources than we do. Furthermore, our current and potential competitors in the mobile and wireless markets have established or may establish financial and strategic relationships among themselves or with existing or potential customers or other third parties to increase the ability of their products to address the needs of customers. Accordingly, new competitors or alliances among these competitors may acquire significant market share, which would harm our business. While we continue to pursue similar strategic relationships, and currently have significant financial and technical resources, we cannot assure you that we will be able to continue to compete successfully against existing or new competitors, which would harm our results of operations.</w:t>
      </w:r>
    </w:p>
    <w:p>
      <w:pPr>
        <w:spacing w:after="0" w:line="126" w:lineRule="exact"/>
        <w:rPr>
          <w:sz w:val="20"/>
          <w:szCs w:val="20"/>
          <w:color w:val="auto"/>
        </w:rPr>
      </w:pPr>
    </w:p>
    <w:p>
      <w:pPr>
        <w:ind w:right="240" w:firstLine="456"/>
        <w:spacing w:after="0" w:line="256" w:lineRule="auto"/>
        <w:rPr>
          <w:sz w:val="20"/>
          <w:szCs w:val="20"/>
          <w:color w:val="auto"/>
        </w:rPr>
      </w:pPr>
      <w:r>
        <w:rPr>
          <w:rFonts w:ascii="Arial" w:cs="Arial" w:eastAsia="Arial" w:hAnsi="Arial"/>
          <w:sz w:val="18"/>
          <w:szCs w:val="18"/>
          <w:color w:val="auto"/>
        </w:rPr>
        <w:t>In addition, semiconductor providers have recently experienced consolidation. For example, Broadcom Corporation acquired NetLogic Microsystems in February 2011 and Texas Instruments Incorporated acquired National Semiconductor in September 2011. Other pending transactions may further consolidate competition in our industry. Consolidation among our competitors could lead to a changing competitive landscape, capabilities and market share, which could harm our results of operations.</w:t>
      </w:r>
    </w:p>
    <w:p>
      <w:pPr>
        <w:spacing w:after="0" w:line="224" w:lineRule="exact"/>
        <w:rPr>
          <w:sz w:val="20"/>
          <w:szCs w:val="20"/>
          <w:color w:val="auto"/>
        </w:rPr>
      </w:pPr>
    </w:p>
    <w:p>
      <w:pPr>
        <w:spacing w:after="0" w:line="268" w:lineRule="auto"/>
        <w:rPr>
          <w:sz w:val="20"/>
          <w:szCs w:val="20"/>
          <w:color w:val="auto"/>
        </w:rPr>
      </w:pPr>
      <w:r>
        <w:rPr>
          <w:rFonts w:ascii="Arial" w:cs="Arial" w:eastAsia="Arial" w:hAnsi="Arial"/>
          <w:sz w:val="18"/>
          <w:szCs w:val="18"/>
          <w:b w:val="1"/>
          <w:bCs w:val="1"/>
          <w:i w:val="1"/>
          <w:iCs w:val="1"/>
          <w:color w:val="auto"/>
        </w:rPr>
        <w:t>We are currently involved in a patent litigation action involving Carnegie Mellon University, and, if we do not prevail on appeal of the district court judgment, we could be liable for substantial damages.</w:t>
      </w:r>
    </w:p>
    <w:p>
      <w:pPr>
        <w:spacing w:after="0" w:line="5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On March 6, 2009, Carnegie Mellon University (“CMU”) filed a complaint in the U.S. District Court for the Western District of Pennsylvania naming</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Marvel Semiconductor, Inc. and us as defendants, and alleging patent infringement. CMU has asserted U.S. Patent Nos. 6,201,839 and 6,438,180 (collectively,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“CMU patents in suit”), which relate to read-channel integrated circuit devices and the hard disk drive (“HDD”) products incorporating such devices. A jury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trial began on November 26, 2012. On December 26, 2012, a jury delivered a verdict that found the CMU patents in suit were literally and willfully infringed and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valid, and awarded past damages in the amount of $1.17 billion. CMU sought in its post-trial motions enhanced damages up to three times the jury verdict, pre-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judgment interest up to $322 million, post-judgment interest, supplemental damages, attorneys’ fees, and an injunction and/or ongoing royalties. Post-trial</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motions were heard on May 1 and 2, 2013. On June 26, 2013, the District Court denied CMU’s post-trial motion for attorney fees without prejudice. 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August 23, 2013, the District Court denied our motion for mistrial. On September 23, 2013, the District Court denied our motion for judgment as a matter of law</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or a new trial on non-infringement, invalidity and other non-damages issues as well as our motion for reduced damages. On the same day, the District Court</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granted-in-part CMU’s motion for a finding of willful infringement and enhanced damages, reserving its further rulings on any enhancement of the verdict for a</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separate opinion. On January 14, 2014, the District Court denied our post-trial motion on laches. On March 31, 2014, the District Court rejected CMU’s motion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for an injunction. The District Court also denied CMU’s request for pre-judgment interest, and substantially scaled back CMU’s request for enhanced damages.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Based on these decisions, the Court calculated the damages including enhancement to total approximately $1.54 billion, and held that, under its decision, CMU is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entitled to post judgment interest and an ongoing royalty. On May 7, 2014, the District Court entered final judgment, from which we filed a notice of appeal on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May 14, 2014. We believe that there are strong grounds for appeal and we intend to vigorously challenge the District Court’s judgment via an appeal to the U.S.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Court of Appeals for the Federal Circuit in Washington, D.C., but there is no guarantee that we will be successful on appeal. Please see “Note 10 – Commitments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and Contingencies” of our Notes to Unaudited Condensed Consolidated Financial Statements set forth in Part I, Item 1 of this Quarterly Report on Form 10-Q for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 more detailed description of a number of litigation matters we are currently engaged in. If we are required to pay most or all of the damages calculated by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District Court after all appeals have been exhausted, this could have a material adverse effect on our business, financial condition, results of operations and cash</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flows.</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20"/>
          </w:cols>
          <w:pgMar w:left="240" w:top="459" w:right="2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On May 14, 2014, we filed a Notice of Appeal to appeal the final judgment issued by the District Court in the CMU litigation. In order to stay the execution of the final judgment pending its appeal, we filed a supersedeas bond for $1.54 billion with the District Court. The bond was issued by a consortium of sureties authorized by the U.S. Treasury. If the judgment is affirmed after the completion of all appellate proceedings, and we do not thereafter fully satisfy the judgment within thirty days, the sureties are obligated under the bond to make payment to CMU. In support of the bond, we entered into separate indemnity agreements with each of the sureties to indemnify the sureties from all costs and payments made under the bond. The indemnity agreements did not require collateral to be posted at the time of the issuance of the bond. Therefore no cash or other Company assets are considered restricted as of the date of this filing. However, the indemnity agreements provide that each of the sureties have the right to demand to be placed in funds or call for collateral under pre-defined events. The indemnity agreements will remain outstanding for as long as the underlying bond remains outstanding.</w:t>
      </w:r>
    </w:p>
    <w:p>
      <w:pPr>
        <w:spacing w:after="0" w:line="118"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The Court has required us to report ongoing royalties under the current judgment. Based on the royalty rate assessed by the District Court, such additional royalties through May 3, 2014 would be approximately $250 million. It is unknown at this time whether we will be required to secure all or a portion of the ongoing royalties. If we are required to secure all or some portion of the ongoing royalties, we may be required to post cash or other Company assets as collateral.</w:t>
      </w:r>
    </w:p>
    <w:p>
      <w:pPr>
        <w:spacing w:after="0" w:line="188" w:lineRule="exact"/>
        <w:rPr>
          <w:sz w:val="20"/>
          <w:szCs w:val="20"/>
          <w:color w:val="auto"/>
        </w:rPr>
      </w:pPr>
    </w:p>
    <w:p>
      <w:pPr>
        <w:ind w:right="56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HDD industry, which is highly cyclical, experiences rapid technological change, is subject to industry consolidation and is facing increased competition from alternative technologies.</w:t>
      </w:r>
    </w:p>
    <w:p>
      <w:pPr>
        <w:spacing w:after="0" w:line="51"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The HDD industry is intensely competitive, and the technology changes rapidly. This industry has historically been cyclical, with periods of increased demand and rapid growth followed by periods of oversupply and subsequent contraction. These cycles may affect us because some of our largest customers are participants in this industry.</w:t>
      </w:r>
    </w:p>
    <w:p>
      <w:pPr>
        <w:spacing w:after="0" w:line="140"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HDD manufacturers tend to order more components than they may need during growth periods, and sharply reduce orders for components during periods of contraction. Rapid technological changes in the HDD industry often result in shifts in market share among the industry’s participants. If the HDD manufacturers using our products do not retain or increase their market share, our sales may decrease.</w:t>
      </w:r>
    </w:p>
    <w:p>
      <w:pPr>
        <w:spacing w:after="0" w:line="140"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In addition, the HDD industry has experienced consolidation over the past several years. For example, during fiscal 2010, Toshiba acquired the HDD operations of Fujitsu. In December 2011, Seagate completed the acquisition of Samsung’s HDD unit. In March 2012, Western Digital completed the acquisition of Hitachi’s HDD unit. Consolidation among our customers could lead to changing demand for our products, replacement of our products by the merged entity with those of our competitors and cancellation of orders, each of which could harm our results of operations. On the other hand, this could lead to increased opportunities for our products within the combined company if we can leverage our technology and customer relationships.</w:t>
      </w:r>
    </w:p>
    <w:p>
      <w:pPr>
        <w:spacing w:after="0" w:line="11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Furthermore, future changes in the nature of information storage products could reduce demand for traditional HDDs. For example, products using alternative technologies, such as solid-state drives (“SSDs”) and other storage technologies could become a source of competition to manufacturers of HDDs. Although we offer SSD controllers, leveraging our technology in hard drives, we cannot ensure we will be able to maintain significant market share if demand for traditional HDDs decreases.</w:t>
      </w:r>
    </w:p>
    <w:p>
      <w:pPr>
        <w:spacing w:after="0" w:line="224" w:lineRule="exact"/>
        <w:rPr>
          <w:sz w:val="20"/>
          <w:szCs w:val="20"/>
          <w:color w:val="auto"/>
        </w:rPr>
      </w:pPr>
    </w:p>
    <w:p>
      <w:pPr>
        <w:ind w:right="40"/>
        <w:spacing w:after="0" w:line="332" w:lineRule="auto"/>
        <w:rPr>
          <w:sz w:val="20"/>
          <w:szCs w:val="20"/>
          <w:color w:val="auto"/>
        </w:rPr>
      </w:pPr>
      <w:r>
        <w:rPr>
          <w:rFonts w:ascii="Arial" w:cs="Arial" w:eastAsia="Arial" w:hAnsi="Arial"/>
          <w:sz w:val="16"/>
          <w:szCs w:val="16"/>
          <w:b w:val="1"/>
          <w:bCs w:val="1"/>
          <w:i w:val="1"/>
          <w:iCs w:val="1"/>
          <w:color w:val="auto"/>
        </w:rPr>
        <w:t>We may become involved with costly and lengthy litigation involving our patents and other intellectual property, which could subject us to liability, require us to indemnify our customers, require us to obtain or renew licenses, stop selling our products or force us to redesign our products.</w:t>
      </w:r>
    </w:p>
    <w:p>
      <w:pPr>
        <w:spacing w:after="0" w:line="4" w:lineRule="exact"/>
        <w:rPr>
          <w:sz w:val="20"/>
          <w:szCs w:val="20"/>
          <w:color w:val="auto"/>
        </w:rPr>
      </w:pPr>
    </w:p>
    <w:p>
      <w:pPr>
        <w:ind w:right="40" w:firstLine="456"/>
        <w:spacing w:after="0" w:line="253" w:lineRule="auto"/>
        <w:rPr>
          <w:sz w:val="20"/>
          <w:szCs w:val="20"/>
          <w:color w:val="auto"/>
        </w:rPr>
      </w:pPr>
      <w:r>
        <w:rPr>
          <w:rFonts w:ascii="Arial" w:cs="Arial" w:eastAsia="Arial" w:hAnsi="Arial"/>
          <w:sz w:val="18"/>
          <w:szCs w:val="18"/>
          <w:color w:val="auto"/>
        </w:rPr>
        <w:t>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For example, in our litigation with CMU, the District Court has calculated damages payable by Marvell including enhancement to total approximately $1.54 billion, and held that CMU is entitled to post judgment interest and an ongoing royalty. Based on the royalty rate assessed by the District Court, such additional royalties through May 3, 2014 would be approximately $250 million. If we receive a significant adverse judgment in any litigation matter that is ultimately upheld after all appeals, our results of operations, financial position and cash flows will be adversely affected.</w:t>
      </w:r>
    </w:p>
    <w:p>
      <w:pPr>
        <w:spacing w:after="0" w:line="147" w:lineRule="exact"/>
        <w:rPr>
          <w:sz w:val="20"/>
          <w:szCs w:val="20"/>
          <w:color w:val="auto"/>
        </w:rPr>
      </w:pPr>
    </w:p>
    <w:p>
      <w:pPr>
        <w:ind w:right="120" w:firstLine="456"/>
        <w:spacing w:after="0" w:line="253" w:lineRule="auto"/>
        <w:rPr>
          <w:sz w:val="20"/>
          <w:szCs w:val="20"/>
          <w:color w:val="auto"/>
        </w:rPr>
      </w:pPr>
      <w:r>
        <w:rPr>
          <w:rFonts w:ascii="Arial" w:cs="Arial" w:eastAsia="Arial" w:hAnsi="Arial"/>
          <w:sz w:val="18"/>
          <w:szCs w:val="18"/>
          <w:color w:val="auto"/>
        </w:rPr>
        <w:t>From time to time our subsidiaries and customers receive, and may continue to receive in the future, notices that allege claims of infringement, misappropriation or misuse of the intellectual property rights of third parties. In addition to standards-based infringement claims, infringement claims have also been directed against us and our subsidiaries’ proprietary technologies, particularly those related to storage technology, microprocessors and other circuit components. We have also had certain patent licenses with third parties that have not been renewed, and if we cannot successfully renew these licenses, our subsidiaries and customers could face claims of infringement.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13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00"/>
          </w:cols>
          <w:pgMar w:left="240" w:top="459" w:right="25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42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0" w:lineRule="exact"/>
        <w:rPr>
          <w:rFonts w:ascii="Arial" w:cs="Arial" w:eastAsia="Arial" w:hAnsi="Arial"/>
          <w:sz w:val="18"/>
          <w:szCs w:val="18"/>
          <w:color w:val="auto"/>
        </w:rPr>
      </w:pPr>
    </w:p>
    <w:p>
      <w:pPr>
        <w:ind w:left="900" w:right="6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that could adversely impact our liquidity or operating results;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71"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We may also be required to indemnify some customers under our contracts if a third party alleges, or a court finds, that our products have infringed upon the proprietary rights of other parties. From time to time, we have agreed to indemnify select customers for claims made against our products, where such claims allege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194" w:lineRule="exact"/>
        <w:rPr>
          <w:sz w:val="20"/>
          <w:szCs w:val="20"/>
          <w:color w:val="auto"/>
        </w:rPr>
      </w:pPr>
    </w:p>
    <w:p>
      <w:pPr>
        <w:ind w:right="220"/>
        <w:spacing w:after="0" w:line="332" w:lineRule="auto"/>
        <w:rPr>
          <w:sz w:val="20"/>
          <w:szCs w:val="20"/>
          <w:color w:val="auto"/>
        </w:rPr>
      </w:pPr>
      <w:r>
        <w:rPr>
          <w:rFonts w:ascii="Arial" w:cs="Arial" w:eastAsia="Arial" w:hAnsi="Arial"/>
          <w:sz w:val="16"/>
          <w:szCs w:val="16"/>
          <w:b w:val="1"/>
          <w:bCs w:val="1"/>
          <w:i w:val="1"/>
          <w:iCs w:val="1"/>
          <w:color w:val="auto"/>
        </w:rPr>
        <w:t>Our sales are concentrated in a few customers, and if we lose or experience a significant reduction in sales to any of these key customers, or if any of these key customers experience a significant decline in market share, our revenues may decrease substantially.</w:t>
      </w:r>
    </w:p>
    <w:p>
      <w:pPr>
        <w:spacing w:after="0" w:line="4"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color w:val="auto"/>
        </w:rPr>
        <w:t>We receive a significant amount of our revenues from a limited number of customers. Net revenue from our two largest customers represented 30% and 39% of our net revenue for the three months ended May 3, 2014 and May 4, 2013, respectively. Sales to our largest customers have fluctuated significantly from period to period and year to year primarily due to the timing and number of design wins with each customer, natural disasters that may divert a customer’s operations, as well as the continued diversification of our customer base as we expand into new markets, and will likely continue to fluctuate in the future. The loss of any of our large customers or a significant reduction in sales we make to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37" w:lineRule="exact"/>
        <w:rPr>
          <w:sz w:val="20"/>
          <w:szCs w:val="20"/>
          <w:color w:val="auto"/>
        </w:rPr>
      </w:pPr>
    </w:p>
    <w:p>
      <w:pPr>
        <w:ind w:left="900" w:right="50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a significant portion of our sales are made on a purchase order basis, which permits our customers to cancel, change or delay product purchase commitments with relatively short notice to us;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customers may purchase integrated circuits from our competitors;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customers may discontinue sales or lose market share in the markets for which they purchase our products;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customers may develop their own solutions; or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customers may be subject to severe business disruptions.</w:t>
      </w:r>
    </w:p>
    <w:p>
      <w:pPr>
        <w:spacing w:after="0" w:line="252" w:lineRule="exact"/>
        <w:rPr>
          <w:sz w:val="20"/>
          <w:szCs w:val="20"/>
          <w:color w:val="auto"/>
        </w:rPr>
      </w:pPr>
    </w:p>
    <w:p>
      <w:pPr>
        <w:jc w:val="both"/>
        <w:ind w:right="14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ability to grow our business.</w:t>
      </w:r>
    </w:p>
    <w:p>
      <w:pPr>
        <w:spacing w:after="0" w:line="59" w:lineRule="exact"/>
        <w:rPr>
          <w:sz w:val="20"/>
          <w:szCs w:val="20"/>
          <w:color w:val="auto"/>
        </w:rPr>
      </w:pPr>
    </w:p>
    <w:p>
      <w:pPr>
        <w:ind w:right="400" w:firstLine="456"/>
        <w:spacing w:after="0" w:line="306" w:lineRule="auto"/>
        <w:rPr>
          <w:sz w:val="20"/>
          <w:szCs w:val="20"/>
          <w:color w:val="auto"/>
        </w:rPr>
      </w:pPr>
      <w:r>
        <w:rPr>
          <w:rFonts w:ascii="Arial" w:cs="Arial" w:eastAsia="Arial" w:hAnsi="Arial"/>
          <w:sz w:val="16"/>
          <w:szCs w:val="16"/>
          <w:color w:val="auto"/>
        </w:rPr>
        <w:t>We do not have our own manufacturing or assembly facilities and have very limited in-house testing facilities. Therefore, we currently rely on several third-party foundries to produce our integrated circuit products. We also currently rely on several third-party assembly and test subcontractors to assemble, package and test our products. This exposes us to a variety of risks, including the following:</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Regional Concentration:</w:t>
      </w:r>
    </w:p>
    <w:p>
      <w:pPr>
        <w:spacing w:after="0" w:line="9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Substantially all of our products are manufactured by third-party foundries located in Taiwan. Our other sources for manufacturing are located in China and Singapore. In addition, substantially all of our third-party assembly and testing facilities are located in Singapore, Taiwan, Malaysia and the Philippines. Because of the geographic concentration of these third-party foundries, as well as our assembly and test subcontractors, we are exposed to the risk that their operations may be disrupted by regional disasters including earthquakes, tsunamis or typhoons, or by political changes. For example, the risk of an earthquake in Taiwan and elsewhere in the Pacific Rim region is significant due</w:t>
      </w:r>
    </w:p>
    <w:p>
      <w:pPr>
        <w:spacing w:after="0" w:line="12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00"/>
          </w:cols>
          <w:pgMar w:left="240" w:top="459" w:right="25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55" w:lineRule="auto"/>
        <w:rPr>
          <w:sz w:val="20"/>
          <w:szCs w:val="20"/>
          <w:color w:val="auto"/>
        </w:rPr>
      </w:pPr>
      <w:r>
        <w:rPr>
          <w:rFonts w:ascii="Arial" w:cs="Arial" w:eastAsia="Arial" w:hAnsi="Arial"/>
          <w:sz w:val="18"/>
          <w:szCs w:val="18"/>
          <w:color w:val="auto"/>
        </w:rPr>
        <w:t>to the proximity of major earthquake fault lines to the facilities of our foundries and assembly and test subcontractors. Taiwan has experienced significant earthquakes in the past and may be subject to additional earthquakes that could disrupt manufacturing operations. In the event of a significant natural disaster or a quarantine or closure that affects our manufacturers in the Pacific Rim, our revenues, cost of goods sold and results of operations would be negatively impacted. In addition, if we were unable to quickly identify alternate manufacturing facilities, we could experience significant delays in product shipments, which could harm our results of operations.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No Guarantee of Capacity or Supply:</w:t>
      </w:r>
    </w:p>
    <w:p>
      <w:pPr>
        <w:spacing w:after="0" w:line="90" w:lineRule="exact"/>
        <w:rPr>
          <w:sz w:val="20"/>
          <w:szCs w:val="20"/>
          <w:color w:val="auto"/>
        </w:rPr>
      </w:pPr>
    </w:p>
    <w:p>
      <w:pPr>
        <w:ind w:firstLine="456"/>
        <w:spacing w:after="0" w:line="309" w:lineRule="auto"/>
        <w:rPr>
          <w:sz w:val="20"/>
          <w:szCs w:val="20"/>
          <w:color w:val="auto"/>
        </w:rPr>
      </w:pPr>
      <w:r>
        <w:rPr>
          <w:rFonts w:ascii="Arial" w:cs="Arial" w:eastAsia="Arial" w:hAnsi="Arial"/>
          <w:sz w:val="15"/>
          <w:szCs w:val="15"/>
          <w:color w:val="auto"/>
        </w:rPr>
        <w:t>The ability of each foundry to provide us with semiconductor devices is limited by its available capacity and existing obligations. When demand is strong, availability of foundry capacity may be constrained or not available, and with limited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Moreover, if any of our third party foundry suppliers are unable to secure necessary 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108" w:lineRule="exact"/>
        <w:rPr>
          <w:sz w:val="20"/>
          <w:szCs w:val="20"/>
          <w:color w:val="auto"/>
        </w:rPr>
      </w:pPr>
    </w:p>
    <w:p>
      <w:pPr>
        <w:jc w:val="both"/>
        <w:ind w:right="260" w:firstLine="456"/>
        <w:spacing w:after="0" w:line="298" w:lineRule="auto"/>
        <w:rPr>
          <w:sz w:val="20"/>
          <w:szCs w:val="20"/>
          <w:color w:val="auto"/>
        </w:rPr>
      </w:pPr>
      <w:r>
        <w:rPr>
          <w:rFonts w:ascii="Arial" w:cs="Arial" w:eastAsia="Arial" w:hAnsi="Arial"/>
          <w:sz w:val="16"/>
          <w:szCs w:val="16"/>
          <w:color w:val="auto"/>
        </w:rPr>
        <w:t>Despite our strategy to move to a dual source,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may be difficult for us to transition the manufacture of our products to other foundries, and we could experience significant delays in securing sufficient supplies of those components. This could result in a material decline in revenues, net income and cash flow.</w:t>
      </w:r>
    </w:p>
    <w:p>
      <w:pPr>
        <w:spacing w:after="0" w:line="113" w:lineRule="exact"/>
        <w:rPr>
          <w:sz w:val="20"/>
          <w:szCs w:val="20"/>
          <w:color w:val="auto"/>
        </w:rPr>
      </w:pPr>
    </w:p>
    <w:p>
      <w:pPr>
        <w:ind w:right="140" w:firstLine="456"/>
        <w:spacing w:after="0" w:line="254" w:lineRule="auto"/>
        <w:rPr>
          <w:sz w:val="20"/>
          <w:szCs w:val="20"/>
          <w:color w:val="auto"/>
        </w:rPr>
      </w:pPr>
      <w:r>
        <w:rPr>
          <w:rFonts w:ascii="Arial" w:cs="Arial" w:eastAsia="Arial" w:hAnsi="Arial"/>
          <w:sz w:val="18"/>
          <w:szCs w:val="18"/>
          <w:color w:val="auto"/>
        </w:rPr>
        <w:t>In order to secure sufficient foundry capacity when demand is high and mitigate the risks described in the foregoing paragraph, we may enter into various arrangements with suppliers that could be costly and harm our results of operations, such as non-refundable deposits with or loans to foundries in exchange for capacity commitments, and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44" w:lineRule="exact"/>
        <w:rPr>
          <w:sz w:val="20"/>
          <w:szCs w:val="20"/>
          <w:color w:val="auto"/>
        </w:rPr>
      </w:pPr>
    </w:p>
    <w:p>
      <w:pPr>
        <w:ind w:right="20" w:firstLine="456"/>
        <w:spacing w:after="0" w:line="310" w:lineRule="auto"/>
        <w:rPr>
          <w:sz w:val="20"/>
          <w:szCs w:val="20"/>
          <w:color w:val="auto"/>
        </w:rPr>
      </w:pPr>
      <w:r>
        <w:rPr>
          <w:rFonts w:ascii="Arial" w:cs="Arial" w:eastAsia="Arial" w:hAnsi="Arial"/>
          <w:sz w:val="15"/>
          <w:szCs w:val="15"/>
          <w:color w:val="auto"/>
        </w:rPr>
        <w:t>We are also subject to risk from fluctuating market prices of certain commodity raw materials, particularly gold, that are incorporated into our end products or used by our suppliers to manufacture our end products. Supplies for such commodities may from time to time become restricted, or general market factors and conditions may affect pricing of such commodities. Over the past few years, the price of gold increased significantly and certain of our supply chain partners assessed surcharges to compensate for the resultant increase in manufacturing costs. As a result, our gross margins have been adversely affected by increases in the price of gold. We are currently restructuring certain manufacturing processes to use copper instead of gold in our products. In transitioning from gold to copper, because the capacity of either wafer producers or assemblers can be limited from time to time, we may be unable to satisfy the demand of our customers, or may have to accept price increases or other compensation arrangements that increase our operating expenses and erode our gross margins. Our results may also be materially affected adversely if we fail to execute successfully or if we experience resistance from our customer base in the transition from gold to copper.</w:t>
      </w:r>
    </w:p>
    <w:p>
      <w:pPr>
        <w:spacing w:after="0" w:line="18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Uncertain Yields and Quality:</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18"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control directly product delivery schedules and quality assurance. This lack of control may result in product shortages or quality assurance problems that could delay shipments of products or increase manufacturing, assembly, testing or other costs.</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00"/>
          </w:cols>
          <w:pgMar w:left="240" w:top="459" w:right="25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51"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Our future success will depend on our ability, in a timely and cost-effective manner, to develop and introduce new products and enhancements to our existing products. We sell products in markets that are characterized by rapid technological change, evolving industry standards, frequent new product introductions, short product life cycles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that we do not properly anticipate,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they serve and to introduce and promote those products successfully in a timely manner. Even if new and enhanced products are introduced to the market, we and our customers may not be able to achieve market acceptance of them.</w:t>
      </w:r>
    </w:p>
    <w:p>
      <w:pPr>
        <w:spacing w:after="0" w:line="121" w:lineRule="exact"/>
        <w:rPr>
          <w:sz w:val="20"/>
          <w:szCs w:val="20"/>
          <w:color w:val="auto"/>
        </w:rPr>
      </w:pPr>
    </w:p>
    <w:p>
      <w:pPr>
        <w:jc w:val="both"/>
        <w:ind w:right="20" w:firstLine="456"/>
        <w:spacing w:after="0" w:line="259" w:lineRule="auto"/>
        <w:rPr>
          <w:sz w:val="20"/>
          <w:szCs w:val="20"/>
          <w:color w:val="auto"/>
        </w:rPr>
      </w:pPr>
      <w:r>
        <w:rPr>
          <w:rFonts w:ascii="Arial" w:cs="Arial" w:eastAsia="Arial" w:hAnsi="Arial"/>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certain price concessions, which could cause our average selling prices and gross margins to decline.</w:t>
      </w:r>
    </w:p>
    <w:p>
      <w:pPr>
        <w:spacing w:after="0" w:line="221"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Our gross margin and results of operations may be adversely affected in the future by a number of factors, including decreases in average selling prices of products over time and shifts in our product mix.</w:t>
      </w:r>
    </w:p>
    <w:p>
      <w:pPr>
        <w:spacing w:after="0" w:line="51"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The products we develop and sell are primarily used for high volume applications. As a result, the prices of those products have historically decreased rapidly. In addition, more recently introduced products tend to have higher associated costs because of initial overall development and production ramp.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113"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our established businesses. In addition, these new markets may have lower standard gross margins than the traditional markets we have served.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can harm our financial results.</w:t>
      </w:r>
    </w:p>
    <w:p>
      <w:pPr>
        <w:spacing w:after="0" w:line="120"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 In the past, we have reduced the average selling prices of our products in anticipation of future competitive pricing pressures, new product introductions by us or by our competitors and other factors. We expect that we will continue to have to reduce prices in the future.</w:t>
      </w:r>
    </w:p>
    <w:p>
      <w:pPr>
        <w:spacing w:after="0" w:line="224" w:lineRule="exact"/>
        <w:rPr>
          <w:sz w:val="20"/>
          <w:szCs w:val="20"/>
          <w:color w:val="auto"/>
        </w:rPr>
      </w:pPr>
    </w:p>
    <w:p>
      <w:pPr>
        <w:spacing w:after="0" w:line="259"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gross margin; conversely, we may have insufficient inventory, which would result in lost revenue opportunities and potentially in loss of market share and damaged customer relationships.</w:t>
      </w:r>
    </w:p>
    <w:p>
      <w:pPr>
        <w:spacing w:after="0" w:line="59"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lengthy sales cycle. The sales cycle for many of our products is long and requires us to invest significant resources</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20"/>
          </w:cols>
          <w:pgMar w:left="240" w:top="459" w:right="2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spacing w:after="0" w:line="294" w:lineRule="auto"/>
        <w:rPr>
          <w:sz w:val="20"/>
          <w:szCs w:val="20"/>
          <w:color w:val="auto"/>
        </w:rPr>
      </w:pPr>
      <w:r>
        <w:rPr>
          <w:rFonts w:ascii="Arial" w:cs="Arial" w:eastAsia="Arial" w:hAnsi="Arial"/>
          <w:sz w:val="16"/>
          <w:szCs w:val="16"/>
          <w:color w:val="auto"/>
        </w:rPr>
        <w:t>with each potential customer without any assurance of sales to that customer. Our sales cycle typically begins with an extended evaluation and test period, also known as qualification, during which our products undergo rigorous reliability testing by our customers. Qualification is typically followed by an extended development period by our customers and an additional three to nine month period before a customer commences volume production of equipment incorporating our products. This lengthy sales cycle creates the risk that our customers will decide to cancel or change product plans for products incorporating our integrated circuits prior to completion, which makes it even more difficult to forecast customer demand.</w:t>
      </w:r>
    </w:p>
    <w:p>
      <w:pPr>
        <w:spacing w:after="0" w:line="116"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Our products are incorporated into complex devices and systems, which may create supply chain cross-dependencies. For example, in fiscal 2012, many areas of Thailand sustained massive damage from flooding, which disrupted the global supply chain for HDDs.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143"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The risk of obsolescence and/or excess inventory is heightened for devices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225"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or to the demand for new products requested by our customers, our business and profitability could be materially and adversely affected.</w:t>
      </w:r>
    </w:p>
    <w:p>
      <w:pPr>
        <w:spacing w:after="0" w:line="51"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To achieve our business objectives, it may be necessary from time to time for us to expand or contract our operations. In the future, we may not be able to scale our workforce and operations in a sufficiently timely manner to respond effectively to changes in demand for our existing products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costs and operating expenses may exceed the rate of increase in our revenue, which would adversely affect our results of operations. In addition, if such demand does not materialize at the pace which we expect, we may be required to scale down our business through expense and headcount reductions as well as facility consolidations or closures that could result in restructuring charges that would materially and adversely affect our results of operations. Because many of our expenses are fixed in the short-term or are incurred in advance of anticipated sales, we may not be able to decrease our expenses in a timely manner to offset any decrease in customer demand. If customer demand does not increase as anticipated, our profitability could be adversely affected due to our higher expense levels.</w:t>
      </w:r>
    </w:p>
    <w:p>
      <w:pPr>
        <w:spacing w:after="0" w:line="123" w:lineRule="exact"/>
        <w:rPr>
          <w:sz w:val="20"/>
          <w:szCs w:val="20"/>
          <w:color w:val="auto"/>
        </w:rPr>
      </w:pPr>
    </w:p>
    <w:p>
      <w:pPr>
        <w:ind w:right="140" w:firstLine="456"/>
        <w:spacing w:after="0" w:line="288" w:lineRule="auto"/>
        <w:rPr>
          <w:sz w:val="20"/>
          <w:szCs w:val="20"/>
          <w:color w:val="auto"/>
        </w:rPr>
      </w:pPr>
      <w:r>
        <w:rPr>
          <w:rFonts w:ascii="Arial" w:cs="Arial" w:eastAsia="Arial" w:hAnsi="Arial"/>
          <w:sz w:val="16"/>
          <w:szCs w:val="16"/>
          <w:color w:val="auto"/>
        </w:rPr>
        <w:t>Our past growth has placed, and any future long-term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systems can be time consuming and expensive to implement,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costs and expenses may exceed the rate of increase in our revenue, either of which would materially and adversely affect our results of operations.</w:t>
      </w:r>
    </w:p>
    <w:p>
      <w:pPr>
        <w:spacing w:after="0" w:line="201" w:lineRule="exact"/>
        <w:rPr>
          <w:sz w:val="20"/>
          <w:szCs w:val="20"/>
          <w:color w:val="auto"/>
        </w:rPr>
      </w:pPr>
    </w:p>
    <w:p>
      <w:pPr>
        <w:ind w:right="480"/>
        <w:spacing w:after="0" w:line="268" w:lineRule="auto"/>
        <w:rPr>
          <w:sz w:val="20"/>
          <w:szCs w:val="20"/>
          <w:color w:val="auto"/>
        </w:rPr>
      </w:pPr>
      <w:r>
        <w:rPr>
          <w:rFonts w:ascii="Arial" w:cs="Arial" w:eastAsia="Arial" w:hAnsi="Arial"/>
          <w:sz w:val="18"/>
          <w:szCs w:val="18"/>
          <w:b w:val="1"/>
          <w:bCs w:val="1"/>
          <w:i w:val="1"/>
          <w:iCs w:val="1"/>
          <w:color w:val="auto"/>
        </w:rPr>
        <w:t>Our business, financial condition and results of operations may be adversely impacted by global economic conditions, which may cause a decline in the market price of our common shares.</w:t>
      </w:r>
    </w:p>
    <w:p>
      <w:pPr>
        <w:spacing w:after="0" w:line="51" w:lineRule="exact"/>
        <w:rPr>
          <w:sz w:val="20"/>
          <w:szCs w:val="20"/>
          <w:color w:val="auto"/>
        </w:rPr>
      </w:pPr>
    </w:p>
    <w:p>
      <w:pPr>
        <w:ind w:firstLine="456"/>
        <w:spacing w:after="0" w:line="310" w:lineRule="auto"/>
        <w:rPr>
          <w:sz w:val="20"/>
          <w:szCs w:val="20"/>
          <w:color w:val="auto"/>
        </w:rPr>
      </w:pPr>
      <w:r>
        <w:rPr>
          <w:rFonts w:ascii="Arial" w:cs="Arial" w:eastAsia="Arial" w:hAnsi="Arial"/>
          <w:sz w:val="15"/>
          <w:szCs w:val="15"/>
          <w:color w:val="auto"/>
        </w:rPr>
        <w:t>We operate in the semiconductor industry, which is cyclical and subject to rapid change and evolving industry standards. From time to time, this industry has experienced significant demand downturns. These downturns are characterized by decreases in product demand, excess customer inventories and sometimes accelerated erosion of prices, including as a result of volatile global economic conditions. These factors could cause substantial fluctuations in our net revenue, gross margin, cash flows and results of operations. In addition, during these downturns some competitors may become more aggressive in their pricing practices, which would adversely impact our gross margin. Any downturns in the current environment may be severe and prolonged, and any failure of the markets in which we operate to fully recover from downturns could seriously impact our revenue and harm our business, financial condition and results of operations. The semiconductor industry is also subject to periodic increases in demand and supply constraints, which may affect our ability to ship products. Accordingly, our results of operations may vary significantly as a result of the general conditions in the semiconductor industry, which could cause fluctuations in our stock price.</w:t>
      </w:r>
    </w:p>
    <w:p>
      <w:pPr>
        <w:spacing w:after="0" w:line="9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20"/>
          </w:cols>
          <w:pgMar w:left="240" w:top="459" w:right="2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We cannot predict the timing, strength or duration of any economic slowdown or recovery or the impact of any such events on our vendors, customers or us. If the economy or markets in which we operate deteriorate from current levels, our business, financial condition and results of operations will likely be materially and adversely affected. Additionally, the combination of our lengthy sales cycle coupled with challenging macroeconomic conditions could adversely impact our results of operations.</w:t>
      </w:r>
    </w:p>
    <w:p>
      <w:pPr>
        <w:spacing w:after="0" w:line="224"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51"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9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We had approximately $2.0 billion of goodwill and $41.9 million of acquired intangible assets, net on our balance sheet as of May 3, 2014. Under generally accepted accounting principles in the United States (“GAAP”), we are required to review our intangible assets including goodwill for impairment whenever events or changes in circumstances indicate that the carrying value of these assets may not be recoverable. We perform an assessment of goodwill for impairment annually or more frequently whenever events or changes in circumstances indicate that the carrying value of such assets may not be recoverable. We have only one reporting unit, and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w:t>
      </w:r>
    </w:p>
    <w:p>
      <w:pPr>
        <w:spacing w:after="0" w:line="118" w:lineRule="exact"/>
        <w:rPr>
          <w:sz w:val="20"/>
          <w:szCs w:val="20"/>
          <w:color w:val="auto"/>
        </w:rPr>
      </w:pPr>
    </w:p>
    <w:p>
      <w:pPr>
        <w:ind w:right="100" w:firstLine="456"/>
        <w:spacing w:after="0" w:line="323" w:lineRule="auto"/>
        <w:rPr>
          <w:sz w:val="20"/>
          <w:szCs w:val="20"/>
          <w:color w:val="auto"/>
        </w:rPr>
      </w:pPr>
      <w:r>
        <w:rPr>
          <w:rFonts w:ascii="Arial" w:cs="Arial" w:eastAsia="Arial" w:hAnsi="Arial"/>
          <w:sz w:val="15"/>
          <w:szCs w:val="15"/>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179" w:lineRule="exact"/>
        <w:rPr>
          <w:sz w:val="20"/>
          <w:szCs w:val="20"/>
          <w:color w:val="auto"/>
        </w:rPr>
      </w:pPr>
    </w:p>
    <w:p>
      <w:pPr>
        <w:ind w:right="540"/>
        <w:spacing w:after="0" w:line="268" w:lineRule="auto"/>
        <w:rPr>
          <w:sz w:val="20"/>
          <w:szCs w:val="20"/>
          <w:color w:val="auto"/>
        </w:rPr>
      </w:pPr>
      <w:r>
        <w:rPr>
          <w:rFonts w:ascii="Arial" w:cs="Arial" w:eastAsia="Arial" w:hAnsi="Arial"/>
          <w:sz w:val="18"/>
          <w:szCs w:val="18"/>
          <w:b w:val="1"/>
          <w:bCs w:val="1"/>
          <w:i w:val="1"/>
          <w:iCs w:val="1"/>
          <w:color w:val="auto"/>
        </w:rPr>
        <w:t>We depend on key personnel to manage our business, and if we are unable to retain our current personnel and hire additional personnel, our ability to develop and successfully market our products could be harmed.</w:t>
      </w:r>
    </w:p>
    <w:p>
      <w:pPr>
        <w:spacing w:after="0" w:line="51"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sales and marketing personnel. The loss of key employees or the inability to attract qualified personnel, including hardware and software engineers and sales and marketing personnel could delay the development and introduction of and harm our ability to sell our products. We typically do not enter into employment agreements with any of our key technical personnel, and their knowledge of our business and industry would be extremely difficult to replace.</w:t>
      </w:r>
    </w:p>
    <w:p>
      <w:pPr>
        <w:spacing w:after="0" w:line="113" w:lineRule="exact"/>
        <w:rPr>
          <w:sz w:val="20"/>
          <w:szCs w:val="20"/>
          <w:color w:val="auto"/>
        </w:rPr>
      </w:pPr>
    </w:p>
    <w:p>
      <w:pPr>
        <w:jc w:val="both"/>
        <w:ind w:right="60" w:firstLine="456"/>
        <w:spacing w:after="0" w:line="306" w:lineRule="auto"/>
        <w:rPr>
          <w:sz w:val="20"/>
          <w:szCs w:val="20"/>
          <w:color w:val="auto"/>
        </w:rPr>
      </w:pPr>
      <w:r>
        <w:rPr>
          <w:rFonts w:ascii="Arial" w:cs="Arial" w:eastAsia="Arial" w:hAnsi="Arial"/>
          <w:sz w:val="16"/>
          <w:szCs w:val="16"/>
          <w:color w:val="auto"/>
        </w:rPr>
        <w:t>The competition for qualified technical personnel with significant experience in the design, development, manufacturing, marketing and sales of integrated circuits is intense. Our key technical personnel represent a significant asset and serve as the source of our technological and product innovations. We may not be successful in attracting and retaining sufficient numbers of technical personnel to develop new products or enhance existing products in a timely manner.</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20"/>
          </w:cols>
          <w:pgMar w:left="240" w:top="459" w:right="2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720"/>
        <w:spacing w:after="0" w:line="268" w:lineRule="auto"/>
        <w:rPr>
          <w:sz w:val="20"/>
          <w:szCs w:val="20"/>
          <w:color w:val="auto"/>
        </w:rPr>
      </w:pPr>
      <w:r>
        <w:rPr>
          <w:rFonts w:ascii="Arial" w:cs="Arial" w:eastAsia="Arial" w:hAnsi="Arial"/>
          <w:sz w:val="18"/>
          <w:szCs w:val="18"/>
          <w:b w:val="1"/>
          <w:bCs w:val="1"/>
          <w:i w:val="1"/>
          <w:iCs w:val="1"/>
          <w:color w:val="auto"/>
        </w:rPr>
        <w:t>As a result of our global operations, we face additional risks, which may harm our results of operations, because a majority of our products and our customers’ products are manufactured and sold outside of the United States.</w:t>
      </w:r>
    </w:p>
    <w:p>
      <w:pPr>
        <w:spacing w:after="0" w:line="51"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95% of our net revenue in the three months ended May 3, 2014, 95% of our net revenue in fiscal 2014 and 90% of our net revenue in fiscal 2013.</w:t>
      </w:r>
    </w:p>
    <w:p>
      <w:pPr>
        <w:spacing w:after="0" w:line="116" w:lineRule="exact"/>
        <w:rPr>
          <w:sz w:val="20"/>
          <w:szCs w:val="20"/>
          <w:color w:val="auto"/>
        </w:rPr>
      </w:pPr>
    </w:p>
    <w:p>
      <w:pPr>
        <w:ind w:right="180" w:firstLine="456"/>
        <w:spacing w:after="0" w:line="298" w:lineRule="auto"/>
        <w:rPr>
          <w:sz w:val="20"/>
          <w:szCs w:val="20"/>
          <w:color w:val="auto"/>
        </w:rPr>
      </w:pPr>
      <w:r>
        <w:rPr>
          <w:rFonts w:ascii="Arial" w:cs="Arial" w:eastAsia="Arial" w:hAnsi="Arial"/>
          <w:sz w:val="16"/>
          <w:szCs w:val="16"/>
          <w:color w:val="auto"/>
        </w:rPr>
        <w:t>We also have substantial operations outside of the United States. These operations are directly influenced by the political and economic conditions of the region in which they are located, and with respect to Israel, possible military hostilities that could affect our operations there. 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32" w:lineRule="exact"/>
        <w:rPr>
          <w:sz w:val="20"/>
          <w:szCs w:val="20"/>
          <w:color w:val="auto"/>
        </w:rPr>
      </w:pPr>
    </w:p>
    <w:p>
      <w:pPr>
        <w:ind w:left="900" w:hanging="325"/>
        <w:spacing w:after="0"/>
        <w:tabs>
          <w:tab w:leader="none" w:pos="900" w:val="left"/>
        </w:tabs>
        <w:numPr>
          <w:ilvl w:val="0"/>
          <w:numId w:val="9"/>
        </w:numPr>
        <w:rPr>
          <w:rFonts w:ascii="Arial" w:cs="Arial" w:eastAsia="Arial" w:hAnsi="Arial"/>
          <w:sz w:val="16"/>
          <w:szCs w:val="16"/>
          <w:color w:val="auto"/>
        </w:rPr>
      </w:pPr>
      <w:r>
        <w:rPr>
          <w:rFonts w:ascii="Arial" w:cs="Arial" w:eastAsia="Arial" w:hAnsi="Arial"/>
          <w:sz w:val="16"/>
          <w:szCs w:val="16"/>
          <w:color w:val="auto"/>
        </w:rPr>
        <w:t>political, social and economic instability, including wars, terrorism, political unrest, boycotts, curtailment of trade and other business restrictions;</w:t>
      </w:r>
    </w:p>
    <w:p>
      <w:pPr>
        <w:spacing w:after="0" w:line="113" w:lineRule="exact"/>
        <w:rPr>
          <w:rFonts w:ascii="Arial" w:cs="Arial" w:eastAsia="Arial" w:hAnsi="Arial"/>
          <w:sz w:val="16"/>
          <w:szCs w:val="16"/>
          <w:color w:val="auto"/>
        </w:rPr>
      </w:pPr>
    </w:p>
    <w:p>
      <w:pPr>
        <w:ind w:left="900" w:right="14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and difficulties in obtaining and complying with domestic and foreign export, import and other governmental approvals, permits and licenses;</w:t>
      </w:r>
    </w:p>
    <w:p>
      <w:pPr>
        <w:spacing w:after="0" w:line="50" w:lineRule="exact"/>
        <w:rPr>
          <w:rFonts w:ascii="Arial" w:cs="Arial" w:eastAsia="Arial" w:hAnsi="Arial"/>
          <w:sz w:val="18"/>
          <w:szCs w:val="18"/>
          <w:color w:val="auto"/>
        </w:rPr>
      </w:pPr>
    </w:p>
    <w:p>
      <w:pPr>
        <w:ind w:left="900" w:right="38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local laws and practices that favor local companies, including business practices that we are prohibited from engaging in by the Foreign Corrupt Practices Act and other anti-corruption laws and regulations;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natural disasters, including earthquakes, tsunamis and floods;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171" w:lineRule="exact"/>
        <w:rPr>
          <w:sz w:val="20"/>
          <w:szCs w:val="20"/>
          <w:color w:val="auto"/>
        </w:rPr>
      </w:pPr>
    </w:p>
    <w:p>
      <w:pPr>
        <w:ind w:right="400" w:firstLine="456"/>
        <w:spacing w:after="0" w:line="298" w:lineRule="auto"/>
        <w:rPr>
          <w:sz w:val="20"/>
          <w:szCs w:val="20"/>
          <w:color w:val="auto"/>
        </w:rPr>
      </w:pPr>
      <w:r>
        <w:rPr>
          <w:rFonts w:ascii="Arial" w:cs="Arial" w:eastAsia="Arial" w:hAnsi="Arial"/>
          <w:sz w:val="16"/>
          <w:szCs w:val="16"/>
          <w:color w:val="auto"/>
        </w:rPr>
        <w:t>As a result of having global operations, the sudden disruption of the supply chain and/or the manufacture of our customer’s products caused by events outside of our control could impact our results of operations by impairing our ability to timely and efficiently deliver our products. During fiscal 2012, the earthquake and tsunami that affected Japan disrupted the global supply chain for certain components important to our products and the flooding in Thailand affected the supply chain and manufacturing of the products for a number of our customers.</w:t>
      </w:r>
    </w:p>
    <w:p>
      <w:pPr>
        <w:spacing w:after="0" w:line="113"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Moreover, the international nature of our business subjects us to risk associated with the fluctuation of the U.S. dollar versus foreign currencies. Decreases in the value of the U.S. dollar versus currencies in jurisdictions where we have large fixed costs or our third- party manufacturers have significant cost will increase the cost of such operations, which could harm our results of operations. For example, we have large fixed costs in Israel, which will become greater if the U.S. dollar declines in value versus the Israeli shekel. On the other hand, substantially all of our sales have been denominated in U.S. dollars.</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Costs related to defective products could have a material adverse effect on us.</w:t>
      </w:r>
    </w:p>
    <w:p>
      <w:pPr>
        <w:spacing w:after="0" w:line="90"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We have experienced, from time to time, hardware and software defects and bugs associated with the introduction of our highly complex products. We cannot assure you that, despite our testing procedures, errors will not be found in new products or releases after commencement of commercial shipments in the future, which could result in loss of or delay in market acceptance of our products, material</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00"/>
          </w:cols>
          <w:pgMar w:left="240" w:top="459" w:right="25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94" w:lineRule="auto"/>
        <w:rPr>
          <w:sz w:val="20"/>
          <w:szCs w:val="20"/>
          <w:color w:val="auto"/>
        </w:rPr>
      </w:pPr>
      <w:r>
        <w:rPr>
          <w:rFonts w:ascii="Arial" w:cs="Arial" w:eastAsia="Arial" w:hAnsi="Arial"/>
          <w:sz w:val="16"/>
          <w:szCs w:val="16"/>
          <w:color w:val="auto"/>
        </w:rPr>
        <w:t>recall and replacement costs, delay in revenue recognition or loss of revenues, writing down the inventory of defective products, the diversion of the attention of our engineering personnel from product development efforts, our having to defend against litigation related to defective products or related property damage or personal injury, and damage to our reputation in the industry that could adversely affect our relationships with our customers. In addition, we may have difficulty identifying the end customers of the defective products in the field. As a result, we could incur substantial costs to implement modifications to correct defects. Any of these problems could materially adversely affect our results of operations.</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that we receive may be terminated or reduced in the future, which would harm our results of operations and profitability.</w:t>
      </w:r>
    </w:p>
    <w:p>
      <w:pPr>
        <w:spacing w:after="0" w:line="90"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In prior years, we have entered into agreements in certain foreign jurisdictions that if certain criteria are met, the foreign jurisdiction will provide a more favorable tax rate than their current statutory rate.</w:t>
      </w:r>
    </w:p>
    <w:p>
      <w:pPr>
        <w:spacing w:after="0" w:line="132"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We have obtained an undertaking from the Minister of Finance of Bermuda in fiscal 2013 under the Exempt Undertakings Tax Protection Act 1966, as amended, that in the event Bermuda enacts legislation imposing tax computed on profits, income, or capital asset, gain or appreciation, then the imposition of any such taxes will not apply to us until March 31, 2035. We cannot assure that any future elected Government of Bermuda would not amend the Exempted Undertaking Tax Protection Act 1966 such that tax would be imposed in Bermuda.</w:t>
      </w:r>
    </w:p>
    <w:p>
      <w:pPr>
        <w:spacing w:after="0" w:line="143"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The Singapore Economic Development Board (“EDB”) initially granted a 10-year Pioneer Status in July 1999 to our subsidiary in Singapore if we met several requirements as to investments, headcount and activities. In October 2004, our subsidiary in Singapore was granted a second incentive known as the Development and Expansion Incentive (“DEI”), which was retroactively effective to July 2004 and is renewable every 5 years. The DEI was to benefit the non-Pioneer income. In June 2006, the EDB agreed to extend the Pioneer status for 15 years to June 2014 and in 2009, the EDB renewed the DEI to June 2014. Our continued discussions with the EDB regarding incentives after June 2014 have resulted in an agreement for a major portion of the pre-tax income to be taxed at a new DEI. We continue to discuss the remaining portion of the incentives with the EDB in order to reach an agreement by the June 30, 2014.</w:t>
      </w:r>
    </w:p>
    <w:p>
      <w:pPr>
        <w:spacing w:after="0" w:line="120" w:lineRule="exact"/>
        <w:rPr>
          <w:sz w:val="20"/>
          <w:szCs w:val="20"/>
          <w:color w:val="auto"/>
        </w:rPr>
      </w:pPr>
    </w:p>
    <w:p>
      <w:pPr>
        <w:jc w:val="both"/>
        <w:ind w:right="40" w:firstLine="456"/>
        <w:spacing w:after="0" w:line="302" w:lineRule="auto"/>
        <w:rPr>
          <w:sz w:val="20"/>
          <w:szCs w:val="20"/>
          <w:color w:val="auto"/>
        </w:rPr>
      </w:pPr>
      <w:r>
        <w:rPr>
          <w:rFonts w:ascii="Arial" w:cs="Arial" w:eastAsia="Arial" w:hAnsi="Arial"/>
          <w:sz w:val="15"/>
          <w:szCs w:val="15"/>
          <w:color w:val="auto"/>
        </w:rPr>
        <w:t>Under the Israeli Encouragement law of “approved or benefited enterprise,” two branches of Marvell Israel (M.I.S.L.) Ltd. (“MISL”), the GTL branch and the cellular branch (formerly Marvell DSPC), are entitled to approved and benefited tax programs that include reduced tax rates and exemption of certain income. The first program was approved for MISL in fiscal 1996 and the most recent was started in fiscal 2013. The cellular branch has five approved programs and three benefited programs, with the first approved in fiscal 1991 and the most recent benefited enterprise started in fiscal 2011. The benefit period is generally 10 to</w:t>
      </w:r>
    </w:p>
    <w:p>
      <w:pPr>
        <w:spacing w:after="0" w:line="3" w:lineRule="exact"/>
        <w:rPr>
          <w:sz w:val="20"/>
          <w:szCs w:val="20"/>
          <w:color w:val="auto"/>
        </w:rPr>
      </w:pPr>
    </w:p>
    <w:p>
      <w:pPr>
        <w:jc w:val="both"/>
        <w:ind w:right="60"/>
        <w:spacing w:after="0" w:line="255" w:lineRule="auto"/>
        <w:rPr>
          <w:sz w:val="20"/>
          <w:szCs w:val="20"/>
          <w:color w:val="auto"/>
        </w:rPr>
      </w:pPr>
      <w:r>
        <w:rPr>
          <w:rFonts w:ascii="Arial" w:cs="Arial" w:eastAsia="Arial" w:hAnsi="Arial"/>
          <w:sz w:val="18"/>
          <w:szCs w:val="18"/>
          <w:color w:val="auto"/>
        </w:rPr>
        <w:t>15 years and begins in the first year in which our Israeli divisions earn taxable income from the approved or benefited enterprises, provided the maximum period has not elapsed. Income from the approved or benefited enterprises is subject to reduced tax rates ranging between 0% and 10% or tax exemptions for fiscal 2008 through fiscal 2027.</w:t>
      </w:r>
    </w:p>
    <w:p>
      <w:pPr>
        <w:spacing w:after="0" w:line="144" w:lineRule="exact"/>
        <w:rPr>
          <w:sz w:val="20"/>
          <w:szCs w:val="20"/>
          <w:color w:val="auto"/>
        </w:rPr>
      </w:pPr>
    </w:p>
    <w:p>
      <w:pPr>
        <w:jc w:val="both"/>
        <w:ind w:right="120" w:firstLine="456"/>
        <w:spacing w:after="0" w:line="306" w:lineRule="auto"/>
        <w:rPr>
          <w:sz w:val="20"/>
          <w:szCs w:val="20"/>
          <w:color w:val="auto"/>
        </w:rPr>
      </w:pPr>
      <w:r>
        <w:rPr>
          <w:rFonts w:ascii="Arial" w:cs="Arial" w:eastAsia="Arial" w:hAnsi="Arial"/>
          <w:sz w:val="16"/>
          <w:szCs w:val="16"/>
          <w:color w:val="auto"/>
        </w:rPr>
        <w:t>During fiscal 2007, each of the Swiss Federal Department of Economy and the Vaud Cantonal Tax Administration granted our subsidiary in Switzerland a 10 year tax incentives on revenues from research and design and wafer supply trading activities that will expire in 2016. In fiscal 2011, we met the requirements of the initial five year period and we will receive the ongoing tax incentives provided that we continue to meet the ongoing requirements.</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If any of our tax agreements in any of these foreign jurisdictions were terminated, our results of our operations and profitability would be harmed.</w:t>
      </w:r>
    </w:p>
    <w:p>
      <w:pPr>
        <w:spacing w:after="0" w:line="275" w:lineRule="exact"/>
        <w:rPr>
          <w:sz w:val="20"/>
          <w:szCs w:val="20"/>
          <w:color w:val="auto"/>
        </w:rPr>
      </w:pPr>
    </w:p>
    <w:p>
      <w:pPr>
        <w:ind w:right="700"/>
        <w:spacing w:after="0" w:line="332" w:lineRule="auto"/>
        <w:rPr>
          <w:sz w:val="20"/>
          <w:szCs w:val="20"/>
          <w:color w:val="auto"/>
        </w:rPr>
      </w:pPr>
      <w:r>
        <w:rPr>
          <w:rFonts w:ascii="Arial" w:cs="Arial" w:eastAsia="Arial" w:hAnsi="Arial"/>
          <w:sz w:val="16"/>
          <w:szCs w:val="16"/>
          <w:b w:val="1"/>
          <w:bCs w:val="1"/>
          <w:i w:val="1"/>
          <w:iCs w:val="1"/>
          <w:color w:val="auto"/>
        </w:rPr>
        <w:t>We have made and may continue to make acquisitions and investments, which could divert management’s attention, cause ownership dilution to our shareholders, be difficult to integrate and adversely affect our results of operations and share price.</w:t>
      </w:r>
    </w:p>
    <w:p>
      <w:pPr>
        <w:spacing w:after="0" w:line="4"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and technologies, augment our end market coverage, or enhance our technological capabilities. We may also enter into strategic alliances or joint ventures to achieve these goals. We cannot assure you that we will be able to identify suitable acquisition, investment, alliance or joint venture opportunities in the future, or that we will be able to consummate any such transactions or relationships on terms and conditions acceptable to us, or that such transactions or relationships will be successful.</w:t>
      </w:r>
    </w:p>
    <w:p>
      <w:pPr>
        <w:spacing w:after="0" w:line="113"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Integrating newly acquired businesses or technologies typically entails many risks that could put a strain on our resources, could be costly and time consuming, and might not be successful. In addition, any acquisitions could materially harm our results of operations or liquidity as a result of either the issuance of dilutive equity securities, new debt or contingent liabilities, or payment of cash. Moreover, such acquisitions could divert our management’s attention from other business concerns and also result in customer dissatisfaction. In addition, we might lose key employees of the newly acquired organizations during the acquisition process. The acquisition of another company or its products and technologies may also require us to enter into a geographic or business market in which we have little or no prior experience.</w:t>
      </w:r>
    </w:p>
    <w:p>
      <w:pPr>
        <w:spacing w:after="0" w:line="1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20"/>
          </w:cols>
          <w:pgMar w:left="240" w:top="459" w:right="23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b w:val="1"/>
          <w:bCs w:val="1"/>
          <w:i w:val="1"/>
          <w:iCs w:val="1"/>
          <w:color w:val="auto"/>
        </w:rPr>
        <w:t>We rely on third- party distributors and manufacturers’ representatives and the failure of these distributors and manufacturers’ representatives to perform as expected could reduce our future sales.</w:t>
      </w:r>
    </w:p>
    <w:p>
      <w:pPr>
        <w:spacing w:after="0" w:line="51"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144"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Changes in financial accounting standards or practices or existing taxation rules or practices may adversely affect our financial results.</w:t>
      </w:r>
    </w:p>
    <w:p>
      <w:pPr>
        <w:spacing w:after="0" w:line="113"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Changes in financial accounting standards or practices or changes in existing taxation rules or practices may have a significant effect on our reported results. New accounting pronouncements and taxation rules and varying interpretations of accounting pronouncements and taxation practice have occurred and may occur in the future. For example, both the U.S. Congress and the G-20 (Group of Twenty Finance Ministers and Central Bank Governors) may consider legislation affecting the taxation of foreign corporations and such legislation if enacted might adversely affect our future tax liabilities and have a material impact on our results of operations. Changes to existing rules or the questioning of current practices by regulators may adversely affect our reported financial results or the way we conduct our business or cause our stock price to decline.</w:t>
      </w:r>
    </w:p>
    <w:p>
      <w:pPr>
        <w:spacing w:after="0" w:line="201" w:lineRule="exact"/>
        <w:rPr>
          <w:sz w:val="20"/>
          <w:szCs w:val="20"/>
          <w:color w:val="auto"/>
        </w:rPr>
      </w:pPr>
    </w:p>
    <w:p>
      <w:pPr>
        <w:ind w:right="320"/>
        <w:spacing w:after="0" w:line="357" w:lineRule="auto"/>
        <w:rPr>
          <w:sz w:val="20"/>
          <w:szCs w:val="20"/>
          <w:color w:val="auto"/>
        </w:rPr>
      </w:pPr>
      <w:r>
        <w:rPr>
          <w:rFonts w:ascii="Arial" w:cs="Arial" w:eastAsia="Arial" w:hAnsi="Arial"/>
          <w:sz w:val="15"/>
          <w:szCs w:val="15"/>
          <w:b w:val="1"/>
          <w:bCs w:val="1"/>
          <w:i w:val="1"/>
          <w:iCs w:val="1"/>
          <w:color w:val="auto"/>
        </w:rPr>
        <w:t>We rely upon the performance of our information technology systems to process, transmit, store and protect electronic information, and the failure of any critical information technology system may result in serious harm to our reputation, business, results of operations and/or financial condition.</w:t>
      </w:r>
    </w:p>
    <w:p>
      <w:pPr>
        <w:ind w:firstLine="456"/>
        <w:spacing w:after="0" w:line="285" w:lineRule="auto"/>
        <w:rPr>
          <w:sz w:val="20"/>
          <w:szCs w:val="20"/>
          <w:color w:val="auto"/>
        </w:rPr>
      </w:pPr>
      <w:r>
        <w:rPr>
          <w:rFonts w:ascii="Arial" w:cs="Arial" w:eastAsia="Arial" w:hAnsi="Arial"/>
          <w:sz w:val="16"/>
          <w:szCs w:val="16"/>
          <w:color w:val="auto"/>
        </w:rPr>
        <w:t>We are heavily dependent on our technology infrastructure and maintain and rely upon certain critical information systems for the effective operation of our business. These information technology systems include telecommunications, the Internet, our corporate intranet, various computer hardware and software applications, network communications and e-mail. These information technology systems are subject to damage or interruption from a number of potential sources including natural disasters, viruses, destructive or inadequate code, malware, power failures, cyber attacks, and other events. To the extent that these information systems are under our control, we have implemented security procedures, such as virus protection software and emergency recovery processes, to address the outlined risks. We may incur significant costs in order to implement, maintain and/or update security systems that we feel are necessary to protect our information systems. A material breach in the security of our information systems could include the theft of our intellectual property or trade secrets, negatively impact our operations, or result in the compromise of personal and confidential information of our employees, customers or suppliers. While we believe that our information technology systems are appropriately controlled and that we have processes in place to adequately mitigate these risks, security procedures for information systems cannot be guaranteed to be failsafe. To the extent that any system failure, accident or security breach results in disruptions or interruptions to our operations or the theft, loss or disclosure of, or damage to our data or confidential information, our reputation, business, results of operations and/or financial condition could be materially adversely affected. In addition, a miscalculation of the level of investment needed to ensure our technology solutions are current and up-to-date as technology advances and evolves could result in disruptions in our business should the software, hardware or maintenance of such items become out-of-date or obsolete. Furthermore, when we implement new systems and/or upgrade existing systems, there is a risk that our business may be temporarily disrupted during the period of implementation.</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90" w:lineRule="exact"/>
        <w:rPr>
          <w:sz w:val="20"/>
          <w:szCs w:val="20"/>
          <w:color w:val="auto"/>
        </w:rPr>
      </w:pPr>
    </w:p>
    <w:p>
      <w:pPr>
        <w:ind w:right="100" w:firstLine="456"/>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and acquired since our inception. If we fail to protect these intellectual property rights, competitors could sell products based on technology that we have developed that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 If our patents do not adequately protect our technology, our competitors may be able to offer products similar to ours, which would adversely impact our business and results of operations.</w:t>
      </w: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20"/>
          </w:cols>
          <w:pgMar w:left="240" w:top="459" w:right="23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customarily used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w:t>
      </w:r>
    </w:p>
    <w:p>
      <w:pPr>
        <w:spacing w:after="0" w:line="199" w:lineRule="exact"/>
        <w:rPr>
          <w:sz w:val="20"/>
          <w:szCs w:val="20"/>
          <w:color w:val="auto"/>
        </w:rPr>
      </w:pPr>
    </w:p>
    <w:p>
      <w:pPr>
        <w:jc w:val="both"/>
        <w:ind w:right="280"/>
        <w:spacing w:after="0" w:line="357" w:lineRule="auto"/>
        <w:rPr>
          <w:sz w:val="20"/>
          <w:szCs w:val="20"/>
          <w:color w:val="auto"/>
        </w:rPr>
      </w:pPr>
      <w:r>
        <w:rPr>
          <w:rFonts w:ascii="Arial" w:cs="Arial" w:eastAsia="Arial" w:hAnsi="Arial"/>
          <w:sz w:val="15"/>
          <w:szCs w:val="15"/>
          <w:b w:val="1"/>
          <w:bCs w:val="1"/>
          <w:i w:val="1"/>
          <w:iCs w:val="1"/>
          <w:color w:val="auto"/>
        </w:rPr>
        <w:t>We have been named as a party to several lawsuits and we may be named in additional litigation in the future, all of which could result in an unfavorable outcome and have a material adverse effect on our business, financial condition, results of operations, cash flows, and the trading price for our securities.</w:t>
      </w:r>
    </w:p>
    <w:p>
      <w:pPr>
        <w:ind w:firstLine="456"/>
        <w:spacing w:after="0" w:line="289" w:lineRule="auto"/>
        <w:rPr>
          <w:sz w:val="20"/>
          <w:szCs w:val="20"/>
          <w:color w:val="auto"/>
        </w:rPr>
      </w:pPr>
      <w:r>
        <w:rPr>
          <w:rFonts w:ascii="Arial" w:cs="Arial" w:eastAsia="Arial" w:hAnsi="Arial"/>
          <w:sz w:val="16"/>
          <w:szCs w:val="16"/>
          <w:color w:val="auto"/>
        </w:rPr>
        <w:t>We have been named as a party to several lawsuits and we may be named in additional litigation in the future. Please see “Note 10 – Commitments and Contingencies” of our Notes to Unaudited Condensed Consolidated Financial Statements set forth in Part I, Item 1 of this Quarterly Report on Form 10-Q for a more detailed description of a number of the litigation matters we are currently engaged in. Under certain circumstances, we have contractual and other legal obligations to indemnify and to incur legal expenses on behalf of current and former directors and officers for these lawsuits. In addition, due to the high volatility of our stock price, we may be vulnerable to securities class action litigation. In addition, as a result of a prior SEC settlement, we forfeited for three years our ability to invoke the “safe harbor” for forward-looking statements provided by the Private Securities Litigation Reform Act of 1995. Because we could not benefit from the statutory safe harbor from June 2008 through June 2011, it may be more difficult for us to defend against any future claims based on any forward-looking statements issued during that timeframe.</w:t>
      </w:r>
    </w:p>
    <w:p>
      <w:pPr>
        <w:spacing w:after="0" w:line="118"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The ultimate outcome of any litigation could have a material adverse effect on our business and the trading price for our securities. Litigation may be time-consuming, expensive, and disruptive to normal business operations, and the outcome of litigation is difficult to predict. The defense of these lawsuits may result in significant expenditures and the continued diversion of our management’s time and attention from the operation of our business, which could impede our business. In the event we were to receive an unfavorable outcome in any lawsuit, our business, financial condition, results of operations, cash flows and the trading price of our securities may be materially and adversely affected.</w:t>
      </w:r>
    </w:p>
    <w:p>
      <w:pPr>
        <w:spacing w:after="0" w:line="224"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must comply with a variety of existing and future laws and regulations that could impose substantial costs on us and may adversely affect our business.</w:t>
      </w:r>
    </w:p>
    <w:p>
      <w:pPr>
        <w:spacing w:after="0" w:line="125"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We are subject to various state, federal and international laws and regulations governing the environment, including restricting the presence of certain substances in electronic products and making producers of those products financially responsible for the collection, treatment, recycling and disposal of those products. In addition, we are also subject to various industry requirements restricting the presence of certain substances in electronic products. Although our management systems are designed to maintain compliance, we cannot assure you that we have been or will be at all times in complete compliance with such laws and regulations. If we violate or fail to comply with any of them, a range of consequences could result, including fines, import/export restrictions, sales limitations, criminal and civil liabilities or other sanctions.</w:t>
      </w:r>
    </w:p>
    <w:p>
      <w:pPr>
        <w:spacing w:after="0" w:line="144" w:lineRule="exact"/>
        <w:rPr>
          <w:sz w:val="20"/>
          <w:szCs w:val="20"/>
          <w:color w:val="auto"/>
        </w:rPr>
      </w:pPr>
    </w:p>
    <w:p>
      <w:pPr>
        <w:ind w:right="180" w:firstLine="456"/>
        <w:spacing w:after="0" w:line="306" w:lineRule="auto"/>
        <w:rPr>
          <w:sz w:val="20"/>
          <w:szCs w:val="20"/>
          <w:color w:val="auto"/>
        </w:rPr>
      </w:pPr>
      <w:r>
        <w:rPr>
          <w:rFonts w:ascii="Arial" w:cs="Arial" w:eastAsia="Arial" w:hAnsi="Arial"/>
          <w:sz w:val="16"/>
          <w:szCs w:val="16"/>
          <w:color w:val="auto"/>
        </w:rPr>
        <w:t>We and our customers are also subject to various import and export laws and regulations.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w:t>
      </w:r>
    </w:p>
    <w:p>
      <w:pPr>
        <w:spacing w:after="0" w:line="107"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There is also a regulation to improve the transparency and accountability concerning the supply of minerals coming from the conflict zones in and around the Democratic Republic of Congo. New U.S. legislation includes disclosure requirements regarding the use of conflict minerals mined from the Democratic Republic of Congo and adjoining countries and procedures regarding a manufacturer’s efforts to prevent the sourcing of such conflict minerals. The implementation of these requirements could affect the sourcing and availability of minerals used in the manufacture of semiconductor devices. As a result, there may only be a limited pool of suppliers who provide conflict-free metals, and we cannot assure you that we will be able to obtain products in sufficient quantities or at competitive prices.</w:t>
      </w:r>
    </w:p>
    <w:p>
      <w:pPr>
        <w:spacing w:after="0" w:line="144"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The costs of complying with these laws could adversely affect our current or future business. In addition, future regulations may become more stringent or costly and our compliance costs and potential liabilities could increase, which may harm our current or future business.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00"/>
          </w:cols>
          <w:pgMar w:left="240" w:top="459" w:right="25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60"/>
        <w:spacing w:after="0" w:line="268" w:lineRule="auto"/>
        <w:rPr>
          <w:sz w:val="20"/>
          <w:szCs w:val="20"/>
          <w:color w:val="auto"/>
        </w:rPr>
      </w:pPr>
      <w:r>
        <w:rPr>
          <w:rFonts w:ascii="Arial" w:cs="Arial" w:eastAsia="Arial" w:hAnsi="Arial"/>
          <w:sz w:val="18"/>
          <w:szCs w:val="18"/>
          <w:b w:val="1"/>
          <w:bCs w:val="1"/>
          <w:i w:val="1"/>
          <w:iCs w:val="1"/>
          <w:color w:val="auto"/>
        </w:rPr>
        <w:t>There can be no assurance that we will continue to declare cash dividends at all or in any particular amount, and statutory requirements under Bermuda Law, as well as ongoing litigation, may require us to defer payment of declared dividends.</w:t>
      </w:r>
    </w:p>
    <w:p>
      <w:pPr>
        <w:spacing w:after="0" w:line="51"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In May 2012, we announced the declaration of our first quarterly cash dividend. Future payment of a regular quarterly cash dividend on our common shares will be subject to, among other things, the best interests of our company, our results of operations, cash balances and future cash requirements, financial condition, statutory requirements under Bermuda law, developments in our ongoing litigation with CMU and other factors that the board of directors may deem relevant. Our dividend payments may change from time to time, and we cannot provide assurance that we will continue to declare dividends at all or in any particular amounts. In addition, developments in ongoing litigation could affect our ability to make a dividend payment on a declared payment date until such time as we can meet statutory requirements under Bermuda law. A reduction in, a delay of, or elimination of our dividend payments could have a negative effect on our share price.</w:t>
      </w:r>
    </w:p>
    <w:p>
      <w:pPr>
        <w:spacing w:after="0" w:line="228" w:lineRule="exact"/>
        <w:rPr>
          <w:sz w:val="20"/>
          <w:szCs w:val="20"/>
          <w:color w:val="auto"/>
        </w:rPr>
      </w:pPr>
    </w:p>
    <w:p>
      <w:pPr>
        <w:jc w:val="both"/>
        <w:ind w:right="200"/>
        <w:spacing w:after="0" w:line="259" w:lineRule="auto"/>
        <w:rPr>
          <w:sz w:val="20"/>
          <w:szCs w:val="20"/>
          <w:color w:val="auto"/>
        </w:rPr>
      </w:pPr>
      <w:r>
        <w:rPr>
          <w:rFonts w:ascii="Arial" w:cs="Arial" w:eastAsia="Arial" w:hAnsi="Arial"/>
          <w:sz w:val="18"/>
          <w:szCs w:val="18"/>
          <w:b w:val="1"/>
          <w:bCs w:val="1"/>
          <w:i w:val="1"/>
          <w:iCs w:val="1"/>
          <w:color w:val="auto"/>
        </w:rPr>
        <w:t>If our internal control over financial reporting or disclosure controls and procedures are not effective, there may be errors in our financial statements that could require a restatement or our filings may not be filed on a timely basis and investors may lose confidence in our reported financial information, which could lead to a decline in our stock price.</w:t>
      </w:r>
    </w:p>
    <w:p>
      <w:pPr>
        <w:spacing w:after="0" w:line="59" w:lineRule="exact"/>
        <w:rPr>
          <w:sz w:val="20"/>
          <w:szCs w:val="20"/>
          <w:color w:val="auto"/>
        </w:rPr>
      </w:pPr>
    </w:p>
    <w:p>
      <w:pPr>
        <w:ind w:right="40" w:firstLine="456"/>
        <w:spacing w:after="0" w:line="323" w:lineRule="auto"/>
        <w:rPr>
          <w:sz w:val="20"/>
          <w:szCs w:val="20"/>
          <w:color w:val="auto"/>
        </w:rPr>
      </w:pPr>
      <w:r>
        <w:rPr>
          <w:rFonts w:ascii="Arial" w:cs="Arial" w:eastAsia="Arial" w:hAnsi="Arial"/>
          <w:sz w:val="15"/>
          <w:szCs w:val="15"/>
          <w:color w:val="auto"/>
        </w:rPr>
        <w:t>We believe that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 as of the end of each year. Our management is responsible for maintaining effective internal control over financial reporting and for assessing the effectiveness of internal control over financial reporting included in each Annual Report on Form 10-K.</w:t>
      </w:r>
    </w:p>
    <w:p>
      <w:pPr>
        <w:spacing w:after="0" w:line="98"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Our management, including our Chief Executive Officer and Chief Financial Officer, does not expect that our internal control over financial reporting will prevent all error and all fraud. These inherent limitations include the realities that judgments in decision making can be faulty, breakdowns can occur because of simple errors, and errors discovered by personnel within control systems may not be properly disclosed and addressed. Controls can also be circumvented by the individual acts of some persons, by collusion of two or more people, or by management override of the controls.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In addition, we are consistently evaluating the design and operating effectiveness of our internal controls, a process which sometimes leads to modifications in such controls. These modifications could affect the overall effectiveness or evaluation of the control system in the future by us or our independent registered public accounting firm.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205" w:lineRule="exact"/>
        <w:rPr>
          <w:sz w:val="20"/>
          <w:szCs w:val="20"/>
          <w:color w:val="auto"/>
        </w:rPr>
      </w:pPr>
    </w:p>
    <w:p>
      <w:pPr>
        <w:ind w:right="280"/>
        <w:spacing w:after="0" w:line="259" w:lineRule="auto"/>
        <w:rPr>
          <w:sz w:val="20"/>
          <w:szCs w:val="20"/>
          <w:color w:val="auto"/>
        </w:rPr>
      </w:pPr>
      <w:r>
        <w:rPr>
          <w:rFonts w:ascii="Arial" w:cs="Arial" w:eastAsia="Arial" w:hAnsi="Arial"/>
          <w:sz w:val="18"/>
          <w:szCs w:val="18"/>
          <w:b w:val="1"/>
          <w:bCs w:val="1"/>
          <w:i w:val="1"/>
          <w:iCs w:val="1"/>
          <w:color w:val="auto"/>
        </w:rPr>
        <w:t>Two of our officers own a large percentage of our voting stock and, together with another significant shareholder, are related by blood or marriage. These factors may allow the officers and directors as a group or the related individuals to influence the election of directors and the approval or disapproval of significant corporate actions.</w:t>
      </w:r>
    </w:p>
    <w:p>
      <w:pPr>
        <w:spacing w:after="0" w:line="59"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Dr. Sehat Sutardja, our Chairman and Chief Executive Officer, and Weili Dai, who serves as our President, are husband and wife. Together, these two officers, along with a third related shareholder, held approximately 20% of our outstanding common shares as of March 1, 2014. As a result, if these individuals act together, they may influence the election of our directors and the approval or disapproval of any significant corporate actions that require shareholder approval. This influence over our affairs might be adverse to the interests of other shareholders. For example, the voting power of these individuals could have the effect of delaying or preventing an acquisition of us on terms that other shareholders may desire.</w:t>
      </w:r>
    </w:p>
    <w:p>
      <w:pPr>
        <w:spacing w:after="0" w:line="116"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are generally not available to shareholders under the laws of Bermuda, although there is some suggestion that their use may be gaining favor. Bermuda law permits, in exceptional circumstances, the bringing of derivative actions, i.e., for a shareholder to bring an action in our name, when it would otherwise be an action that the company would bring itself. In order to bring a derivative action, a shareholder would have to show (i) “fraud on the minority,” that is acts which amount to an unconscionable use of majority power resulting or likely to result in loss or unfair discriminatory treatment of the minority; and (ii) that the alleged wrongdoers have control of the company. In addition, a shareholder may be able to bring a claim when the shareholder alleges that the wrong has been done to the shareholder personally in his or her capacity as shareholder. Typically, shareholders’ personal claims arise from a breach or threatened breach of the bye-laws.</w:t>
      </w:r>
    </w:p>
    <w:p>
      <w:pPr>
        <w:spacing w:after="0" w:line="1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20"/>
          </w:cols>
          <w:pgMar w:left="240" w:top="459" w:right="2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firstLine="456"/>
        <w:spacing w:after="0" w:line="323" w:lineRule="auto"/>
        <w:rPr>
          <w:sz w:val="20"/>
          <w:szCs w:val="20"/>
          <w:color w:val="auto"/>
        </w:rPr>
      </w:pPr>
      <w:r>
        <w:rPr>
          <w:rFonts w:ascii="Arial" w:cs="Arial" w:eastAsia="Arial" w:hAnsi="Arial"/>
          <w:sz w:val="15"/>
          <w:szCs w:val="15"/>
          <w:color w:val="auto"/>
        </w:rPr>
        <w:t>The Companies Act 1981 of Bermuda, as amended, provides that when one or more shareholders believes the affairs of a company are being conducted in a manner which is oppressive or prejudicial to the interest of some of such shareholders and others, a Bermuda court, upon petition, may make such order as it sees fit, including an order regulating the conduct of the company’s affairs in the future or ordering the purchase of the shares of any shareholders by other shareholders or by the company, and in the case of a purchase of the shares by the company, for the reduction accordingly of the company’s capital or otherwise.</w:t>
      </w:r>
    </w:p>
    <w:p>
      <w:pPr>
        <w:spacing w:after="0" w:line="17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buildings in Santa Clara, California; Singapore; Etoy, Switzerland; and Shanghai, China subject us to the risks of owning real property, which include:</w:t>
      </w:r>
    </w:p>
    <w:p>
      <w:pPr>
        <w:spacing w:after="0" w:line="113" w:lineRule="exact"/>
        <w:rPr>
          <w:sz w:val="20"/>
          <w:szCs w:val="20"/>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90" w:lineRule="exact"/>
        <w:rPr>
          <w:rFonts w:ascii="Arial" w:cs="Arial" w:eastAsia="Arial" w:hAnsi="Arial"/>
          <w:sz w:val="18"/>
          <w:szCs w:val="18"/>
          <w:color w:val="auto"/>
        </w:rPr>
      </w:pPr>
    </w:p>
    <w:p>
      <w:pPr>
        <w:ind w:left="900" w:right="14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9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213"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51"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Our insurance policies may not be adequate to fully offset losses from covered incidents, and we do not have coverage for certain losses. For example, there is very limited coverage available with respect to the services provided by our third- party foundries and assembly and test subcontractors. In the event of a natural disaster (such as an earthquake or tsunami), political or military turmoil, widespread health issues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201" w:lineRule="exact"/>
        <w:rPr>
          <w:sz w:val="20"/>
          <w:szCs w:val="20"/>
          <w:color w:val="auto"/>
        </w:rPr>
      </w:pPr>
    </w:p>
    <w:p>
      <w:pPr>
        <w:ind w:right="140"/>
        <w:spacing w:after="0" w:line="306"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2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affect service of process within the United States upon us, or to enforce against us in U.S. courts judgments based on the civil liability provisions of the securities laws of the United States. There is significant doubt as to whether the courts of Bermuda would recognize or enforce judgments of U.S.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U.S. federal or state securities laws, would not be automatically enforceable in Bermuda.</w:t>
      </w:r>
    </w:p>
    <w:p>
      <w:pPr>
        <w:spacing w:after="0" w:line="118" w:lineRule="exact"/>
        <w:rPr>
          <w:sz w:val="20"/>
          <w:szCs w:val="20"/>
          <w:color w:val="auto"/>
        </w:rPr>
      </w:pPr>
    </w:p>
    <w:p>
      <w:pPr>
        <w:jc w:val="both"/>
        <w:ind w:right="140" w:firstLine="456"/>
        <w:spacing w:after="0" w:line="256" w:lineRule="auto"/>
        <w:rPr>
          <w:sz w:val="20"/>
          <w:szCs w:val="20"/>
          <w:color w:val="auto"/>
        </w:rPr>
      </w:pPr>
      <w:r>
        <w:rPr>
          <w:rFonts w:ascii="Arial" w:cs="Arial" w:eastAsia="Arial" w:hAnsi="Arial"/>
          <w:sz w:val="18"/>
          <w:szCs w:val="18"/>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or to any matter arising under U.S. federal securities laws. This waiver will limit the rights of our</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400"/>
          </w:cols>
          <w:pgMar w:left="240" w:top="459" w:right="25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98" w:lineRule="auto"/>
        <w:rPr>
          <w:sz w:val="20"/>
          <w:szCs w:val="20"/>
          <w:color w:val="auto"/>
        </w:rPr>
      </w:pPr>
      <w:r>
        <w:rPr>
          <w:rFonts w:ascii="Arial" w:cs="Arial" w:eastAsia="Arial" w:hAnsi="Arial"/>
          <w:sz w:val="16"/>
          <w:szCs w:val="16"/>
          <w:color w:val="auto"/>
        </w:rPr>
        <w:t>shareholders to assert claims against our officers and directors unless the act complained of involves fraud or dishonesty or arises as a result of a breach of U.S. federal securities laws. Therefore, so long as acts of business judgment do not involve fraud or dishonesty or arise as a result of a breach of U.S. federal securities laws, they will not be subject to shareholder claims under Bermuda law. For example, shareholders will not have claims against officers and directors for a breach of trust, unless the breach rises to the level of fraud or dishonesty, or arises as a result of a breach of U.S. federal securities laws.</w:t>
      </w:r>
    </w:p>
    <w:p>
      <w:pPr>
        <w:spacing w:after="0" w:line="194" w:lineRule="exact"/>
        <w:rPr>
          <w:sz w:val="20"/>
          <w:szCs w:val="20"/>
          <w:color w:val="auto"/>
        </w:rPr>
      </w:pPr>
    </w:p>
    <w:p>
      <w:pPr>
        <w:ind w:right="56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90" w:lineRule="exact"/>
        <w:rPr>
          <w:sz w:val="20"/>
          <w:szCs w:val="20"/>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 and</w:t>
      </w:r>
    </w:p>
    <w:p>
      <w:pPr>
        <w:spacing w:after="0" w:line="90" w:lineRule="exact"/>
        <w:rPr>
          <w:rFonts w:ascii="Arial" w:cs="Arial" w:eastAsia="Arial" w:hAnsi="Arial"/>
          <w:sz w:val="18"/>
          <w:szCs w:val="18"/>
          <w:color w:val="auto"/>
        </w:rPr>
      </w:pPr>
    </w:p>
    <w:p>
      <w:pPr>
        <w:ind w:left="900" w:right="380" w:hanging="325"/>
        <w:spacing w:after="0" w:line="332" w:lineRule="auto"/>
        <w:tabs>
          <w:tab w:leader="none" w:pos="900" w:val="left"/>
        </w:tabs>
        <w:numPr>
          <w:ilvl w:val="0"/>
          <w:numId w:val="11"/>
        </w:numPr>
        <w:rPr>
          <w:rFonts w:ascii="Arial" w:cs="Arial" w:eastAsia="Arial" w:hAnsi="Arial"/>
          <w:sz w:val="16"/>
          <w:szCs w:val="16"/>
          <w:color w:val="auto"/>
        </w:rPr>
      </w:pPr>
      <w:r>
        <w:rPr>
          <w:rFonts w:ascii="Arial" w:cs="Arial" w:eastAsia="Arial" w:hAnsi="Arial"/>
          <w:sz w:val="16"/>
          <w:szCs w:val="16"/>
          <w:color w:val="auto"/>
        </w:rPr>
        <w:t>a shareholder vote requiring the approval of two-thirds of votes cast in person or by proxy to approve any business combination in the event the action is not approved by at least 66</w:t>
      </w:r>
      <w:r>
        <w:rPr>
          <w:rFonts w:ascii="Arial" w:cs="Arial" w:eastAsia="Arial" w:hAnsi="Arial"/>
          <w:sz w:val="10"/>
          <w:szCs w:val="10"/>
          <w:color w:val="auto"/>
        </w:rPr>
        <w:t>2/3</w:t>
      </w:r>
      <w:r>
        <w:rPr>
          <w:rFonts w:ascii="Arial" w:cs="Arial" w:eastAsia="Arial" w:hAnsi="Arial"/>
          <w:sz w:val="16"/>
          <w:szCs w:val="16"/>
          <w:color w:val="auto"/>
        </w:rPr>
        <w:t>% of the directors holding office at the date of the Board meeting to approve the action.</w:t>
      </w:r>
    </w:p>
    <w:p>
      <w:pPr>
        <w:spacing w:after="0" w:line="85" w:lineRule="exact"/>
        <w:rPr>
          <w:sz w:val="20"/>
          <w:szCs w:val="20"/>
          <w:color w:val="auto"/>
        </w:rPr>
      </w:pPr>
    </w:p>
    <w:p>
      <w:pPr>
        <w:jc w:val="center"/>
        <w:ind w:right="440"/>
        <w:spacing w:after="0" w:line="440" w:lineRule="auto"/>
        <w:rPr>
          <w:sz w:val="20"/>
          <w:szCs w:val="20"/>
          <w:color w:val="auto"/>
        </w:rPr>
      </w:pPr>
      <w:r>
        <w:rPr>
          <w:rFonts w:ascii="Arial" w:cs="Arial" w:eastAsia="Arial" w:hAnsi="Arial"/>
          <w:sz w:val="18"/>
          <w:szCs w:val="18"/>
          <w:color w:val="auto"/>
        </w:rPr>
        <w:t>These foregoing provisions could make it more difficult for a third party to acquire us, even if doing so would be a benefit to our shareholders. 47</w:t>
      </w:r>
    </w:p>
    <w:p>
      <w:pPr>
        <w:sectPr>
          <w:pgSz w:w="11900" w:h="16838" w:orient="portrait"/>
          <w:cols w:equalWidth="0" w:num="1">
            <w:col w:w="11380"/>
          </w:cols>
          <w:pgMar w:left="240" w:top="459" w:right="27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 were no sales of unregistered securities during the three months ended May 3, 2014.</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 were no common shares repurchased during the three months ended May 3, 2014.</w:t>
      </w:r>
    </w:p>
    <w:p>
      <w:pPr>
        <w:spacing w:after="0" w:line="171"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In August 2010, our board of directors initially authorized our current share repurchase program to repurchase up to $500 million of our outstanding common shares. Our board of directors authorized an additional $1.5 billion in fiscal 2012 and $1.0 billion in fiscal 2013 to be used to repurchase our common shares under the share repurchase program for a total available under the program of $3.0 billion. We intend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us to repurchase any dollar amount or number of our common shares and the repurchase program may be extended, modified, suspended or discontinued at any time.</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See the “Index to Exhibits” immediately following the signature page of this Quarterly Report on Form 10-Q.</w:t>
      </w:r>
    </w:p>
    <w:p>
      <w:pPr>
        <w:spacing w:after="0" w:line="158"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180"/>
          </w:cols>
          <w:pgMar w:left="240" w:top="459" w:right="47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SIGNATURES</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72" w:lineRule="exact"/>
        <w:rPr>
          <w:sz w:val="20"/>
          <w:szCs w:val="20"/>
          <w:color w:val="auto"/>
        </w:rPr>
      </w:pPr>
    </w:p>
    <w:p>
      <w:pPr>
        <w:ind w:left="58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June 5, 2014</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Michael Rashkin</w:t>
      </w:r>
    </w:p>
    <w:p>
      <w:pPr>
        <w:spacing w:after="0" w:line="17"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Michael Rashkin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-130175</wp:posOffset>
            </wp:positionV>
            <wp:extent cx="332740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1" w:lineRule="exact"/>
        <w:rPr>
          <w:sz w:val="20"/>
          <w:szCs w:val="20"/>
          <w:color w:val="auto"/>
        </w:rPr>
      </w:pPr>
    </w:p>
    <w:p>
      <w:pPr>
        <w:ind w:left="6280"/>
        <w:spacing w:after="0"/>
        <w:rPr>
          <w:sz w:val="20"/>
          <w:szCs w:val="20"/>
          <w:color w:val="auto"/>
        </w:rPr>
      </w:pPr>
      <w:r>
        <w:rPr>
          <w:rFonts w:ascii="Arial" w:cs="Arial" w:eastAsia="Arial" w:hAnsi="Arial"/>
          <w:sz w:val="18"/>
          <w:szCs w:val="18"/>
          <w:b w:val="1"/>
          <w:bCs w:val="1"/>
          <w:i w:val="1"/>
          <w:iCs w:val="1"/>
          <w:color w:val="auto"/>
        </w:rPr>
        <w:t>Chief Financial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Financial Officer)</w:t>
      </w:r>
    </w:p>
    <w:p>
      <w:pPr>
        <w:spacing w:after="0" w:line="16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400"/>
          </w:cols>
          <w:pgMar w:left="240" w:top="459" w:right="25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920" w:type="dxa"/>
            <w:vAlign w:val="bottom"/>
          </w:tcPr>
          <w:p>
            <w:pPr>
              <w:spacing w:after="0"/>
              <w:rPr>
                <w:sz w:val="19"/>
                <w:szCs w:val="19"/>
                <w:color w:val="auto"/>
              </w:rPr>
            </w:pPr>
          </w:p>
        </w:tc>
        <w:tc>
          <w:tcPr>
            <w:tcW w:w="9940" w:type="dxa"/>
            <w:vAlign w:val="bottom"/>
          </w:tcPr>
          <w:p>
            <w:pPr>
              <w:ind w:left="4120"/>
              <w:spacing w:after="0"/>
              <w:rPr>
                <w:sz w:val="20"/>
                <w:szCs w:val="20"/>
                <w:color w:val="auto"/>
              </w:rPr>
            </w:pPr>
            <w:r>
              <w:rPr>
                <w:rFonts w:ascii="Arial" w:cs="Arial" w:eastAsia="Arial" w:hAnsi="Arial"/>
                <w:sz w:val="18"/>
                <w:szCs w:val="18"/>
                <w:b w:val="1"/>
                <w:bCs w:val="1"/>
                <w:color w:val="auto"/>
              </w:rPr>
              <w:t>EXHIBIT INDEX</w:t>
            </w:r>
          </w:p>
        </w:tc>
      </w:tr>
      <w:tr>
        <w:trPr>
          <w:trHeight w:val="419"/>
        </w:trPr>
        <w:tc>
          <w:tcPr>
            <w:tcW w:w="920" w:type="dxa"/>
            <w:vAlign w:val="bottom"/>
          </w:tcPr>
          <w:p>
            <w:pPr>
              <w:ind w:left="100"/>
              <w:spacing w:after="0"/>
              <w:rPr>
                <w:sz w:val="20"/>
                <w:szCs w:val="20"/>
                <w:color w:val="auto"/>
              </w:rPr>
            </w:pPr>
            <w:r>
              <w:rPr>
                <w:rFonts w:ascii="Arial" w:cs="Arial" w:eastAsia="Arial" w:hAnsi="Arial"/>
                <w:sz w:val="18"/>
                <w:szCs w:val="18"/>
                <w:color w:val="auto"/>
              </w:rPr>
              <w:t>10.1#</w:t>
            </w:r>
          </w:p>
        </w:tc>
        <w:tc>
          <w:tcPr>
            <w:tcW w:w="9940" w:type="dxa"/>
            <w:vAlign w:val="bottom"/>
          </w:tcPr>
          <w:p>
            <w:pPr>
              <w:ind w:left="240"/>
              <w:spacing w:after="0"/>
              <w:rPr>
                <w:sz w:val="20"/>
                <w:szCs w:val="20"/>
                <w:color w:val="auto"/>
              </w:rPr>
            </w:pPr>
            <w:r>
              <w:rPr>
                <w:rFonts w:ascii="Arial" w:cs="Arial" w:eastAsia="Arial" w:hAnsi="Arial"/>
                <w:sz w:val="18"/>
                <w:szCs w:val="18"/>
                <w:color w:val="auto"/>
              </w:rPr>
              <w:t>Amended and Restated 1995 Stock Option Plan</w:t>
            </w:r>
          </w:p>
        </w:tc>
      </w:tr>
      <w:tr>
        <w:trPr>
          <w:trHeight w:val="318"/>
        </w:trPr>
        <w:tc>
          <w:tcPr>
            <w:tcW w:w="920" w:type="dxa"/>
            <w:vAlign w:val="bottom"/>
          </w:tcPr>
          <w:p>
            <w:pPr>
              <w:ind w:left="100"/>
              <w:spacing w:after="0"/>
              <w:rPr>
                <w:sz w:val="20"/>
                <w:szCs w:val="20"/>
                <w:color w:val="auto"/>
              </w:rPr>
            </w:pPr>
            <w:r>
              <w:rPr>
                <w:rFonts w:ascii="Arial" w:cs="Arial" w:eastAsia="Arial" w:hAnsi="Arial"/>
                <w:sz w:val="18"/>
                <w:szCs w:val="18"/>
                <w:color w:val="auto"/>
              </w:rPr>
              <w:t>10.2#</w:t>
            </w:r>
          </w:p>
        </w:tc>
        <w:tc>
          <w:tcPr>
            <w:tcW w:w="9940" w:type="dxa"/>
            <w:vAlign w:val="bottom"/>
          </w:tcPr>
          <w:p>
            <w:pPr>
              <w:ind w:left="240"/>
              <w:spacing w:after="0"/>
              <w:rPr>
                <w:sz w:val="20"/>
                <w:szCs w:val="20"/>
                <w:color w:val="auto"/>
              </w:rPr>
            </w:pPr>
            <w:r>
              <w:rPr>
                <w:rFonts w:ascii="Arial" w:cs="Arial" w:eastAsia="Arial" w:hAnsi="Arial"/>
                <w:sz w:val="18"/>
                <w:szCs w:val="18"/>
                <w:color w:val="auto"/>
                <w:w w:val="88"/>
              </w:rPr>
              <w:t>Form of Performance Award Agreement and Notice of Grant of Performance Award and Award Agreement for use with the Amended and</w:t>
            </w:r>
          </w:p>
        </w:tc>
      </w:tr>
      <w:tr>
        <w:trPr>
          <w:trHeight w:val="222"/>
        </w:trPr>
        <w:tc>
          <w:tcPr>
            <w:tcW w:w="920" w:type="dxa"/>
            <w:vAlign w:val="bottom"/>
          </w:tcPr>
          <w:p>
            <w:pPr>
              <w:spacing w:after="0"/>
              <w:rPr>
                <w:sz w:val="19"/>
                <w:szCs w:val="19"/>
                <w:color w:val="auto"/>
              </w:rPr>
            </w:pPr>
          </w:p>
        </w:tc>
        <w:tc>
          <w:tcPr>
            <w:tcW w:w="9940" w:type="dxa"/>
            <w:vAlign w:val="bottom"/>
          </w:tcPr>
          <w:p>
            <w:pPr>
              <w:ind w:left="240"/>
              <w:spacing w:after="0"/>
              <w:rPr>
                <w:sz w:val="20"/>
                <w:szCs w:val="20"/>
                <w:color w:val="auto"/>
              </w:rPr>
            </w:pPr>
            <w:r>
              <w:rPr>
                <w:rFonts w:ascii="Arial" w:cs="Arial" w:eastAsia="Arial" w:hAnsi="Arial"/>
                <w:sz w:val="18"/>
                <w:szCs w:val="18"/>
                <w:color w:val="auto"/>
              </w:rPr>
              <w:t>Restated 1995 Stock Option Plan</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31.1</w:t>
            </w:r>
          </w:p>
        </w:tc>
        <w:tc>
          <w:tcPr>
            <w:tcW w:w="9940" w:type="dxa"/>
            <w:vAlign w:val="bottom"/>
          </w:tcPr>
          <w:p>
            <w:pPr>
              <w:ind w:left="240"/>
              <w:spacing w:after="0"/>
              <w:rPr>
                <w:sz w:val="20"/>
                <w:szCs w:val="20"/>
                <w:color w:val="auto"/>
              </w:rPr>
            </w:pPr>
            <w:r>
              <w:rPr>
                <w:rFonts w:ascii="Arial" w:cs="Arial" w:eastAsia="Arial" w:hAnsi="Arial"/>
                <w:sz w:val="18"/>
                <w:szCs w:val="18"/>
                <w:color w:val="auto"/>
              </w:rPr>
              <w:t>Certification of Chief Executive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31.2</w:t>
            </w:r>
          </w:p>
        </w:tc>
        <w:tc>
          <w:tcPr>
            <w:tcW w:w="9940" w:type="dxa"/>
            <w:vAlign w:val="bottom"/>
          </w:tcPr>
          <w:p>
            <w:pPr>
              <w:ind w:left="240"/>
              <w:spacing w:after="0"/>
              <w:rPr>
                <w:sz w:val="20"/>
                <w:szCs w:val="20"/>
                <w:color w:val="auto"/>
              </w:rPr>
            </w:pPr>
            <w:r>
              <w:rPr>
                <w:rFonts w:ascii="Arial" w:cs="Arial" w:eastAsia="Arial" w:hAnsi="Arial"/>
                <w:sz w:val="18"/>
                <w:szCs w:val="18"/>
                <w:color w:val="auto"/>
              </w:rPr>
              <w:t>Certification of Chief Financial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32.1*</w:t>
            </w:r>
          </w:p>
        </w:tc>
        <w:tc>
          <w:tcPr>
            <w:tcW w:w="9940" w:type="dxa"/>
            <w:vAlign w:val="bottom"/>
          </w:tcPr>
          <w:p>
            <w:pPr>
              <w:ind w:left="240"/>
              <w:spacing w:after="0"/>
              <w:rPr>
                <w:sz w:val="20"/>
                <w:szCs w:val="20"/>
                <w:color w:val="auto"/>
              </w:rPr>
            </w:pPr>
            <w:r>
              <w:rPr>
                <w:rFonts w:ascii="Arial" w:cs="Arial" w:eastAsia="Arial" w:hAnsi="Arial"/>
                <w:sz w:val="18"/>
                <w:szCs w:val="18"/>
                <w:color w:val="auto"/>
              </w:rPr>
              <w:t>Certification of Chief Executive Officer as required pursuant to Section 906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32.2*</w:t>
            </w:r>
          </w:p>
        </w:tc>
        <w:tc>
          <w:tcPr>
            <w:tcW w:w="9940" w:type="dxa"/>
            <w:vAlign w:val="bottom"/>
          </w:tcPr>
          <w:p>
            <w:pPr>
              <w:ind w:left="240"/>
              <w:spacing w:after="0"/>
              <w:rPr>
                <w:sz w:val="20"/>
                <w:szCs w:val="20"/>
                <w:color w:val="auto"/>
              </w:rPr>
            </w:pPr>
            <w:r>
              <w:rPr>
                <w:rFonts w:ascii="Arial" w:cs="Arial" w:eastAsia="Arial" w:hAnsi="Arial"/>
                <w:sz w:val="18"/>
                <w:szCs w:val="18"/>
                <w:color w:val="auto"/>
              </w:rPr>
              <w:t>Certification of Chief Financial Officer as required pursuant to Section 906 of the Sarbanes-Oxley Act of 2002</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101.INS</w:t>
            </w:r>
          </w:p>
        </w:tc>
        <w:tc>
          <w:tcPr>
            <w:tcW w:w="9940" w:type="dxa"/>
            <w:vAlign w:val="bottom"/>
          </w:tcPr>
          <w:p>
            <w:pPr>
              <w:ind w:left="240"/>
              <w:spacing w:after="0"/>
              <w:rPr>
                <w:sz w:val="20"/>
                <w:szCs w:val="20"/>
                <w:color w:val="auto"/>
              </w:rPr>
            </w:pPr>
            <w:r>
              <w:rPr>
                <w:rFonts w:ascii="Arial" w:cs="Arial" w:eastAsia="Arial" w:hAnsi="Arial"/>
                <w:sz w:val="18"/>
                <w:szCs w:val="18"/>
                <w:color w:val="auto"/>
              </w:rPr>
              <w:t>XBRL Instance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101.SCH</w:t>
            </w:r>
          </w:p>
        </w:tc>
        <w:tc>
          <w:tcPr>
            <w:tcW w:w="9940" w:type="dxa"/>
            <w:vAlign w:val="bottom"/>
          </w:tcPr>
          <w:p>
            <w:pPr>
              <w:ind w:left="240"/>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101.CAL</w:t>
            </w:r>
          </w:p>
        </w:tc>
        <w:tc>
          <w:tcPr>
            <w:tcW w:w="9940" w:type="dxa"/>
            <w:vAlign w:val="bottom"/>
          </w:tcPr>
          <w:p>
            <w:pPr>
              <w:ind w:left="240"/>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101.DEF</w:t>
            </w:r>
          </w:p>
        </w:tc>
        <w:tc>
          <w:tcPr>
            <w:tcW w:w="9940" w:type="dxa"/>
            <w:vAlign w:val="bottom"/>
          </w:tcPr>
          <w:p>
            <w:pPr>
              <w:ind w:left="240"/>
              <w:spacing w:after="0"/>
              <w:rPr>
                <w:sz w:val="20"/>
                <w:szCs w:val="20"/>
                <w:color w:val="auto"/>
              </w:rPr>
            </w:pPr>
            <w:r>
              <w:rPr>
                <w:rFonts w:ascii="Arial" w:cs="Arial" w:eastAsia="Arial" w:hAnsi="Arial"/>
                <w:sz w:val="18"/>
                <w:szCs w:val="18"/>
                <w:color w:val="auto"/>
              </w:rPr>
              <w:t>XBRL Taxonomy Extension Definition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101.LAB</w:t>
            </w:r>
          </w:p>
        </w:tc>
        <w:tc>
          <w:tcPr>
            <w:tcW w:w="9940" w:type="dxa"/>
            <w:vAlign w:val="bottom"/>
          </w:tcPr>
          <w:p>
            <w:pPr>
              <w:ind w:left="240"/>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101.PRE</w:t>
            </w:r>
          </w:p>
        </w:tc>
        <w:tc>
          <w:tcPr>
            <w:tcW w:w="9940" w:type="dxa"/>
            <w:vAlign w:val="bottom"/>
          </w:tcPr>
          <w:p>
            <w:pPr>
              <w:ind w:left="240"/>
              <w:spacing w:after="0"/>
              <w:rPr>
                <w:sz w:val="20"/>
                <w:szCs w:val="20"/>
                <w:color w:val="auto"/>
              </w:rPr>
            </w:pPr>
            <w:r>
              <w:rPr>
                <w:rFonts w:ascii="Arial" w:cs="Arial" w:eastAsia="Arial" w:hAnsi="Arial"/>
                <w:sz w:val="18"/>
                <w:szCs w:val="18"/>
                <w:color w:val="auto"/>
              </w:rPr>
              <w:t>XBRL Taxonomy Extension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spacing w:after="0"/>
        <w:rPr>
          <w:sz w:val="20"/>
          <w:szCs w:val="20"/>
          <w:color w:val="auto"/>
        </w:rPr>
      </w:pPr>
      <w:r>
        <w:rPr>
          <w:rFonts w:ascii="Arial" w:cs="Arial" w:eastAsia="Arial" w:hAnsi="Arial"/>
          <w:sz w:val="18"/>
          <w:szCs w:val="18"/>
          <w:color w:val="auto"/>
        </w:rPr>
        <w:t>#  Management contracts or compensation plans or arrangements in which directors or executive officers are eligible to participate.</w:t>
      </w:r>
    </w:p>
    <w:p>
      <w:pPr>
        <w:spacing w:after="0" w:line="15" w:lineRule="exact"/>
        <w:rPr>
          <w:sz w:val="20"/>
          <w:szCs w:val="20"/>
          <w:color w:val="auto"/>
        </w:rPr>
      </w:pPr>
    </w:p>
    <w:p>
      <w:pPr>
        <w:jc w:val="both"/>
        <w:ind w:left="220" w:right="100" w:hanging="212"/>
        <w:spacing w:after="0" w:line="302" w:lineRule="auto"/>
        <w:tabs>
          <w:tab w:leader="none" w:pos="220" w:val="left"/>
        </w:tabs>
        <w:numPr>
          <w:ilvl w:val="0"/>
          <w:numId w:val="12"/>
        </w:numPr>
        <w:rPr>
          <w:rFonts w:ascii="Arial" w:cs="Arial" w:eastAsia="Arial" w:hAnsi="Arial"/>
          <w:sz w:val="16"/>
          <w:szCs w:val="16"/>
          <w:color w:val="auto"/>
        </w:rPr>
      </w:pPr>
      <w:r>
        <w:rPr>
          <w:rFonts w:ascii="Arial" w:cs="Arial" w:eastAsia="Arial" w:hAnsi="Arial"/>
          <w:sz w:val="16"/>
          <w:szCs w:val="16"/>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96" w:lineRule="exact"/>
        <w:rPr>
          <w:sz w:val="20"/>
          <w:szCs w:val="20"/>
          <w:color w:val="auto"/>
        </w:rPr>
      </w:pPr>
    </w:p>
    <w:p>
      <w:pPr>
        <w:jc w:val="center"/>
        <w:ind w:right="-55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0860"/>
          </w:cols>
          <w:pgMar w:left="240" w:top="459" w:right="799" w:bottom="1440" w:gutter="0" w:footer="0" w:header="0"/>
        </w:sectPr>
      </w:pPr>
    </w:p>
    <w:bookmarkStart w:id="51" w:name="page52"/>
    <w:bookmarkEnd w:id="51"/>
    <w:p>
      <w:pPr>
        <w:jc w:val="right"/>
        <w:spacing w:after="0"/>
        <w:rPr>
          <w:sz w:val="20"/>
          <w:szCs w:val="20"/>
          <w:color w:val="auto"/>
        </w:rPr>
      </w:pPr>
      <w:r>
        <w:rPr>
          <w:rFonts w:ascii="Arial" w:cs="Arial" w:eastAsia="Arial" w:hAnsi="Arial"/>
          <w:sz w:val="18"/>
          <w:szCs w:val="18"/>
          <w:b w:val="1"/>
          <w:bCs w:val="1"/>
          <w:color w:val="auto"/>
        </w:rPr>
        <w:t>Exhibit 10.1</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7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 AND RESTATED</w:t>
      </w:r>
    </w:p>
    <w:p>
      <w:pPr>
        <w:spacing w:after="0" w:line="21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1995 STOCK OPTION PLAN</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amended through September 20, 2013)</w:t>
      </w:r>
    </w:p>
    <w:p>
      <w:pPr>
        <w:spacing w:after="0" w:line="165" w:lineRule="exact"/>
        <w:rPr>
          <w:sz w:val="20"/>
          <w:szCs w:val="20"/>
          <w:color w:val="auto"/>
        </w:rPr>
      </w:pPr>
    </w:p>
    <w:p>
      <w:pPr>
        <w:jc w:val="both"/>
        <w:ind w:right="160" w:firstLine="464"/>
        <w:spacing w:after="0" w:line="370" w:lineRule="auto"/>
        <w:tabs>
          <w:tab w:leader="none" w:pos="632" w:val="left"/>
        </w:tabs>
        <w:numPr>
          <w:ilvl w:val="0"/>
          <w:numId w:val="13"/>
        </w:numPr>
        <w:rPr>
          <w:rFonts w:ascii="Arial" w:cs="Arial" w:eastAsia="Arial" w:hAnsi="Arial"/>
          <w:sz w:val="15"/>
          <w:szCs w:val="15"/>
          <w:color w:val="auto"/>
        </w:rPr>
      </w:pPr>
      <w:r>
        <w:rPr>
          <w:rFonts w:ascii="Arial" w:cs="Arial" w:eastAsia="Arial" w:hAnsi="Arial"/>
          <w:sz w:val="15"/>
          <w:szCs w:val="15"/>
          <w:u w:val="single" w:color="auto"/>
          <w:color w:val="auto"/>
        </w:rPr>
        <w:t>Purpose</w:t>
      </w:r>
      <w:r>
        <w:rPr>
          <w:rFonts w:ascii="Arial" w:cs="Arial" w:eastAsia="Arial" w:hAnsi="Arial"/>
          <w:sz w:val="15"/>
          <w:szCs w:val="15"/>
          <w:color w:val="auto"/>
        </w:rPr>
        <w:t>. This Plan is intended to attract and retain the best available individuals as Employees, Consultants and Outside Directors of the Company and its Subsidiaries, to provide additional incentives to those Employees, Consultants and Outside Directors, and to promote the success of the Company’s business.</w:t>
      </w:r>
    </w:p>
    <w:p>
      <w:pPr>
        <w:spacing w:after="0" w:line="62" w:lineRule="exact"/>
        <w:rPr>
          <w:rFonts w:ascii="Arial" w:cs="Arial" w:eastAsia="Arial" w:hAnsi="Arial"/>
          <w:sz w:val="15"/>
          <w:szCs w:val="15"/>
          <w:color w:val="auto"/>
        </w:rPr>
      </w:pPr>
    </w:p>
    <w:p>
      <w:pPr>
        <w:ind w:left="640" w:hanging="176"/>
        <w:spacing w:after="0"/>
        <w:tabs>
          <w:tab w:leader="none" w:pos="640" w:val="left"/>
        </w:tabs>
        <w:numPr>
          <w:ilvl w:val="0"/>
          <w:numId w:val="13"/>
        </w:numPr>
        <w:rPr>
          <w:rFonts w:ascii="Arial" w:cs="Arial" w:eastAsia="Arial" w:hAnsi="Arial"/>
          <w:sz w:val="18"/>
          <w:szCs w:val="18"/>
          <w:color w:val="auto"/>
        </w:rPr>
      </w:pPr>
      <w:r>
        <w:rPr>
          <w:rFonts w:ascii="Arial" w:cs="Arial" w:eastAsia="Arial" w:hAnsi="Arial"/>
          <w:sz w:val="18"/>
          <w:szCs w:val="18"/>
          <w:u w:val="single" w:color="auto"/>
          <w:color w:val="auto"/>
        </w:rPr>
        <w:t>Defined Terms</w:t>
      </w:r>
      <w:r>
        <w:rPr>
          <w:rFonts w:ascii="Arial" w:cs="Arial" w:eastAsia="Arial" w:hAnsi="Arial"/>
          <w:sz w:val="18"/>
          <w:szCs w:val="18"/>
          <w:color w:val="auto"/>
        </w:rPr>
        <w:t>. The meanings of defined terms (generally, capitalized terms) in this Plan are provided in Section 21 (“Glossary”).</w:t>
      </w:r>
    </w:p>
    <w:p>
      <w:pPr>
        <w:spacing w:after="0" w:line="171" w:lineRule="exact"/>
        <w:rPr>
          <w:rFonts w:ascii="Arial" w:cs="Arial" w:eastAsia="Arial" w:hAnsi="Arial"/>
          <w:sz w:val="18"/>
          <w:szCs w:val="18"/>
          <w:color w:val="auto"/>
        </w:rPr>
      </w:pPr>
    </w:p>
    <w:p>
      <w:pPr>
        <w:ind w:right="100" w:firstLine="464"/>
        <w:spacing w:after="0" w:line="298" w:lineRule="auto"/>
        <w:tabs>
          <w:tab w:leader="none" w:pos="632" w:val="left"/>
        </w:tabs>
        <w:numPr>
          <w:ilvl w:val="0"/>
          <w:numId w:val="13"/>
        </w:numPr>
        <w:rPr>
          <w:rFonts w:ascii="Arial" w:cs="Arial" w:eastAsia="Arial" w:hAnsi="Arial"/>
          <w:sz w:val="16"/>
          <w:szCs w:val="16"/>
          <w:color w:val="auto"/>
        </w:rPr>
      </w:pPr>
      <w:r>
        <w:rPr>
          <w:rFonts w:ascii="Arial" w:cs="Arial" w:eastAsia="Arial" w:hAnsi="Arial"/>
          <w:sz w:val="16"/>
          <w:szCs w:val="16"/>
          <w:u w:val="single" w:color="auto"/>
          <w:color w:val="auto"/>
        </w:rPr>
        <w:t>Shares Reserved</w:t>
      </w:r>
      <w:r>
        <w:rPr>
          <w:rFonts w:ascii="Arial" w:cs="Arial" w:eastAsia="Arial" w:hAnsi="Arial"/>
          <w:sz w:val="16"/>
          <w:szCs w:val="16"/>
          <w:color w:val="auto"/>
        </w:rPr>
        <w:t>. Subject to Section 14, Shares that may be issued with respect to Awards granted under the Plan shall not exceed an aggregate of 383,440,718 Shares of Common Stock. The Shares may be authorized, but unissued, or reacquired Common Stock. If an Award under the Plan expires or becomes unexercisable for any reason, the Shares subject to such Award which have not been issued shall be available for future issuance under this Plan. Shares retained to satisfy tax withholding obligations do not reduce the number authorized for issuance.</w:t>
      </w:r>
    </w:p>
    <w:p>
      <w:pPr>
        <w:spacing w:after="0" w:line="112" w:lineRule="exact"/>
        <w:rPr>
          <w:rFonts w:ascii="Arial" w:cs="Arial" w:eastAsia="Arial" w:hAnsi="Arial"/>
          <w:sz w:val="16"/>
          <w:szCs w:val="16"/>
          <w:color w:val="auto"/>
        </w:rPr>
      </w:pPr>
    </w:p>
    <w:p>
      <w:pPr>
        <w:ind w:left="640" w:hanging="176"/>
        <w:spacing w:after="0"/>
        <w:tabs>
          <w:tab w:leader="none" w:pos="640" w:val="left"/>
        </w:tabs>
        <w:numPr>
          <w:ilvl w:val="0"/>
          <w:numId w:val="13"/>
        </w:numPr>
        <w:rPr>
          <w:rFonts w:ascii="Arial" w:cs="Arial" w:eastAsia="Arial" w:hAnsi="Arial"/>
          <w:sz w:val="18"/>
          <w:szCs w:val="18"/>
          <w:color w:val="auto"/>
        </w:rPr>
      </w:pPr>
      <w:r>
        <w:rPr>
          <w:rFonts w:ascii="Arial" w:cs="Arial" w:eastAsia="Arial" w:hAnsi="Arial"/>
          <w:sz w:val="18"/>
          <w:szCs w:val="18"/>
          <w:u w:val="single" w:color="auto"/>
          <w:color w:val="auto"/>
        </w:rPr>
        <w:t>Administration</w:t>
      </w:r>
      <w:r>
        <w:rPr>
          <w:rFonts w:ascii="Arial" w:cs="Arial" w:eastAsia="Arial" w:hAnsi="Arial"/>
          <w:sz w:val="18"/>
          <w:szCs w:val="18"/>
          <w:color w:val="auto"/>
        </w:rPr>
        <w:t>.</w:t>
      </w:r>
    </w:p>
    <w:p>
      <w:pPr>
        <w:spacing w:after="0" w:line="90" w:lineRule="exact"/>
        <w:rPr>
          <w:sz w:val="20"/>
          <w:szCs w:val="20"/>
          <w:color w:val="auto"/>
        </w:rPr>
      </w:pPr>
    </w:p>
    <w:p>
      <w:pPr>
        <w:ind w:right="20" w:firstLine="464"/>
        <w:spacing w:after="0" w:line="335" w:lineRule="auto"/>
        <w:tabs>
          <w:tab w:leader="none" w:pos="695" w:val="left"/>
        </w:tabs>
        <w:numPr>
          <w:ilvl w:val="0"/>
          <w:numId w:val="14"/>
        </w:numPr>
        <w:rPr>
          <w:rFonts w:ascii="Arial" w:cs="Arial" w:eastAsia="Arial" w:hAnsi="Arial"/>
          <w:sz w:val="15"/>
          <w:szCs w:val="15"/>
          <w:color w:val="auto"/>
        </w:rPr>
      </w:pPr>
      <w:r>
        <w:rPr>
          <w:rFonts w:ascii="Arial" w:cs="Arial" w:eastAsia="Arial" w:hAnsi="Arial"/>
          <w:sz w:val="15"/>
          <w:szCs w:val="15"/>
          <w:u w:val="single" w:color="auto"/>
          <w:color w:val="auto"/>
        </w:rPr>
        <w:t>In General</w:t>
      </w:r>
      <w:r>
        <w:rPr>
          <w:rFonts w:ascii="Arial" w:cs="Arial" w:eastAsia="Arial" w:hAnsi="Arial"/>
          <w:sz w:val="15"/>
          <w:szCs w:val="15"/>
          <w:color w:val="auto"/>
        </w:rPr>
        <w:t>. This Plan shall be administered by the Board or a Committee appointed by the Board. Once appointed, a Committee shall serve until otherwise directed by the Board. From time to time, the Board may increase the size of the Committee and appoint additional members, remove members (with or without cause) and appoint new members in their stead, fill vacancies however caused, and terminate the Committee and thereafter directly administer this Plan.</w:t>
      </w:r>
    </w:p>
    <w:p>
      <w:pPr>
        <w:spacing w:after="0" w:line="7" w:lineRule="exact"/>
        <w:rPr>
          <w:rFonts w:ascii="Arial" w:cs="Arial" w:eastAsia="Arial" w:hAnsi="Arial"/>
          <w:sz w:val="15"/>
          <w:szCs w:val="15"/>
          <w:color w:val="auto"/>
        </w:rPr>
      </w:pPr>
    </w:p>
    <w:p>
      <w:pPr>
        <w:ind w:right="80" w:firstLine="464"/>
        <w:spacing w:after="0" w:line="268" w:lineRule="auto"/>
        <w:tabs>
          <w:tab w:leader="none" w:pos="705" w:val="left"/>
        </w:tabs>
        <w:numPr>
          <w:ilvl w:val="0"/>
          <w:numId w:val="14"/>
        </w:numPr>
        <w:rPr>
          <w:rFonts w:ascii="Arial" w:cs="Arial" w:eastAsia="Arial" w:hAnsi="Arial"/>
          <w:sz w:val="18"/>
          <w:szCs w:val="18"/>
          <w:color w:val="auto"/>
        </w:rPr>
      </w:pPr>
      <w:r>
        <w:rPr>
          <w:rFonts w:ascii="Arial" w:cs="Arial" w:eastAsia="Arial" w:hAnsi="Arial"/>
          <w:sz w:val="18"/>
          <w:szCs w:val="18"/>
          <w:u w:val="single" w:color="auto"/>
          <w:color w:val="auto"/>
        </w:rPr>
        <w:t>Committee Composition</w:t>
      </w:r>
      <w:r>
        <w:rPr>
          <w:rFonts w:ascii="Arial" w:cs="Arial" w:eastAsia="Arial" w:hAnsi="Arial"/>
          <w:sz w:val="18"/>
          <w:szCs w:val="18"/>
          <w:i w:val="1"/>
          <w:iCs w:val="1"/>
          <w:color w:val="auto"/>
        </w:rPr>
        <w:t>.</w:t>
      </w:r>
      <w:r>
        <w:rPr>
          <w:rFonts w:ascii="Arial" w:cs="Arial" w:eastAsia="Arial" w:hAnsi="Arial"/>
          <w:sz w:val="18"/>
          <w:szCs w:val="18"/>
          <w:color w:val="auto"/>
        </w:rPr>
        <w:t xml:space="preserve"> The Board may provide for administration of this Plan with respect to Officers and directors of the Company by a Committee constituted so as to satisfy:</w:t>
      </w:r>
    </w:p>
    <w:p>
      <w:pPr>
        <w:spacing w:after="0" w:line="50" w:lineRule="exact"/>
        <w:rPr>
          <w:rFonts w:ascii="Arial" w:cs="Arial" w:eastAsia="Arial" w:hAnsi="Arial"/>
          <w:sz w:val="18"/>
          <w:szCs w:val="18"/>
          <w:color w:val="auto"/>
        </w:rPr>
      </w:pPr>
    </w:p>
    <w:p>
      <w:pPr>
        <w:ind w:left="460" w:right="620" w:firstLine="443"/>
        <w:spacing w:after="0" w:line="268" w:lineRule="auto"/>
        <w:tabs>
          <w:tab w:leader="none" w:pos="1108" w:val="left"/>
        </w:tabs>
        <w:numPr>
          <w:ilvl w:val="1"/>
          <w:numId w:val="14"/>
        </w:numPr>
        <w:rPr>
          <w:rFonts w:ascii="Arial" w:cs="Arial" w:eastAsia="Arial" w:hAnsi="Arial"/>
          <w:sz w:val="18"/>
          <w:szCs w:val="18"/>
          <w:color w:val="auto"/>
        </w:rPr>
      </w:pPr>
      <w:r>
        <w:rPr>
          <w:rFonts w:ascii="Arial" w:cs="Arial" w:eastAsia="Arial" w:hAnsi="Arial"/>
          <w:sz w:val="18"/>
          <w:szCs w:val="18"/>
          <w:color w:val="auto"/>
        </w:rPr>
        <w:t>such requirements as the Securities and Exchange Commission may establish for administrators acting under plans intended to qualify for exemption under Rule 16b-3 (or its successor) under the Exchange Act; and</w:t>
      </w:r>
    </w:p>
    <w:p>
      <w:pPr>
        <w:spacing w:after="0" w:line="50" w:lineRule="exact"/>
        <w:rPr>
          <w:rFonts w:ascii="Arial" w:cs="Arial" w:eastAsia="Arial" w:hAnsi="Arial"/>
          <w:sz w:val="18"/>
          <w:szCs w:val="18"/>
          <w:color w:val="auto"/>
        </w:rPr>
      </w:pPr>
    </w:p>
    <w:p>
      <w:pPr>
        <w:ind w:left="460" w:right="440" w:firstLine="443"/>
        <w:spacing w:after="0" w:line="268" w:lineRule="auto"/>
        <w:tabs>
          <w:tab w:leader="none" w:pos="1157" w:val="left"/>
        </w:tabs>
        <w:numPr>
          <w:ilvl w:val="1"/>
          <w:numId w:val="14"/>
        </w:numPr>
        <w:rPr>
          <w:rFonts w:ascii="Arial" w:cs="Arial" w:eastAsia="Arial" w:hAnsi="Arial"/>
          <w:sz w:val="18"/>
          <w:szCs w:val="18"/>
          <w:color w:val="auto"/>
        </w:rPr>
      </w:pPr>
      <w:r>
        <w:rPr>
          <w:rFonts w:ascii="Arial" w:cs="Arial" w:eastAsia="Arial" w:hAnsi="Arial"/>
          <w:sz w:val="18"/>
          <w:szCs w:val="18"/>
          <w:color w:val="auto"/>
        </w:rPr>
        <w:t>such requirements as the Internal Revenue Service may establish for Outside Directors acting under plans intended to qualify for exemption under Section 162(m)(4)(C) of the Code.</w:t>
      </w:r>
    </w:p>
    <w:p>
      <w:pPr>
        <w:spacing w:after="0" w:line="132" w:lineRule="exact"/>
        <w:rPr>
          <w:sz w:val="20"/>
          <w:szCs w:val="20"/>
          <w:color w:val="auto"/>
        </w:rPr>
      </w:pPr>
    </w:p>
    <w:p>
      <w:pPr>
        <w:jc w:val="both"/>
        <w:ind w:right="80" w:firstLine="456"/>
        <w:spacing w:after="0" w:line="259" w:lineRule="auto"/>
        <w:rPr>
          <w:sz w:val="20"/>
          <w:szCs w:val="20"/>
          <w:color w:val="auto"/>
        </w:rPr>
      </w:pPr>
      <w:r>
        <w:rPr>
          <w:rFonts w:ascii="Arial" w:cs="Arial" w:eastAsia="Arial" w:hAnsi="Arial"/>
          <w:sz w:val="18"/>
          <w:szCs w:val="18"/>
          <w:color w:val="auto"/>
        </w:rPr>
        <w:t>A Committee appointed under this Section 4(b) may be separate from any Committee appointed to administer this Plan with respect to Employees who are neither Officers nor directors. Within the limitations of this Section 4(b), any reference in the Plan to the Committee shall include such committee or committees appointed pursuant to this Section 4.</w:t>
      </w:r>
    </w:p>
    <w:p>
      <w:pPr>
        <w:sectPr>
          <w:pgSz w:w="11900" w:h="16838" w:orient="portrait"/>
          <w:cols w:equalWidth="0" w:num="1">
            <w:col w:w="11420"/>
          </w:cols>
          <w:pgMar w:left="240" w:top="125" w:right="239" w:bottom="1440" w:gutter="0" w:footer="0" w:header="0"/>
        </w:sectPr>
      </w:pPr>
    </w:p>
    <w:bookmarkStart w:id="52" w:name="page53"/>
    <w:bookmarkEnd w:id="52"/>
    <w:p>
      <w:pPr>
        <w:ind w:right="40" w:firstLine="464"/>
        <w:spacing w:after="0" w:line="268" w:lineRule="auto"/>
        <w:tabs>
          <w:tab w:leader="none" w:pos="695" w:val="left"/>
        </w:tabs>
        <w:numPr>
          <w:ilvl w:val="0"/>
          <w:numId w:val="15"/>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Powers of the Administrator</w:t>
      </w:r>
      <w:r>
        <w:rPr>
          <w:rFonts w:ascii="Arial" w:cs="Arial" w:eastAsia="Arial" w:hAnsi="Arial"/>
          <w:sz w:val="18"/>
          <w:szCs w:val="18"/>
          <w:color w:val="auto"/>
        </w:rPr>
        <w:t>. Subject to the provisions of this Plan and in the case of a Committee, subject to the specific duties delegated by the Board, the Administrator shall have the authority, in its sole and absolute discretion:</w:t>
      </w:r>
    </w:p>
    <w:p>
      <w:pPr>
        <w:spacing w:after="0" w:line="50" w:lineRule="exact"/>
        <w:rPr>
          <w:rFonts w:ascii="Arial" w:cs="Arial" w:eastAsia="Arial" w:hAnsi="Arial"/>
          <w:sz w:val="18"/>
          <w:szCs w:val="18"/>
          <w:color w:val="auto"/>
        </w:rPr>
      </w:pPr>
    </w:p>
    <w:p>
      <w:pPr>
        <w:ind w:left="1120" w:hanging="217"/>
        <w:spacing w:after="0"/>
        <w:tabs>
          <w:tab w:leader="none" w:pos="1120" w:val="left"/>
        </w:tabs>
        <w:numPr>
          <w:ilvl w:val="1"/>
          <w:numId w:val="15"/>
        </w:numPr>
        <w:rPr>
          <w:rFonts w:ascii="Arial" w:cs="Arial" w:eastAsia="Arial" w:hAnsi="Arial"/>
          <w:sz w:val="18"/>
          <w:szCs w:val="18"/>
          <w:color w:val="auto"/>
        </w:rPr>
      </w:pPr>
      <w:r>
        <w:rPr>
          <w:rFonts w:ascii="Arial" w:cs="Arial" w:eastAsia="Arial" w:hAnsi="Arial"/>
          <w:sz w:val="18"/>
          <w:szCs w:val="18"/>
          <w:color w:val="auto"/>
        </w:rPr>
        <w:t>to determine the Fair Market Value of the Common Stock;</w:t>
      </w:r>
    </w:p>
    <w:p>
      <w:pPr>
        <w:spacing w:after="0" w:line="90" w:lineRule="exact"/>
        <w:rPr>
          <w:rFonts w:ascii="Arial" w:cs="Arial" w:eastAsia="Arial" w:hAnsi="Arial"/>
          <w:sz w:val="18"/>
          <w:szCs w:val="18"/>
          <w:color w:val="auto"/>
        </w:rPr>
      </w:pPr>
    </w:p>
    <w:p>
      <w:pPr>
        <w:ind w:left="460" w:right="100" w:firstLine="443"/>
        <w:spacing w:after="0" w:line="259" w:lineRule="auto"/>
        <w:tabs>
          <w:tab w:leader="none" w:pos="1157" w:val="left"/>
        </w:tabs>
        <w:numPr>
          <w:ilvl w:val="1"/>
          <w:numId w:val="15"/>
        </w:numPr>
        <w:rPr>
          <w:rFonts w:ascii="Arial" w:cs="Arial" w:eastAsia="Arial" w:hAnsi="Arial"/>
          <w:sz w:val="18"/>
          <w:szCs w:val="18"/>
          <w:color w:val="auto"/>
        </w:rPr>
      </w:pPr>
      <w:r>
        <w:rPr>
          <w:rFonts w:ascii="Arial" w:cs="Arial" w:eastAsia="Arial" w:hAnsi="Arial"/>
          <w:sz w:val="18"/>
          <w:szCs w:val="18"/>
          <w:color w:val="auto"/>
        </w:rPr>
        <w:t>to grant Awards to such Consultants, Outside Directors and Employees as it selects; provided, however, that notwithstanding any other provision of the Plan, grants of Awards to Outside Directors shall be limited to grants of Options upon initial appointment to the Board, and such Awards shall be subject to ratification by the Board;</w:t>
      </w:r>
    </w:p>
    <w:p>
      <w:pPr>
        <w:spacing w:after="0" w:line="59" w:lineRule="exact"/>
        <w:rPr>
          <w:rFonts w:ascii="Arial" w:cs="Arial" w:eastAsia="Arial" w:hAnsi="Arial"/>
          <w:sz w:val="18"/>
          <w:szCs w:val="18"/>
          <w:color w:val="auto"/>
        </w:rPr>
      </w:pPr>
    </w:p>
    <w:p>
      <w:pPr>
        <w:ind w:left="460" w:right="440" w:firstLine="443"/>
        <w:spacing w:after="0" w:line="268" w:lineRule="auto"/>
        <w:tabs>
          <w:tab w:leader="none" w:pos="1205" w:val="left"/>
        </w:tabs>
        <w:numPr>
          <w:ilvl w:val="1"/>
          <w:numId w:val="15"/>
        </w:numPr>
        <w:rPr>
          <w:rFonts w:ascii="Arial" w:cs="Arial" w:eastAsia="Arial" w:hAnsi="Arial"/>
          <w:sz w:val="18"/>
          <w:szCs w:val="18"/>
          <w:color w:val="auto"/>
        </w:rPr>
      </w:pPr>
      <w:r>
        <w:rPr>
          <w:rFonts w:ascii="Arial" w:cs="Arial" w:eastAsia="Arial" w:hAnsi="Arial"/>
          <w:sz w:val="18"/>
          <w:szCs w:val="18"/>
          <w:color w:val="auto"/>
        </w:rPr>
        <w:t>to determine the terms and conditions of each Award granted, including without limitation the number of Shares subject to each Award, the exercise price per Share of Optioned Stock, and whether an Option is to be granted as an ISO or a NSO;</w:t>
      </w:r>
    </w:p>
    <w:p>
      <w:pPr>
        <w:spacing w:after="0" w:line="50" w:lineRule="exact"/>
        <w:rPr>
          <w:rFonts w:ascii="Arial" w:cs="Arial" w:eastAsia="Arial" w:hAnsi="Arial"/>
          <w:sz w:val="18"/>
          <w:szCs w:val="18"/>
          <w:color w:val="auto"/>
        </w:rPr>
      </w:pPr>
    </w:p>
    <w:p>
      <w:pPr>
        <w:ind w:left="1200" w:hanging="297"/>
        <w:spacing w:after="0"/>
        <w:tabs>
          <w:tab w:leader="none" w:pos="1200" w:val="left"/>
        </w:tabs>
        <w:numPr>
          <w:ilvl w:val="1"/>
          <w:numId w:val="15"/>
        </w:numPr>
        <w:rPr>
          <w:rFonts w:ascii="Arial" w:cs="Arial" w:eastAsia="Arial" w:hAnsi="Arial"/>
          <w:sz w:val="18"/>
          <w:szCs w:val="18"/>
          <w:color w:val="auto"/>
        </w:rPr>
      </w:pPr>
      <w:r>
        <w:rPr>
          <w:rFonts w:ascii="Arial" w:cs="Arial" w:eastAsia="Arial" w:hAnsi="Arial"/>
          <w:sz w:val="18"/>
          <w:szCs w:val="18"/>
          <w:color w:val="auto"/>
        </w:rPr>
        <w:t>to approve forms of agreement for use under this Plan;</w:t>
      </w:r>
    </w:p>
    <w:p>
      <w:pPr>
        <w:spacing w:after="0" w:line="90" w:lineRule="exact"/>
        <w:rPr>
          <w:rFonts w:ascii="Arial" w:cs="Arial" w:eastAsia="Arial" w:hAnsi="Arial"/>
          <w:sz w:val="18"/>
          <w:szCs w:val="18"/>
          <w:color w:val="auto"/>
        </w:rPr>
      </w:pPr>
    </w:p>
    <w:p>
      <w:pPr>
        <w:ind w:left="1160" w:hanging="257"/>
        <w:spacing w:after="0"/>
        <w:tabs>
          <w:tab w:leader="none" w:pos="1160" w:val="left"/>
        </w:tabs>
        <w:numPr>
          <w:ilvl w:val="1"/>
          <w:numId w:val="15"/>
        </w:numPr>
        <w:rPr>
          <w:rFonts w:ascii="Arial" w:cs="Arial" w:eastAsia="Arial" w:hAnsi="Arial"/>
          <w:sz w:val="18"/>
          <w:szCs w:val="18"/>
          <w:color w:val="auto"/>
        </w:rPr>
      </w:pPr>
      <w:r>
        <w:rPr>
          <w:rFonts w:ascii="Arial" w:cs="Arial" w:eastAsia="Arial" w:hAnsi="Arial"/>
          <w:sz w:val="18"/>
          <w:szCs w:val="18"/>
          <w:color w:val="auto"/>
        </w:rPr>
        <w:t>to determine whether and under what circumstances to offer to buy out an Option for cash or Shares under Section 12;</w:t>
      </w:r>
    </w:p>
    <w:p>
      <w:pPr>
        <w:spacing w:after="0" w:line="90" w:lineRule="exact"/>
        <w:rPr>
          <w:rFonts w:ascii="Arial" w:cs="Arial" w:eastAsia="Arial" w:hAnsi="Arial"/>
          <w:sz w:val="18"/>
          <w:szCs w:val="18"/>
          <w:color w:val="auto"/>
        </w:rPr>
      </w:pPr>
    </w:p>
    <w:p>
      <w:pPr>
        <w:ind w:left="460" w:firstLine="443"/>
        <w:spacing w:after="0" w:line="268" w:lineRule="auto"/>
        <w:tabs>
          <w:tab w:leader="none" w:pos="1196" w:val="left"/>
        </w:tabs>
        <w:numPr>
          <w:ilvl w:val="1"/>
          <w:numId w:val="15"/>
        </w:numPr>
        <w:rPr>
          <w:rFonts w:ascii="Arial" w:cs="Arial" w:eastAsia="Arial" w:hAnsi="Arial"/>
          <w:sz w:val="18"/>
          <w:szCs w:val="18"/>
          <w:color w:val="auto"/>
        </w:rPr>
      </w:pPr>
      <w:r>
        <w:rPr>
          <w:rFonts w:ascii="Arial" w:cs="Arial" w:eastAsia="Arial" w:hAnsi="Arial"/>
          <w:sz w:val="18"/>
          <w:szCs w:val="18"/>
          <w:color w:val="auto"/>
        </w:rPr>
        <w:t>to modify grants of Awards to participants who are foreign nationals or employed outside of the United States in order to recognize differences in local law, tax policies, or customs; and</w:t>
      </w:r>
    </w:p>
    <w:p>
      <w:pPr>
        <w:spacing w:after="0" w:line="50" w:lineRule="exact"/>
        <w:rPr>
          <w:rFonts w:ascii="Arial" w:cs="Arial" w:eastAsia="Arial" w:hAnsi="Arial"/>
          <w:sz w:val="18"/>
          <w:szCs w:val="18"/>
          <w:color w:val="auto"/>
        </w:rPr>
      </w:pPr>
    </w:p>
    <w:p>
      <w:pPr>
        <w:ind w:left="1240" w:hanging="337"/>
        <w:spacing w:after="0"/>
        <w:tabs>
          <w:tab w:leader="none" w:pos="1240" w:val="left"/>
        </w:tabs>
        <w:numPr>
          <w:ilvl w:val="1"/>
          <w:numId w:val="15"/>
        </w:numPr>
        <w:rPr>
          <w:rFonts w:ascii="Arial" w:cs="Arial" w:eastAsia="Arial" w:hAnsi="Arial"/>
          <w:sz w:val="18"/>
          <w:szCs w:val="18"/>
          <w:color w:val="auto"/>
        </w:rPr>
      </w:pPr>
      <w:r>
        <w:rPr>
          <w:rFonts w:ascii="Arial" w:cs="Arial" w:eastAsia="Arial" w:hAnsi="Arial"/>
          <w:sz w:val="18"/>
          <w:szCs w:val="18"/>
          <w:color w:val="auto"/>
        </w:rPr>
        <w:t>to construe and interpret the terms of this Plan and of each Award granted pursuant to this Plan.</w:t>
      </w:r>
    </w:p>
    <w:p>
      <w:pPr>
        <w:spacing w:after="0" w:line="90" w:lineRule="exact"/>
        <w:rPr>
          <w:rFonts w:ascii="Arial" w:cs="Arial" w:eastAsia="Arial" w:hAnsi="Arial"/>
          <w:sz w:val="18"/>
          <w:szCs w:val="18"/>
          <w:color w:val="auto"/>
        </w:rPr>
      </w:pPr>
    </w:p>
    <w:p>
      <w:pPr>
        <w:ind w:firstLine="464"/>
        <w:spacing w:after="0" w:line="332" w:lineRule="auto"/>
        <w:tabs>
          <w:tab w:leader="none" w:pos="705" w:val="left"/>
        </w:tabs>
        <w:numPr>
          <w:ilvl w:val="0"/>
          <w:numId w:val="15"/>
        </w:numPr>
        <w:rPr>
          <w:rFonts w:ascii="Arial" w:cs="Arial" w:eastAsia="Arial" w:hAnsi="Arial"/>
          <w:sz w:val="16"/>
          <w:szCs w:val="16"/>
          <w:color w:val="auto"/>
        </w:rPr>
      </w:pPr>
      <w:r>
        <w:rPr>
          <w:rFonts w:ascii="Arial" w:cs="Arial" w:eastAsia="Arial" w:hAnsi="Arial"/>
          <w:sz w:val="16"/>
          <w:szCs w:val="16"/>
          <w:u w:val="single" w:color="auto"/>
          <w:color w:val="auto"/>
        </w:rPr>
        <w:t>Administrator’s Decisions Binding</w:t>
      </w:r>
      <w:r>
        <w:rPr>
          <w:rFonts w:ascii="Arial" w:cs="Arial" w:eastAsia="Arial" w:hAnsi="Arial"/>
          <w:sz w:val="16"/>
          <w:szCs w:val="16"/>
          <w:color w:val="auto"/>
        </w:rPr>
        <w:t>. All decisions, determinations, and interpretations of the Administrator shall be final and binding on all Grantees and any other holders of any Awards, and no member of the Administrator shall be liable for any such determination, decision, or interpretation made in good faith.</w:t>
      </w:r>
    </w:p>
    <w:p>
      <w:pPr>
        <w:spacing w:after="0" w:line="85" w:lineRule="exact"/>
        <w:rPr>
          <w:sz w:val="20"/>
          <w:szCs w:val="20"/>
          <w:color w:val="auto"/>
        </w:rPr>
      </w:pPr>
    </w:p>
    <w:p>
      <w:pPr>
        <w:ind w:left="640" w:hanging="176"/>
        <w:spacing w:after="0"/>
        <w:tabs>
          <w:tab w:leader="none" w:pos="640" w:val="left"/>
        </w:tabs>
        <w:numPr>
          <w:ilvl w:val="0"/>
          <w:numId w:val="16"/>
        </w:numPr>
        <w:rPr>
          <w:rFonts w:ascii="Arial" w:cs="Arial" w:eastAsia="Arial" w:hAnsi="Arial"/>
          <w:sz w:val="18"/>
          <w:szCs w:val="18"/>
          <w:color w:val="auto"/>
        </w:rPr>
      </w:pPr>
      <w:r>
        <w:rPr>
          <w:rFonts w:ascii="Arial" w:cs="Arial" w:eastAsia="Arial" w:hAnsi="Arial"/>
          <w:sz w:val="18"/>
          <w:szCs w:val="18"/>
          <w:u w:val="single" w:color="auto"/>
          <w:color w:val="auto"/>
        </w:rPr>
        <w:t>Eligibility</w:t>
      </w:r>
      <w:r>
        <w:rPr>
          <w:rFonts w:ascii="Arial" w:cs="Arial" w:eastAsia="Arial" w:hAnsi="Arial"/>
          <w:sz w:val="18"/>
          <w:szCs w:val="18"/>
          <w:color w:val="auto"/>
        </w:rPr>
        <w:t>.</w:t>
      </w:r>
    </w:p>
    <w:p>
      <w:pPr>
        <w:spacing w:after="0" w:line="90" w:lineRule="exact"/>
        <w:rPr>
          <w:sz w:val="20"/>
          <w:szCs w:val="20"/>
          <w:color w:val="auto"/>
        </w:rPr>
      </w:pPr>
    </w:p>
    <w:p>
      <w:pPr>
        <w:jc w:val="both"/>
        <w:ind w:right="40" w:firstLine="464"/>
        <w:spacing w:after="0" w:line="259" w:lineRule="auto"/>
        <w:tabs>
          <w:tab w:leader="none" w:pos="695" w:val="left"/>
        </w:tabs>
        <w:numPr>
          <w:ilvl w:val="0"/>
          <w:numId w:val="17"/>
        </w:numPr>
        <w:rPr>
          <w:rFonts w:ascii="Arial" w:cs="Arial" w:eastAsia="Arial" w:hAnsi="Arial"/>
          <w:sz w:val="18"/>
          <w:szCs w:val="18"/>
          <w:color w:val="auto"/>
        </w:rPr>
      </w:pPr>
      <w:r>
        <w:rPr>
          <w:rFonts w:ascii="Arial" w:cs="Arial" w:eastAsia="Arial" w:hAnsi="Arial"/>
          <w:sz w:val="18"/>
          <w:szCs w:val="18"/>
          <w:u w:val="single" w:color="auto"/>
          <w:color w:val="auto"/>
        </w:rPr>
        <w:t>General</w:t>
      </w:r>
      <w:r>
        <w:rPr>
          <w:rFonts w:ascii="Arial" w:cs="Arial" w:eastAsia="Arial" w:hAnsi="Arial"/>
          <w:sz w:val="18"/>
          <w:szCs w:val="18"/>
          <w:color w:val="auto"/>
        </w:rPr>
        <w:t>. Nonstatutory Stock Options may be granted to Employees, Consultants and Outside Directors. Incentive Stock Options may be granted only to Employees. Other Awards may be granted to Employees and Consultants. An Employee or Consultant who has been granted an Award may, if otherwise eligible, be granted additional Awards.</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80" w:right="239" w:bottom="1440" w:gutter="0" w:footer="0" w:header="0"/>
        </w:sectPr>
      </w:pPr>
    </w:p>
    <w:bookmarkStart w:id="53" w:name="page54"/>
    <w:bookmarkEnd w:id="53"/>
    <w:p>
      <w:pPr>
        <w:ind w:left="700" w:hanging="256"/>
        <w:spacing w:after="0"/>
        <w:tabs>
          <w:tab w:leader="none" w:pos="700" w:val="left"/>
        </w:tabs>
        <w:numPr>
          <w:ilvl w:val="0"/>
          <w:numId w:val="18"/>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Limitations</w:t>
      </w:r>
      <w:r>
        <w:rPr>
          <w:rFonts w:ascii="Arial" w:cs="Arial" w:eastAsia="Arial" w:hAnsi="Arial"/>
          <w:sz w:val="18"/>
          <w:szCs w:val="18"/>
          <w:color w:val="auto"/>
        </w:rPr>
        <w:t>.</w:t>
      </w:r>
    </w:p>
    <w:p>
      <w:pPr>
        <w:spacing w:after="0" w:line="90" w:lineRule="exact"/>
        <w:rPr>
          <w:rFonts w:ascii="Arial" w:cs="Arial" w:eastAsia="Arial" w:hAnsi="Arial"/>
          <w:sz w:val="18"/>
          <w:szCs w:val="18"/>
          <w:color w:val="auto"/>
        </w:rPr>
      </w:pPr>
    </w:p>
    <w:p>
      <w:pPr>
        <w:ind w:left="440" w:right="120" w:firstLine="443"/>
        <w:spacing w:after="0" w:line="268" w:lineRule="auto"/>
        <w:tabs>
          <w:tab w:leader="none" w:pos="1088" w:val="left"/>
        </w:tabs>
        <w:numPr>
          <w:ilvl w:val="1"/>
          <w:numId w:val="18"/>
        </w:numPr>
        <w:rPr>
          <w:rFonts w:ascii="Arial" w:cs="Arial" w:eastAsia="Arial" w:hAnsi="Arial"/>
          <w:sz w:val="18"/>
          <w:szCs w:val="18"/>
          <w:color w:val="auto"/>
        </w:rPr>
      </w:pPr>
      <w:r>
        <w:rPr>
          <w:rFonts w:ascii="Arial" w:cs="Arial" w:eastAsia="Arial" w:hAnsi="Arial"/>
          <w:sz w:val="18"/>
          <w:szCs w:val="18"/>
          <w:color w:val="auto"/>
        </w:rPr>
        <w:t>While the Company or a successor has outstanding any class of equity securities required to be registered under Section 12 of the Exchange Act, the following limitations shall apply to grants of Awards to Employees:</w:t>
      </w:r>
    </w:p>
    <w:p>
      <w:pPr>
        <w:spacing w:after="0" w:line="50" w:lineRule="exact"/>
        <w:rPr>
          <w:rFonts w:ascii="Arial" w:cs="Arial" w:eastAsia="Arial" w:hAnsi="Arial"/>
          <w:sz w:val="18"/>
          <w:szCs w:val="18"/>
          <w:color w:val="auto"/>
        </w:rPr>
      </w:pPr>
    </w:p>
    <w:p>
      <w:pPr>
        <w:jc w:val="both"/>
        <w:ind w:left="440" w:right="80" w:firstLine="443"/>
        <w:spacing w:after="0" w:line="256" w:lineRule="auto"/>
        <w:tabs>
          <w:tab w:leader="none" w:pos="1137" w:val="left"/>
        </w:tabs>
        <w:numPr>
          <w:ilvl w:val="1"/>
          <w:numId w:val="18"/>
        </w:numPr>
        <w:rPr>
          <w:rFonts w:ascii="Arial" w:cs="Arial" w:eastAsia="Arial" w:hAnsi="Arial"/>
          <w:sz w:val="18"/>
          <w:szCs w:val="18"/>
          <w:color w:val="auto"/>
        </w:rPr>
      </w:pPr>
      <w:r>
        <w:rPr>
          <w:rFonts w:ascii="Arial" w:cs="Arial" w:eastAsia="Arial" w:hAnsi="Arial"/>
          <w:sz w:val="18"/>
          <w:szCs w:val="18"/>
          <w:color w:val="auto"/>
        </w:rPr>
        <w:t>No Employee shall be granted, in any fiscal year of the Company, Awards with respect to more than 4,000,000 Shares, in the aggregate, adjusted proportionately in connection with any change in the Company’s capitalization as described in Section 14. If an Award is granted but canceled in the same fiscal year, it shall nonetheless count against the foregoing limit. Reduction of an Option’s exercise price is treated as a cancellation of the Option and the grant of a new Option.</w:t>
      </w:r>
    </w:p>
    <w:p>
      <w:pPr>
        <w:spacing w:after="0" w:line="143" w:lineRule="exact"/>
        <w:rPr>
          <w:sz w:val="20"/>
          <w:szCs w:val="20"/>
          <w:color w:val="auto"/>
        </w:rPr>
      </w:pPr>
    </w:p>
    <w:p>
      <w:pPr>
        <w:ind w:left="-20" w:firstLine="464"/>
        <w:spacing w:after="0" w:line="259" w:lineRule="auto"/>
        <w:tabs>
          <w:tab w:leader="none" w:pos="612" w:val="left"/>
        </w:tabs>
        <w:numPr>
          <w:ilvl w:val="0"/>
          <w:numId w:val="19"/>
        </w:numPr>
        <w:rPr>
          <w:rFonts w:ascii="Arial" w:cs="Arial" w:eastAsia="Arial" w:hAnsi="Arial"/>
          <w:sz w:val="18"/>
          <w:szCs w:val="18"/>
          <w:color w:val="auto"/>
        </w:rPr>
      </w:pPr>
      <w:r>
        <w:rPr>
          <w:rFonts w:ascii="Arial" w:cs="Arial" w:eastAsia="Arial" w:hAnsi="Arial"/>
          <w:sz w:val="18"/>
          <w:szCs w:val="18"/>
          <w:u w:val="single" w:color="auto"/>
          <w:color w:val="auto"/>
        </w:rPr>
        <w:t>Term of Options</w:t>
      </w:r>
      <w:r>
        <w:rPr>
          <w:rFonts w:ascii="Arial" w:cs="Arial" w:eastAsia="Arial" w:hAnsi="Arial"/>
          <w:sz w:val="18"/>
          <w:szCs w:val="18"/>
          <w:color w:val="auto"/>
        </w:rPr>
        <w:t>. The term of each Option shall be determined by the Administrator at the time of grant but shall not exceed ten years. In the case of an ISO granted to an Optionee who, at the time of grant, owns stock representing more than ten percent of the voting power of all classes of stock of the Company or any Parent or Subsidiary, the Option term shall not exceed five years.</w:t>
      </w:r>
    </w:p>
    <w:p>
      <w:pPr>
        <w:spacing w:after="0" w:line="140" w:lineRule="exact"/>
        <w:rPr>
          <w:rFonts w:ascii="Arial" w:cs="Arial" w:eastAsia="Arial" w:hAnsi="Arial"/>
          <w:sz w:val="18"/>
          <w:szCs w:val="18"/>
          <w:color w:val="auto"/>
        </w:rPr>
      </w:pPr>
    </w:p>
    <w:p>
      <w:pPr>
        <w:ind w:left="-20" w:right="320" w:firstLine="464"/>
        <w:spacing w:after="0" w:line="332" w:lineRule="auto"/>
        <w:tabs>
          <w:tab w:leader="none" w:pos="612" w:val="left"/>
        </w:tabs>
        <w:numPr>
          <w:ilvl w:val="0"/>
          <w:numId w:val="19"/>
        </w:numPr>
        <w:rPr>
          <w:rFonts w:ascii="Arial" w:cs="Arial" w:eastAsia="Arial" w:hAnsi="Arial"/>
          <w:sz w:val="16"/>
          <w:szCs w:val="16"/>
          <w:color w:val="auto"/>
        </w:rPr>
      </w:pPr>
      <w:r>
        <w:rPr>
          <w:rFonts w:ascii="Arial" w:cs="Arial" w:eastAsia="Arial" w:hAnsi="Arial"/>
          <w:sz w:val="16"/>
          <w:szCs w:val="16"/>
          <w:u w:val="single" w:color="auto"/>
          <w:color w:val="auto"/>
        </w:rPr>
        <w:t>Date of Option Grant</w:t>
      </w:r>
      <w:r>
        <w:rPr>
          <w:rFonts w:ascii="Arial" w:cs="Arial" w:eastAsia="Arial" w:hAnsi="Arial"/>
          <w:sz w:val="16"/>
          <w:szCs w:val="16"/>
          <w:color w:val="auto"/>
        </w:rPr>
        <w:t>. Unless otherwise determined by the Administrator, the date of grant of an Option shall be the date on which the Administrator completes the actions necessary to grant the Option. Notice of the grant shall be given to the Optionee within a reasonable time after the date of the grant.</w:t>
      </w:r>
    </w:p>
    <w:p>
      <w:pPr>
        <w:spacing w:after="0" w:line="85" w:lineRule="exact"/>
        <w:rPr>
          <w:rFonts w:ascii="Arial" w:cs="Arial" w:eastAsia="Arial" w:hAnsi="Arial"/>
          <w:sz w:val="16"/>
          <w:szCs w:val="16"/>
          <w:color w:val="auto"/>
        </w:rPr>
      </w:pPr>
    </w:p>
    <w:p>
      <w:pPr>
        <w:ind w:left="620" w:hanging="176"/>
        <w:spacing w:after="0"/>
        <w:tabs>
          <w:tab w:leader="none" w:pos="620" w:val="left"/>
        </w:tabs>
        <w:numPr>
          <w:ilvl w:val="0"/>
          <w:numId w:val="19"/>
        </w:numPr>
        <w:rPr>
          <w:rFonts w:ascii="Arial" w:cs="Arial" w:eastAsia="Arial" w:hAnsi="Arial"/>
          <w:sz w:val="18"/>
          <w:szCs w:val="18"/>
          <w:color w:val="auto"/>
        </w:rPr>
      </w:pPr>
      <w:r>
        <w:rPr>
          <w:rFonts w:ascii="Arial" w:cs="Arial" w:eastAsia="Arial" w:hAnsi="Arial"/>
          <w:sz w:val="18"/>
          <w:szCs w:val="18"/>
          <w:u w:val="single" w:color="auto"/>
          <w:color w:val="auto"/>
        </w:rPr>
        <w:t>Option Exercise Price and Form of Consideration</w:t>
      </w:r>
      <w:r>
        <w:rPr>
          <w:rFonts w:ascii="Arial" w:cs="Arial" w:eastAsia="Arial" w:hAnsi="Arial"/>
          <w:sz w:val="18"/>
          <w:szCs w:val="18"/>
          <w:color w:val="auto"/>
        </w:rPr>
        <w:t>.</w:t>
      </w:r>
    </w:p>
    <w:p>
      <w:pPr>
        <w:spacing w:after="0" w:line="90" w:lineRule="exact"/>
        <w:rPr>
          <w:sz w:val="20"/>
          <w:szCs w:val="20"/>
          <w:color w:val="auto"/>
        </w:rPr>
      </w:pPr>
    </w:p>
    <w:p>
      <w:pPr>
        <w:ind w:left="680" w:hanging="236"/>
        <w:spacing w:after="0"/>
        <w:tabs>
          <w:tab w:leader="none" w:pos="680" w:val="left"/>
        </w:tabs>
        <w:numPr>
          <w:ilvl w:val="0"/>
          <w:numId w:val="20"/>
        </w:numPr>
        <w:rPr>
          <w:rFonts w:ascii="Arial" w:cs="Arial" w:eastAsia="Arial" w:hAnsi="Arial"/>
          <w:sz w:val="18"/>
          <w:szCs w:val="18"/>
          <w:color w:val="auto"/>
        </w:rPr>
      </w:pPr>
      <w:r>
        <w:rPr>
          <w:rFonts w:ascii="Arial" w:cs="Arial" w:eastAsia="Arial" w:hAnsi="Arial"/>
          <w:sz w:val="18"/>
          <w:szCs w:val="18"/>
          <w:u w:val="single" w:color="auto"/>
          <w:color w:val="auto"/>
        </w:rPr>
        <w:t>Price</w:t>
      </w:r>
      <w:r>
        <w:rPr>
          <w:rFonts w:ascii="Arial" w:cs="Arial" w:eastAsia="Arial" w:hAnsi="Arial"/>
          <w:sz w:val="18"/>
          <w:szCs w:val="18"/>
          <w:color w:val="auto"/>
        </w:rPr>
        <w:t>. The per-Share exercise price of an Option shall be determined by the Administrator at the time of grant, but:</w:t>
      </w:r>
    </w:p>
    <w:p>
      <w:pPr>
        <w:spacing w:after="0" w:line="90" w:lineRule="exact"/>
        <w:rPr>
          <w:rFonts w:ascii="Arial" w:cs="Arial" w:eastAsia="Arial" w:hAnsi="Arial"/>
          <w:sz w:val="18"/>
          <w:szCs w:val="18"/>
          <w:color w:val="auto"/>
        </w:rPr>
      </w:pPr>
    </w:p>
    <w:p>
      <w:pPr>
        <w:ind w:left="1100" w:hanging="217"/>
        <w:spacing w:after="0"/>
        <w:tabs>
          <w:tab w:leader="none" w:pos="1100" w:val="left"/>
        </w:tabs>
        <w:numPr>
          <w:ilvl w:val="1"/>
          <w:numId w:val="20"/>
        </w:numPr>
        <w:rPr>
          <w:rFonts w:ascii="Arial" w:cs="Arial" w:eastAsia="Arial" w:hAnsi="Arial"/>
          <w:sz w:val="18"/>
          <w:szCs w:val="18"/>
          <w:color w:val="auto"/>
        </w:rPr>
      </w:pPr>
      <w:r>
        <w:rPr>
          <w:rFonts w:ascii="Arial" w:cs="Arial" w:eastAsia="Arial" w:hAnsi="Arial"/>
          <w:sz w:val="18"/>
          <w:szCs w:val="18"/>
          <w:color w:val="auto"/>
        </w:rPr>
        <w:t>In the case of an ISO:</w:t>
      </w:r>
    </w:p>
    <w:p>
      <w:pPr>
        <w:spacing w:after="0" w:line="90" w:lineRule="exact"/>
        <w:rPr>
          <w:rFonts w:ascii="Arial" w:cs="Arial" w:eastAsia="Arial" w:hAnsi="Arial"/>
          <w:sz w:val="18"/>
          <w:szCs w:val="18"/>
          <w:color w:val="auto"/>
        </w:rPr>
      </w:pPr>
    </w:p>
    <w:p>
      <w:pPr>
        <w:ind w:left="440" w:firstLine="881"/>
        <w:spacing w:after="0" w:line="332" w:lineRule="auto"/>
        <w:tabs>
          <w:tab w:leader="none" w:pos="1604" w:val="left"/>
        </w:tabs>
        <w:numPr>
          <w:ilvl w:val="2"/>
          <w:numId w:val="20"/>
        </w:numPr>
        <w:rPr>
          <w:rFonts w:ascii="Arial" w:cs="Arial" w:eastAsia="Arial" w:hAnsi="Arial"/>
          <w:sz w:val="16"/>
          <w:szCs w:val="16"/>
          <w:color w:val="auto"/>
        </w:rPr>
      </w:pPr>
      <w:r>
        <w:rPr>
          <w:rFonts w:ascii="Arial" w:cs="Arial" w:eastAsia="Arial" w:hAnsi="Arial"/>
          <w:sz w:val="16"/>
          <w:szCs w:val="16"/>
          <w:color w:val="auto"/>
        </w:rPr>
        <w:t>granted to an Employee who, at the time of grant, owns stock representing more than ten percent of the voting power of all classes of stock of the Company or any Parent or Subsidiary, the per-Share exercise price shall be at least 110% of the Fair Market Value on the date of grant; or</w:t>
      </w:r>
    </w:p>
    <w:p>
      <w:pPr>
        <w:spacing w:after="0" w:line="4" w:lineRule="exact"/>
        <w:rPr>
          <w:rFonts w:ascii="Arial" w:cs="Arial" w:eastAsia="Arial" w:hAnsi="Arial"/>
          <w:sz w:val="16"/>
          <w:szCs w:val="16"/>
          <w:color w:val="auto"/>
        </w:rPr>
      </w:pPr>
    </w:p>
    <w:p>
      <w:pPr>
        <w:ind w:left="1600" w:hanging="279"/>
        <w:spacing w:after="0"/>
        <w:tabs>
          <w:tab w:leader="none" w:pos="1600" w:val="left"/>
        </w:tabs>
        <w:numPr>
          <w:ilvl w:val="2"/>
          <w:numId w:val="20"/>
        </w:numPr>
        <w:rPr>
          <w:rFonts w:ascii="Arial" w:cs="Arial" w:eastAsia="Arial" w:hAnsi="Arial"/>
          <w:sz w:val="18"/>
          <w:szCs w:val="18"/>
          <w:color w:val="auto"/>
        </w:rPr>
      </w:pPr>
      <w:r>
        <w:rPr>
          <w:rFonts w:ascii="Arial" w:cs="Arial" w:eastAsia="Arial" w:hAnsi="Arial"/>
          <w:sz w:val="18"/>
          <w:szCs w:val="18"/>
          <w:color w:val="auto"/>
        </w:rPr>
        <w:t>granted to any other Employee, the per-Share exercise price shall be at least the Fair Market Value on the date of grant.</w:t>
      </w:r>
    </w:p>
    <w:p>
      <w:pPr>
        <w:spacing w:after="0" w:line="90" w:lineRule="exact"/>
        <w:rPr>
          <w:rFonts w:ascii="Arial" w:cs="Arial" w:eastAsia="Arial" w:hAnsi="Arial"/>
          <w:sz w:val="18"/>
          <w:szCs w:val="18"/>
          <w:color w:val="auto"/>
        </w:rPr>
      </w:pPr>
    </w:p>
    <w:p>
      <w:pPr>
        <w:ind w:left="1140" w:hanging="257"/>
        <w:spacing w:after="0"/>
        <w:tabs>
          <w:tab w:leader="none" w:pos="1140" w:val="left"/>
        </w:tabs>
        <w:numPr>
          <w:ilvl w:val="1"/>
          <w:numId w:val="20"/>
        </w:numPr>
        <w:rPr>
          <w:rFonts w:ascii="Arial" w:cs="Arial" w:eastAsia="Arial" w:hAnsi="Arial"/>
          <w:sz w:val="18"/>
          <w:szCs w:val="18"/>
          <w:color w:val="auto"/>
        </w:rPr>
      </w:pPr>
      <w:r>
        <w:rPr>
          <w:rFonts w:ascii="Arial" w:cs="Arial" w:eastAsia="Arial" w:hAnsi="Arial"/>
          <w:sz w:val="18"/>
          <w:szCs w:val="18"/>
          <w:color w:val="auto"/>
        </w:rPr>
        <w:t>In the case of a NSO, the per-Share exercise price shall be at least the Fair Market Value on the date of grant.</w:t>
      </w:r>
    </w:p>
    <w:p>
      <w:pPr>
        <w:spacing w:after="0" w:line="90" w:lineRule="exact"/>
        <w:rPr>
          <w:rFonts w:ascii="Arial" w:cs="Arial" w:eastAsia="Arial" w:hAnsi="Arial"/>
          <w:sz w:val="18"/>
          <w:szCs w:val="18"/>
          <w:color w:val="auto"/>
        </w:rPr>
      </w:pPr>
    </w:p>
    <w:p>
      <w:pPr>
        <w:jc w:val="both"/>
        <w:ind w:left="-20" w:right="200" w:firstLine="464"/>
        <w:spacing w:after="0" w:line="335" w:lineRule="auto"/>
        <w:tabs>
          <w:tab w:leader="none" w:pos="685" w:val="left"/>
        </w:tabs>
        <w:numPr>
          <w:ilvl w:val="0"/>
          <w:numId w:val="20"/>
        </w:numPr>
        <w:rPr>
          <w:rFonts w:ascii="Arial" w:cs="Arial" w:eastAsia="Arial" w:hAnsi="Arial"/>
          <w:sz w:val="15"/>
          <w:szCs w:val="15"/>
          <w:color w:val="auto"/>
        </w:rPr>
      </w:pPr>
      <w:r>
        <w:rPr>
          <w:rFonts w:ascii="Arial" w:cs="Arial" w:eastAsia="Arial" w:hAnsi="Arial"/>
          <w:sz w:val="15"/>
          <w:szCs w:val="15"/>
          <w:u w:val="single" w:color="auto"/>
          <w:color w:val="auto"/>
        </w:rPr>
        <w:t>Form of Payment</w:t>
      </w:r>
      <w:r>
        <w:rPr>
          <w:rFonts w:ascii="Arial" w:cs="Arial" w:eastAsia="Arial" w:hAnsi="Arial"/>
          <w:sz w:val="15"/>
          <w:szCs w:val="15"/>
          <w:color w:val="auto"/>
        </w:rPr>
        <w:t xml:space="preserve">. Payment for Shares upon exercise of an Option shall be made in any lawful consideration approved by the Administrator and may, without limitation, consist of (1) cash, (2) check, (3) other Shares that have a Fair Market Value on the date of payment equal to the aggregate exercise price of the Shares as to which Option is exercised; </w:t>
      </w:r>
      <w:r>
        <w:rPr>
          <w:rFonts w:ascii="Arial" w:cs="Arial" w:eastAsia="Arial" w:hAnsi="Arial"/>
          <w:sz w:val="15"/>
          <w:szCs w:val="15"/>
          <w:u w:val="single" w:color="auto"/>
          <w:color w:val="auto"/>
        </w:rPr>
        <w:t>provided</w:t>
      </w:r>
      <w:r>
        <w:rPr>
          <w:rFonts w:ascii="Arial" w:cs="Arial" w:eastAsia="Arial" w:hAnsi="Arial"/>
          <w:sz w:val="15"/>
          <w:szCs w:val="15"/>
          <w:color w:val="auto"/>
        </w:rPr>
        <w:t xml:space="preserve">, </w:t>
      </w:r>
      <w:r>
        <w:rPr>
          <w:rFonts w:ascii="Arial" w:cs="Arial" w:eastAsia="Arial" w:hAnsi="Arial"/>
          <w:sz w:val="15"/>
          <w:szCs w:val="15"/>
          <w:u w:val="single" w:color="auto"/>
          <w:color w:val="auto"/>
        </w:rPr>
        <w:t>however</w:t>
      </w:r>
      <w:r>
        <w:rPr>
          <w:rFonts w:ascii="Arial" w:cs="Arial" w:eastAsia="Arial" w:hAnsi="Arial"/>
          <w:sz w:val="15"/>
          <w:szCs w:val="15"/>
          <w:color w:val="auto"/>
        </w:rPr>
        <w:t>, that the Optionee shall not surrender, or attest to the ownership of, Shares in payment of the</w:t>
      </w:r>
    </w:p>
    <w:p>
      <w:pPr>
        <w:spacing w:after="0" w:line="7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80"/>
          </w:cols>
          <w:pgMar w:left="260" w:top="280" w:right="259" w:bottom="1440" w:gutter="0" w:footer="0" w:header="0"/>
        </w:sectPr>
      </w:pPr>
    </w:p>
    <w:bookmarkStart w:id="54" w:name="page55"/>
    <w:bookmarkEnd w:id="54"/>
    <w:p>
      <w:pPr>
        <w:ind w:right="160"/>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Exercise Price if such action would cause the Company to recognize compensation expense (or additional compensation expense) with respect to the Option for financial reporting purposes, (4) delivery by a broker or brokerage firm approved by the Administrator of a properly executed exercise notice together with payment of the exercise price and such other documentation as the Administrator shall require, (5) net exercise or (6) any combination of the foregoing. Notwithstanding the foregoing, a form of payment shall not be available if the Administrator determines, in its sole and absolute discretion, that such form of payment could violate any law or regulation.</w:t>
      </w:r>
    </w:p>
    <w:p>
      <w:pPr>
        <w:spacing w:after="0" w:line="143" w:lineRule="exact"/>
        <w:rPr>
          <w:sz w:val="20"/>
          <w:szCs w:val="20"/>
          <w:color w:val="auto"/>
        </w:rPr>
      </w:pPr>
    </w:p>
    <w:p>
      <w:pPr>
        <w:ind w:left="640" w:hanging="176"/>
        <w:spacing w:after="0"/>
        <w:tabs>
          <w:tab w:leader="none" w:pos="640" w:val="left"/>
        </w:tabs>
        <w:numPr>
          <w:ilvl w:val="0"/>
          <w:numId w:val="21"/>
        </w:numPr>
        <w:rPr>
          <w:rFonts w:ascii="Arial" w:cs="Arial" w:eastAsia="Arial" w:hAnsi="Arial"/>
          <w:sz w:val="18"/>
          <w:szCs w:val="18"/>
          <w:color w:val="auto"/>
        </w:rPr>
      </w:pPr>
      <w:r>
        <w:rPr>
          <w:rFonts w:ascii="Arial" w:cs="Arial" w:eastAsia="Arial" w:hAnsi="Arial"/>
          <w:sz w:val="18"/>
          <w:szCs w:val="18"/>
          <w:u w:val="single" w:color="auto"/>
          <w:color w:val="auto"/>
        </w:rPr>
        <w:t>Option Exercise</w:t>
      </w:r>
      <w:r>
        <w:rPr>
          <w:rFonts w:ascii="Arial" w:cs="Arial" w:eastAsia="Arial" w:hAnsi="Arial"/>
          <w:sz w:val="18"/>
          <w:szCs w:val="18"/>
          <w:color w:val="auto"/>
        </w:rPr>
        <w:t>.</w:t>
      </w:r>
    </w:p>
    <w:p>
      <w:pPr>
        <w:spacing w:after="0" w:line="90" w:lineRule="exact"/>
        <w:rPr>
          <w:sz w:val="20"/>
          <w:szCs w:val="20"/>
          <w:color w:val="auto"/>
        </w:rPr>
      </w:pPr>
    </w:p>
    <w:p>
      <w:pPr>
        <w:ind w:left="700" w:hanging="236"/>
        <w:spacing w:after="0"/>
        <w:tabs>
          <w:tab w:leader="none" w:pos="700" w:val="left"/>
        </w:tabs>
        <w:numPr>
          <w:ilvl w:val="1"/>
          <w:numId w:val="22"/>
        </w:numPr>
        <w:rPr>
          <w:rFonts w:ascii="Arial" w:cs="Arial" w:eastAsia="Arial" w:hAnsi="Arial"/>
          <w:sz w:val="16"/>
          <w:szCs w:val="16"/>
          <w:color w:val="auto"/>
        </w:rPr>
      </w:pPr>
      <w:r>
        <w:rPr>
          <w:rFonts w:ascii="Arial" w:cs="Arial" w:eastAsia="Arial" w:hAnsi="Arial"/>
          <w:sz w:val="16"/>
          <w:szCs w:val="16"/>
          <w:u w:val="single" w:color="auto"/>
          <w:color w:val="auto"/>
        </w:rPr>
        <w:t>Exercisability</w:t>
      </w:r>
      <w:r>
        <w:rPr>
          <w:rFonts w:ascii="Arial" w:cs="Arial" w:eastAsia="Arial" w:hAnsi="Arial"/>
          <w:sz w:val="16"/>
          <w:szCs w:val="16"/>
          <w:color w:val="auto"/>
        </w:rPr>
        <w:t>. Each Option shall be exercisable at such times and under such conditions as determined by the Administrator at the time of grant.</w:t>
      </w:r>
    </w:p>
    <w:p>
      <w:pPr>
        <w:spacing w:after="0" w:line="113" w:lineRule="exact"/>
        <w:rPr>
          <w:rFonts w:ascii="Arial" w:cs="Arial" w:eastAsia="Arial" w:hAnsi="Arial"/>
          <w:sz w:val="16"/>
          <w:szCs w:val="16"/>
          <w:color w:val="auto"/>
        </w:rPr>
      </w:pPr>
    </w:p>
    <w:p>
      <w:pPr>
        <w:jc w:val="both"/>
        <w:ind w:right="200" w:firstLine="464"/>
        <w:spacing w:after="0" w:line="259" w:lineRule="auto"/>
        <w:tabs>
          <w:tab w:leader="none" w:pos="705" w:val="left"/>
        </w:tabs>
        <w:numPr>
          <w:ilvl w:val="1"/>
          <w:numId w:val="22"/>
        </w:numPr>
        <w:rPr>
          <w:rFonts w:ascii="Arial" w:cs="Arial" w:eastAsia="Arial" w:hAnsi="Arial"/>
          <w:sz w:val="18"/>
          <w:szCs w:val="18"/>
          <w:color w:val="auto"/>
        </w:rPr>
      </w:pPr>
      <w:r>
        <w:rPr>
          <w:rFonts w:ascii="Arial" w:cs="Arial" w:eastAsia="Arial" w:hAnsi="Arial"/>
          <w:sz w:val="18"/>
          <w:szCs w:val="18"/>
          <w:u w:val="single" w:color="auto"/>
          <w:color w:val="auto"/>
        </w:rPr>
        <w:t>Vesting</w:t>
      </w:r>
      <w:r>
        <w:rPr>
          <w:rFonts w:ascii="Arial" w:cs="Arial" w:eastAsia="Arial" w:hAnsi="Arial"/>
          <w:sz w:val="18"/>
          <w:szCs w:val="18"/>
          <w:color w:val="auto"/>
        </w:rPr>
        <w:t>. Each Option and the corresponding Optioned Stock shall vest at such times and under such conditions as determined by the Administrator at the time of grant, and as are otherwise permissible under the terms of this Plan, including without limitation, performance criteria with respect to the Company and/or the Optionee.</w:t>
      </w:r>
    </w:p>
    <w:p>
      <w:pPr>
        <w:spacing w:after="0" w:line="59" w:lineRule="exact"/>
        <w:rPr>
          <w:rFonts w:ascii="Arial" w:cs="Arial" w:eastAsia="Arial" w:hAnsi="Arial"/>
          <w:sz w:val="18"/>
          <w:szCs w:val="18"/>
          <w:color w:val="auto"/>
        </w:rPr>
      </w:pPr>
    </w:p>
    <w:p>
      <w:pPr>
        <w:ind w:left="700" w:hanging="236"/>
        <w:spacing w:after="0"/>
        <w:tabs>
          <w:tab w:leader="none" w:pos="700" w:val="left"/>
        </w:tabs>
        <w:numPr>
          <w:ilvl w:val="1"/>
          <w:numId w:val="22"/>
        </w:numPr>
        <w:rPr>
          <w:rFonts w:ascii="Arial" w:cs="Arial" w:eastAsia="Arial" w:hAnsi="Arial"/>
          <w:sz w:val="18"/>
          <w:szCs w:val="18"/>
          <w:color w:val="auto"/>
        </w:rPr>
      </w:pPr>
      <w:r>
        <w:rPr>
          <w:rFonts w:ascii="Arial" w:cs="Arial" w:eastAsia="Arial" w:hAnsi="Arial"/>
          <w:sz w:val="18"/>
          <w:szCs w:val="18"/>
          <w:u w:val="single" w:color="auto"/>
          <w:color w:val="auto"/>
        </w:rPr>
        <w:t>Fractional Shares</w:t>
      </w:r>
      <w:r>
        <w:rPr>
          <w:rFonts w:ascii="Arial" w:cs="Arial" w:eastAsia="Arial" w:hAnsi="Arial"/>
          <w:sz w:val="18"/>
          <w:szCs w:val="18"/>
          <w:color w:val="auto"/>
        </w:rPr>
        <w:t>. An Option may not be exercised for a fraction of a Share.</w:t>
      </w:r>
    </w:p>
    <w:p>
      <w:pPr>
        <w:spacing w:after="0" w:line="90" w:lineRule="exact"/>
        <w:rPr>
          <w:rFonts w:ascii="Arial" w:cs="Arial" w:eastAsia="Arial" w:hAnsi="Arial"/>
          <w:sz w:val="18"/>
          <w:szCs w:val="18"/>
          <w:color w:val="auto"/>
        </w:rPr>
      </w:pPr>
    </w:p>
    <w:p>
      <w:pPr>
        <w:ind w:right="80" w:firstLine="464"/>
        <w:spacing w:after="0" w:line="305" w:lineRule="auto"/>
        <w:tabs>
          <w:tab w:leader="none" w:pos="705" w:val="left"/>
        </w:tabs>
        <w:numPr>
          <w:ilvl w:val="1"/>
          <w:numId w:val="22"/>
        </w:numPr>
        <w:rPr>
          <w:rFonts w:ascii="Arial" w:cs="Arial" w:eastAsia="Arial" w:hAnsi="Arial"/>
          <w:sz w:val="15"/>
          <w:szCs w:val="15"/>
          <w:color w:val="auto"/>
        </w:rPr>
      </w:pPr>
      <w:r>
        <w:rPr>
          <w:rFonts w:ascii="Arial" w:cs="Arial" w:eastAsia="Arial" w:hAnsi="Arial"/>
          <w:sz w:val="15"/>
          <w:szCs w:val="15"/>
          <w:u w:val="single" w:color="auto"/>
          <w:color w:val="auto"/>
        </w:rPr>
        <w:t>Manner of Exercise; Rights as a Shareholder</w:t>
      </w:r>
      <w:r>
        <w:rPr>
          <w:rFonts w:ascii="Arial" w:cs="Arial" w:eastAsia="Arial" w:hAnsi="Arial"/>
          <w:sz w:val="15"/>
          <w:szCs w:val="15"/>
          <w:color w:val="auto"/>
        </w:rPr>
        <w:t>. Unless otherwise allowed by the Administrator, an Option shall be exercised by delivery to the Company of all of the following: (i) written notice of exercise by the Optionee, in a form approved by the Administrator and in accordance with the terms of the Option,</w:t>
      </w:r>
    </w:p>
    <w:p>
      <w:pPr>
        <w:ind w:right="480" w:firstLine="8"/>
        <w:spacing w:after="0" w:line="302" w:lineRule="auto"/>
        <w:tabs>
          <w:tab w:leader="none" w:pos="258" w:val="left"/>
        </w:tabs>
        <w:numPr>
          <w:ilvl w:val="0"/>
          <w:numId w:val="23"/>
        </w:numPr>
        <w:rPr>
          <w:rFonts w:ascii="Arial" w:cs="Arial" w:eastAsia="Arial" w:hAnsi="Arial"/>
          <w:sz w:val="16"/>
          <w:szCs w:val="16"/>
          <w:color w:val="auto"/>
        </w:rPr>
      </w:pPr>
      <w:r>
        <w:rPr>
          <w:rFonts w:ascii="Arial" w:cs="Arial" w:eastAsia="Arial" w:hAnsi="Arial"/>
          <w:sz w:val="16"/>
          <w:szCs w:val="16"/>
          <w:color w:val="auto"/>
        </w:rPr>
        <w:t>full payment for the Shares with respect to which the Option is exercised, and (iii) payment (or provision for payment) of withholding taxes pursuant to Subsection (g), below. Delivery of any of the foregoing may be by electronic means approved by the Administrator. The Optionee shall be treated as a shareholder of the Company with respect to the purchased Shares upon completion of exercise of the Option.</w:t>
      </w:r>
    </w:p>
    <w:p>
      <w:pPr>
        <w:spacing w:after="0" w:line="28" w:lineRule="exact"/>
        <w:rPr>
          <w:rFonts w:ascii="Arial" w:cs="Arial" w:eastAsia="Arial" w:hAnsi="Arial"/>
          <w:sz w:val="16"/>
          <w:szCs w:val="16"/>
          <w:color w:val="auto"/>
        </w:rPr>
      </w:pPr>
    </w:p>
    <w:p>
      <w:pPr>
        <w:ind w:right="260" w:firstLine="464"/>
        <w:spacing w:after="0" w:line="306" w:lineRule="auto"/>
        <w:tabs>
          <w:tab w:leader="none" w:pos="695" w:val="left"/>
        </w:tabs>
        <w:numPr>
          <w:ilvl w:val="1"/>
          <w:numId w:val="23"/>
        </w:numPr>
        <w:rPr>
          <w:rFonts w:ascii="Arial" w:cs="Arial" w:eastAsia="Arial" w:hAnsi="Arial"/>
          <w:sz w:val="16"/>
          <w:szCs w:val="16"/>
          <w:color w:val="auto"/>
        </w:rPr>
      </w:pPr>
      <w:r>
        <w:rPr>
          <w:rFonts w:ascii="Arial" w:cs="Arial" w:eastAsia="Arial" w:hAnsi="Arial"/>
          <w:sz w:val="16"/>
          <w:szCs w:val="16"/>
          <w:u w:val="single" w:color="auto"/>
          <w:color w:val="auto"/>
        </w:rPr>
        <w:t>Optionee Representations</w:t>
      </w:r>
      <w:r>
        <w:rPr>
          <w:rFonts w:ascii="Arial" w:cs="Arial" w:eastAsia="Arial" w:hAnsi="Arial"/>
          <w:sz w:val="16"/>
          <w:szCs w:val="16"/>
          <w:color w:val="auto"/>
        </w:rPr>
        <w:t>. If Shares purchasable pursuant to the exercise of an Option have not been registered under the Securities Act of 1933, as amended, at the time the Option is exercised, the Optionee shall, if required by the Administrator, as a condition to exercise of all or any portion of the Option, deliver to the Company an investment representation statement in a form approved by the Administrator.</w:t>
      </w:r>
    </w:p>
    <w:p>
      <w:pPr>
        <w:spacing w:after="0" w:line="25" w:lineRule="exact"/>
        <w:rPr>
          <w:rFonts w:ascii="Arial" w:cs="Arial" w:eastAsia="Arial" w:hAnsi="Arial"/>
          <w:sz w:val="16"/>
          <w:szCs w:val="16"/>
          <w:color w:val="auto"/>
        </w:rPr>
      </w:pPr>
    </w:p>
    <w:p>
      <w:pPr>
        <w:ind w:firstLine="464"/>
        <w:spacing w:after="0" w:line="255" w:lineRule="auto"/>
        <w:tabs>
          <w:tab w:leader="none" w:pos="676" w:val="left"/>
        </w:tabs>
        <w:numPr>
          <w:ilvl w:val="1"/>
          <w:numId w:val="23"/>
        </w:numPr>
        <w:rPr>
          <w:rFonts w:ascii="Arial" w:cs="Arial" w:eastAsia="Arial" w:hAnsi="Arial"/>
          <w:sz w:val="18"/>
          <w:szCs w:val="18"/>
          <w:color w:val="auto"/>
        </w:rPr>
      </w:pPr>
      <w:r>
        <w:rPr>
          <w:rFonts w:ascii="Arial" w:cs="Arial" w:eastAsia="Arial" w:hAnsi="Arial"/>
          <w:sz w:val="18"/>
          <w:szCs w:val="18"/>
          <w:u w:val="single" w:color="auto"/>
          <w:color w:val="auto"/>
        </w:rPr>
        <w:t>Termination of Employment or Consulting Relationship</w:t>
      </w:r>
      <w:r>
        <w:rPr>
          <w:rFonts w:ascii="Arial" w:cs="Arial" w:eastAsia="Arial" w:hAnsi="Arial"/>
          <w:sz w:val="18"/>
          <w:szCs w:val="18"/>
          <w:color w:val="auto"/>
        </w:rPr>
        <w:t>. If an Optionee’s Continuous Service terminates, the Optionee (or the Optionee’s estate or heirs, if termination is due to death or the Optionee dies during the post-termination exercise period of the Option) may exercise the Option, (i) only within such period of time as is determined by the Administrator (but no later than the expiration date for the Option determined by the Administrator at the time of grant) and the Option shall terminate at the end of that period, and (ii) unless otherwise determined by the Administrator, only to the extent that the Optionee was entitled to exercise it at the date of termination.</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280" w:right="259" w:bottom="1440" w:gutter="0" w:footer="0" w:header="0"/>
        </w:sectPr>
      </w:pPr>
    </w:p>
    <w:bookmarkStart w:id="55" w:name="page56"/>
    <w:bookmarkEnd w:id="55"/>
    <w:p>
      <w:pPr>
        <w:ind w:left="-20" w:right="80" w:firstLine="464"/>
        <w:spacing w:after="0" w:line="259" w:lineRule="auto"/>
        <w:tabs>
          <w:tab w:leader="none" w:pos="685" w:val="left"/>
        </w:tabs>
        <w:numPr>
          <w:ilvl w:val="0"/>
          <w:numId w:val="24"/>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Tax Withholding</w:t>
      </w:r>
      <w:r>
        <w:rPr>
          <w:rFonts w:ascii="Arial" w:cs="Arial" w:eastAsia="Arial" w:hAnsi="Arial"/>
          <w:sz w:val="18"/>
          <w:szCs w:val="18"/>
          <w:color w:val="auto"/>
        </w:rPr>
        <w:t>. The Company’s obligation to deliver Shares upon exercise of an Option is subject to payment (or provision for payment satisfactory to the Administrator) by the Optionee of all federal, state, and local income and employment taxes that the Administrator determines in its discretion to be due as a result of the exercise of the Option or sale of the Shares.</w:t>
      </w:r>
    </w:p>
    <w:p>
      <w:pPr>
        <w:spacing w:after="0" w:line="140" w:lineRule="exact"/>
        <w:rPr>
          <w:sz w:val="20"/>
          <w:szCs w:val="20"/>
          <w:color w:val="auto"/>
        </w:rPr>
      </w:pPr>
    </w:p>
    <w:p>
      <w:pPr>
        <w:ind w:left="-20" w:firstLine="464"/>
        <w:spacing w:after="0" w:line="259" w:lineRule="auto"/>
        <w:tabs>
          <w:tab w:leader="none" w:pos="700" w:val="left"/>
        </w:tabs>
        <w:numPr>
          <w:ilvl w:val="0"/>
          <w:numId w:val="25"/>
        </w:numPr>
        <w:rPr>
          <w:rFonts w:ascii="Arial" w:cs="Arial" w:eastAsia="Arial" w:hAnsi="Arial"/>
          <w:sz w:val="18"/>
          <w:szCs w:val="18"/>
          <w:color w:val="auto"/>
        </w:rPr>
      </w:pPr>
      <w:r>
        <w:rPr>
          <w:rFonts w:ascii="Arial" w:cs="Arial" w:eastAsia="Arial" w:hAnsi="Arial"/>
          <w:sz w:val="18"/>
          <w:szCs w:val="18"/>
          <w:u w:val="single" w:color="auto"/>
          <w:color w:val="auto"/>
        </w:rPr>
        <w:t>Rule 16b-3</w:t>
      </w:r>
      <w:r>
        <w:rPr>
          <w:rFonts w:ascii="Arial" w:cs="Arial" w:eastAsia="Arial" w:hAnsi="Arial"/>
          <w:sz w:val="18"/>
          <w:szCs w:val="18"/>
          <w:color w:val="auto"/>
        </w:rPr>
        <w:t>. Except to the extent determined by the Administrator, Awards granted to persons subject to Section 16(b) of the Exchange Act shall comply with Rule 16b-3 and shall contain such terms as may be required or desirable to qualify Plan transactions for the maximum exemption from Section 16 of the Exchange Act.</w:t>
      </w:r>
    </w:p>
    <w:p>
      <w:pPr>
        <w:spacing w:after="0" w:line="140" w:lineRule="exact"/>
        <w:rPr>
          <w:rFonts w:ascii="Arial" w:cs="Arial" w:eastAsia="Arial" w:hAnsi="Arial"/>
          <w:sz w:val="18"/>
          <w:szCs w:val="18"/>
          <w:color w:val="auto"/>
        </w:rPr>
      </w:pPr>
    </w:p>
    <w:p>
      <w:pPr>
        <w:ind w:left="-20" w:right="80" w:firstLine="464"/>
        <w:spacing w:after="0" w:line="332" w:lineRule="auto"/>
        <w:tabs>
          <w:tab w:leader="none" w:pos="693" w:val="left"/>
        </w:tabs>
        <w:numPr>
          <w:ilvl w:val="0"/>
          <w:numId w:val="25"/>
        </w:numPr>
        <w:rPr>
          <w:rFonts w:ascii="Arial" w:cs="Arial" w:eastAsia="Arial" w:hAnsi="Arial"/>
          <w:sz w:val="16"/>
          <w:szCs w:val="16"/>
          <w:color w:val="auto"/>
        </w:rPr>
      </w:pPr>
      <w:r>
        <w:rPr>
          <w:rFonts w:ascii="Arial" w:cs="Arial" w:eastAsia="Arial" w:hAnsi="Arial"/>
          <w:sz w:val="16"/>
          <w:szCs w:val="16"/>
          <w:u w:val="single" w:color="auto"/>
          <w:color w:val="auto"/>
        </w:rPr>
        <w:t>Non-Transferability of Options</w:t>
      </w:r>
      <w:r>
        <w:rPr>
          <w:rFonts w:ascii="Arial" w:cs="Arial" w:eastAsia="Arial" w:hAnsi="Arial"/>
          <w:sz w:val="16"/>
          <w:szCs w:val="16"/>
          <w:color w:val="auto"/>
        </w:rPr>
        <w:t>. Options may not be sold, pledged, assigned, hypothecated, transferred, or disposed of in any manner other than by will or by the laws of descent or distribution and may be exercised, during the lifetime of the Optionee, only by the Optionee.</w:t>
      </w:r>
    </w:p>
    <w:p>
      <w:pPr>
        <w:spacing w:after="0" w:line="85" w:lineRule="exact"/>
        <w:rPr>
          <w:rFonts w:ascii="Arial" w:cs="Arial" w:eastAsia="Arial" w:hAnsi="Arial"/>
          <w:sz w:val="16"/>
          <w:szCs w:val="16"/>
          <w:color w:val="auto"/>
        </w:rPr>
      </w:pPr>
    </w:p>
    <w:p>
      <w:pPr>
        <w:ind w:left="-20" w:right="100" w:firstLine="464"/>
        <w:spacing w:after="0" w:line="268" w:lineRule="auto"/>
        <w:tabs>
          <w:tab w:leader="none" w:pos="700" w:val="left"/>
        </w:tabs>
        <w:numPr>
          <w:ilvl w:val="0"/>
          <w:numId w:val="25"/>
        </w:numPr>
        <w:rPr>
          <w:rFonts w:ascii="Arial" w:cs="Arial" w:eastAsia="Arial" w:hAnsi="Arial"/>
          <w:sz w:val="18"/>
          <w:szCs w:val="18"/>
          <w:color w:val="auto"/>
        </w:rPr>
      </w:pPr>
      <w:r>
        <w:rPr>
          <w:rFonts w:ascii="Arial" w:cs="Arial" w:eastAsia="Arial" w:hAnsi="Arial"/>
          <w:sz w:val="18"/>
          <w:szCs w:val="18"/>
          <w:u w:val="single" w:color="auto"/>
          <w:color w:val="auto"/>
        </w:rPr>
        <w:t>Buyout of Options</w:t>
      </w:r>
      <w:r>
        <w:rPr>
          <w:rFonts w:ascii="Arial" w:cs="Arial" w:eastAsia="Arial" w:hAnsi="Arial"/>
          <w:sz w:val="18"/>
          <w:szCs w:val="18"/>
          <w:color w:val="auto"/>
        </w:rPr>
        <w:t>. The Administrator may at any time offer to buy out an Option for a payment in cash or Shares, based on such terms and conditions as the Administrator shall establish and communicate to the Optionee at the time of the offer.</w:t>
      </w:r>
    </w:p>
    <w:p>
      <w:pPr>
        <w:spacing w:after="0" w:line="131" w:lineRule="exact"/>
        <w:rPr>
          <w:rFonts w:ascii="Arial" w:cs="Arial" w:eastAsia="Arial" w:hAnsi="Arial"/>
          <w:sz w:val="18"/>
          <w:szCs w:val="18"/>
          <w:color w:val="auto"/>
        </w:rPr>
      </w:pPr>
    </w:p>
    <w:p>
      <w:pPr>
        <w:ind w:left="-20" w:right="20" w:firstLine="464"/>
        <w:spacing w:after="0" w:line="259" w:lineRule="auto"/>
        <w:tabs>
          <w:tab w:leader="none" w:pos="700" w:val="left"/>
        </w:tabs>
        <w:numPr>
          <w:ilvl w:val="0"/>
          <w:numId w:val="25"/>
        </w:numPr>
        <w:rPr>
          <w:rFonts w:ascii="Arial" w:cs="Arial" w:eastAsia="Arial" w:hAnsi="Arial"/>
          <w:sz w:val="18"/>
          <w:szCs w:val="18"/>
          <w:color w:val="auto"/>
        </w:rPr>
      </w:pPr>
      <w:r>
        <w:rPr>
          <w:rFonts w:ascii="Arial" w:cs="Arial" w:eastAsia="Arial" w:hAnsi="Arial"/>
          <w:sz w:val="18"/>
          <w:szCs w:val="18"/>
          <w:u w:val="single" w:color="auto"/>
          <w:color w:val="auto"/>
        </w:rPr>
        <w:t>Other Awards</w:t>
      </w:r>
      <w:r>
        <w:rPr>
          <w:rFonts w:ascii="Arial" w:cs="Arial" w:eastAsia="Arial" w:hAnsi="Arial"/>
          <w:sz w:val="18"/>
          <w:szCs w:val="18"/>
          <w:color w:val="auto"/>
        </w:rPr>
        <w:t>. The Administrator may from time to time grant other stock-based awards to eligible Employees and Consultants in such amounts, on such terms and conditions, and for such consideration, including no consideration or such minimum consideration as may be required by law, as it shall determine and set forth in the applicable Grant Agreement, including without limitation the following:</w:t>
      </w:r>
    </w:p>
    <w:p>
      <w:pPr>
        <w:spacing w:after="0" w:line="59" w:lineRule="exact"/>
        <w:rPr>
          <w:sz w:val="20"/>
          <w:szCs w:val="20"/>
          <w:color w:val="auto"/>
        </w:rPr>
      </w:pPr>
    </w:p>
    <w:p>
      <w:pPr>
        <w:ind w:left="-20" w:firstLine="464"/>
        <w:spacing w:after="0" w:line="289" w:lineRule="auto"/>
        <w:tabs>
          <w:tab w:leader="none" w:pos="675" w:val="left"/>
        </w:tabs>
        <w:numPr>
          <w:ilvl w:val="0"/>
          <w:numId w:val="26"/>
        </w:numPr>
        <w:rPr>
          <w:rFonts w:ascii="Arial" w:cs="Arial" w:eastAsia="Arial" w:hAnsi="Arial"/>
          <w:sz w:val="16"/>
          <w:szCs w:val="16"/>
          <w:color w:val="auto"/>
        </w:rPr>
      </w:pPr>
      <w:r>
        <w:rPr>
          <w:rFonts w:ascii="Arial" w:cs="Arial" w:eastAsia="Arial" w:hAnsi="Arial"/>
          <w:sz w:val="16"/>
          <w:szCs w:val="16"/>
          <w:u w:val="single" w:color="auto"/>
          <w:color w:val="auto"/>
        </w:rPr>
        <w:t>Stock Appreciation Rights</w:t>
      </w:r>
      <w:r>
        <w:rPr>
          <w:rFonts w:ascii="Arial" w:cs="Arial" w:eastAsia="Arial" w:hAnsi="Arial"/>
          <w:sz w:val="16"/>
          <w:szCs w:val="16"/>
          <w:i w:val="1"/>
          <w:iCs w:val="1"/>
          <w:color w:val="auto"/>
        </w:rPr>
        <w:t>.</w:t>
      </w:r>
      <w:r>
        <w:rPr>
          <w:rFonts w:ascii="Arial" w:cs="Arial" w:eastAsia="Arial" w:hAnsi="Arial"/>
          <w:sz w:val="16"/>
          <w:szCs w:val="16"/>
          <w:color w:val="auto"/>
        </w:rPr>
        <w:t xml:space="preserve"> The Administrator may from time to time grant Awards of stock appreciation rights (“SAR”). An SAR entitles the Grantee to receive, subject to the provisions of the Plan and the Grant Agreement, a payment having an aggregate value equal to the product of (i) the excess of (A) the Fair Market Value on the exercise date of one share of Common Stock over (B) the base price per share specified in the Grant Agreement, times (ii) the number of shares specified by the SAR, or portion thereof, which is exercised. Payment by the Company of the amount receivable upon any exercise of an SAR may be made by the delivery of Common Stock or cash, or any combination of Common Stock and cash, as determined in the sole discretion of the Administrator. If upon settlement of the exercise of an SAR a Grantee is to receive a portion of such payment in shares of Common Stock, the number of shares shall be determined by dividing such portion by the Fair Market Value of a share of Common Stock on the exercise date. No fractional shares shall be used for such payment and the Administrator shall determine whether cash shall be given in lieu of such fractional shares or whether such fractional shares shall be eliminated.</w:t>
      </w:r>
    </w:p>
    <w:p>
      <w:pPr>
        <w:spacing w:after="0" w:line="37" w:lineRule="exact"/>
        <w:rPr>
          <w:rFonts w:ascii="Arial" w:cs="Arial" w:eastAsia="Arial" w:hAnsi="Arial"/>
          <w:sz w:val="16"/>
          <w:szCs w:val="16"/>
          <w:color w:val="auto"/>
        </w:rPr>
      </w:pPr>
    </w:p>
    <w:p>
      <w:pPr>
        <w:ind w:left="-20" w:right="120" w:firstLine="464"/>
        <w:spacing w:after="0" w:line="332" w:lineRule="auto"/>
        <w:tabs>
          <w:tab w:leader="none" w:pos="685" w:val="left"/>
        </w:tabs>
        <w:numPr>
          <w:ilvl w:val="0"/>
          <w:numId w:val="26"/>
        </w:numPr>
        <w:rPr>
          <w:rFonts w:ascii="Arial" w:cs="Arial" w:eastAsia="Arial" w:hAnsi="Arial"/>
          <w:sz w:val="16"/>
          <w:szCs w:val="16"/>
          <w:color w:val="auto"/>
        </w:rPr>
      </w:pPr>
      <w:r>
        <w:rPr>
          <w:rFonts w:ascii="Arial" w:cs="Arial" w:eastAsia="Arial" w:hAnsi="Arial"/>
          <w:sz w:val="16"/>
          <w:szCs w:val="16"/>
          <w:u w:val="single" w:color="auto"/>
          <w:color w:val="auto"/>
        </w:rPr>
        <w:t>Stock Awards</w:t>
      </w:r>
      <w:r>
        <w:rPr>
          <w:rFonts w:ascii="Arial" w:cs="Arial" w:eastAsia="Arial" w:hAnsi="Arial"/>
          <w:sz w:val="16"/>
          <w:szCs w:val="16"/>
          <w:color w:val="auto"/>
        </w:rPr>
        <w:t>. The Administrator may from time to time grant restricted or unrestricted Awards of Common Stock in such amounts, on such terms and conditions, and for such consideration, including no consideration or such minimum consideration as may be required by law, as it shall determine.</w:t>
      </w:r>
    </w:p>
    <w:p>
      <w:pPr>
        <w:spacing w:after="0" w:line="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60" w:top="280" w:right="239" w:bottom="1440" w:gutter="0" w:footer="0" w:header="0"/>
        </w:sectPr>
      </w:pPr>
    </w:p>
    <w:bookmarkStart w:id="56" w:name="page57"/>
    <w:bookmarkEnd w:id="56"/>
    <w:p>
      <w:pPr>
        <w:ind w:firstLine="464"/>
        <w:spacing w:after="0" w:line="294" w:lineRule="auto"/>
        <w:tabs>
          <w:tab w:leader="none" w:pos="695" w:val="left"/>
        </w:tabs>
        <w:numPr>
          <w:ilvl w:val="0"/>
          <w:numId w:val="27"/>
        </w:numPr>
        <w:rPr>
          <w:rFonts w:ascii="Arial" w:cs="Arial" w:eastAsia="Arial" w:hAnsi="Arial"/>
          <w:sz w:val="16"/>
          <w:szCs w:val="16"/>
          <w:color w:val="auto"/>
        </w:rPr>
      </w:pPr>
      <w:r>
        <w:rPr>
          <w:rFonts w:ascii="Arial" w:cs="Arial" w:eastAsia="Arial" w:hAnsi="Arial"/>
          <w:sz w:val="16"/>
          <w:szCs w:val="16"/>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Stock Units</w:t>
      </w:r>
      <w:r>
        <w:rPr>
          <w:rFonts w:ascii="Arial" w:cs="Arial" w:eastAsia="Arial" w:hAnsi="Arial"/>
          <w:sz w:val="16"/>
          <w:szCs w:val="16"/>
          <w:i w:val="1"/>
          <w:iCs w:val="1"/>
          <w:color w:val="auto"/>
        </w:rPr>
        <w:t>.</w:t>
      </w:r>
      <w:r>
        <w:rPr>
          <w:rFonts w:ascii="Arial" w:cs="Arial" w:eastAsia="Arial" w:hAnsi="Arial"/>
          <w:sz w:val="16"/>
          <w:szCs w:val="16"/>
          <w:color w:val="auto"/>
        </w:rPr>
        <w:t xml:space="preserve"> The Administrator may from time to time grant Awards denominated in stock-equivalent units (“stock units”) in such amounts and on such terms and conditions as it shall determine. Stock units shall be credited to a bookkeeping reserve account solely for accounting purposes and shall not require a segregation of any of the Company’s assets. An Award of stock units may be settled in Common Stock, in cash, or in a combination of Common Stock and cash, as determined in the sole discretion of the Administrator. Except as otherwise provided in the applicable Grant Agreement, the Grantee shall not have the rights of a stockholder with respect to any shares of Common Stock represented by a stock unit solely as a result of the grant of a stock unit to the Grantee.</w:t>
      </w:r>
    </w:p>
    <w:p>
      <w:pPr>
        <w:spacing w:after="0" w:line="34" w:lineRule="exact"/>
        <w:rPr>
          <w:rFonts w:ascii="Arial" w:cs="Arial" w:eastAsia="Arial" w:hAnsi="Arial"/>
          <w:sz w:val="16"/>
          <w:szCs w:val="16"/>
          <w:color w:val="auto"/>
        </w:rPr>
      </w:pPr>
    </w:p>
    <w:p>
      <w:pPr>
        <w:ind w:right="180" w:firstLine="464"/>
        <w:spacing w:after="0" w:line="291" w:lineRule="auto"/>
        <w:tabs>
          <w:tab w:leader="none" w:pos="705" w:val="left"/>
        </w:tabs>
        <w:numPr>
          <w:ilvl w:val="0"/>
          <w:numId w:val="27"/>
        </w:numPr>
        <w:rPr>
          <w:rFonts w:ascii="Arial" w:cs="Arial" w:eastAsia="Arial" w:hAnsi="Arial"/>
          <w:sz w:val="16"/>
          <w:szCs w:val="16"/>
          <w:color w:val="auto"/>
        </w:rPr>
      </w:pPr>
      <w:r>
        <w:rPr>
          <w:rFonts w:ascii="Arial" w:cs="Arial" w:eastAsia="Arial" w:hAnsi="Arial"/>
          <w:sz w:val="16"/>
          <w:szCs w:val="16"/>
          <w:u w:val="single" w:color="auto"/>
          <w:color w:val="auto"/>
        </w:rPr>
        <w:t>Performance Awards</w:t>
      </w:r>
      <w:r>
        <w:rPr>
          <w:rFonts w:ascii="Arial" w:cs="Arial" w:eastAsia="Arial" w:hAnsi="Arial"/>
          <w:sz w:val="16"/>
          <w:szCs w:val="16"/>
          <w:color w:val="auto"/>
        </w:rPr>
        <w:t xml:space="preserve">. The Administrator may, in its discretion, grant performance awards which become payable on account of attainment of one or more performance goals established by the Administrator. Performance awards may be paid by the delivery of Common Stock or cash, or any combination of Common Stock and cash, as determined in the sole discretion of the Administrator. Performance goals established by the Administrator may be based on one or more business criteria selected by the Administrator that apply to an individual or group of individuals, a business unit, or the Company as a whole, over such performance period as the Administrator may designate. The Administrator may grant awards intended to qualify as “performance-based compensation” within the meaning of Section 162(m) of the Code under terms and conditions set forth in </w:t>
      </w:r>
      <w:r>
        <w:rPr>
          <w:rFonts w:ascii="Arial" w:cs="Arial" w:eastAsia="Arial" w:hAnsi="Arial"/>
          <w:sz w:val="16"/>
          <w:szCs w:val="16"/>
          <w:u w:val="single" w:color="auto"/>
          <w:color w:val="auto"/>
        </w:rPr>
        <w:t>Appendix A</w:t>
      </w:r>
      <w:r>
        <w:rPr>
          <w:rFonts w:ascii="Arial" w:cs="Arial" w:eastAsia="Arial" w:hAnsi="Arial"/>
          <w:sz w:val="16"/>
          <w:szCs w:val="16"/>
          <w:color w:val="auto"/>
        </w:rPr>
        <w:t>.</w:t>
      </w:r>
    </w:p>
    <w:p>
      <w:pPr>
        <w:spacing w:after="0" w:line="39" w:lineRule="exact"/>
        <w:rPr>
          <w:rFonts w:ascii="Arial" w:cs="Arial" w:eastAsia="Arial" w:hAnsi="Arial"/>
          <w:sz w:val="16"/>
          <w:szCs w:val="16"/>
          <w:color w:val="auto"/>
        </w:rPr>
      </w:pPr>
    </w:p>
    <w:p>
      <w:pPr>
        <w:jc w:val="both"/>
        <w:ind w:right="60" w:firstLine="464"/>
        <w:spacing w:after="0" w:line="256" w:lineRule="auto"/>
        <w:tabs>
          <w:tab w:leader="none" w:pos="695" w:val="left"/>
        </w:tabs>
        <w:numPr>
          <w:ilvl w:val="0"/>
          <w:numId w:val="27"/>
        </w:numPr>
        <w:rPr>
          <w:rFonts w:ascii="Arial" w:cs="Arial" w:eastAsia="Arial" w:hAnsi="Arial"/>
          <w:sz w:val="18"/>
          <w:szCs w:val="18"/>
          <w:color w:val="auto"/>
        </w:rPr>
      </w:pPr>
      <w:r>
        <w:rPr>
          <w:rFonts w:ascii="Arial" w:cs="Arial" w:eastAsia="Arial" w:hAnsi="Arial"/>
          <w:sz w:val="18"/>
          <w:szCs w:val="18"/>
          <w:u w:val="single" w:color="auto"/>
          <w:color w:val="auto"/>
        </w:rPr>
        <w:t>Other Stock-Based Awards</w:t>
      </w:r>
      <w:r>
        <w:rPr>
          <w:rFonts w:ascii="Arial" w:cs="Arial" w:eastAsia="Arial" w:hAnsi="Arial"/>
          <w:sz w:val="18"/>
          <w:szCs w:val="18"/>
          <w:i w:val="1"/>
          <w:iCs w:val="1"/>
          <w:color w:val="auto"/>
        </w:rPr>
        <w:t>.</w:t>
      </w:r>
      <w:r>
        <w:rPr>
          <w:rFonts w:ascii="Arial" w:cs="Arial" w:eastAsia="Arial" w:hAnsi="Arial"/>
          <w:sz w:val="18"/>
          <w:szCs w:val="18"/>
          <w:color w:val="auto"/>
        </w:rPr>
        <w:t xml:space="preserve"> The Administrator may grant other stock-based awards may be denominated in cash, in Common Stock or other securities, in stock-equivalent units, in stock appreciation units, in securities or debentures convertible into Common Stock, or in any combination of the foregoing and may be paid in Common Stock or other securities, in cash, or in a combination of Common Stock or other securities and cash, all as determined in the sole discretion of the Administrator.</w:t>
      </w:r>
    </w:p>
    <w:p>
      <w:pPr>
        <w:spacing w:after="0" w:line="62" w:lineRule="exact"/>
        <w:rPr>
          <w:rFonts w:ascii="Arial" w:cs="Arial" w:eastAsia="Arial" w:hAnsi="Arial"/>
          <w:sz w:val="18"/>
          <w:szCs w:val="18"/>
          <w:color w:val="auto"/>
        </w:rPr>
      </w:pPr>
    </w:p>
    <w:p>
      <w:pPr>
        <w:ind w:left="680" w:hanging="216"/>
        <w:spacing w:after="0"/>
        <w:tabs>
          <w:tab w:leader="none" w:pos="680" w:val="left"/>
        </w:tabs>
        <w:numPr>
          <w:ilvl w:val="0"/>
          <w:numId w:val="27"/>
        </w:numPr>
        <w:rPr>
          <w:rFonts w:ascii="Arial" w:cs="Arial" w:eastAsia="Arial" w:hAnsi="Arial"/>
          <w:sz w:val="18"/>
          <w:szCs w:val="18"/>
          <w:color w:val="auto"/>
        </w:rPr>
      </w:pPr>
      <w:r>
        <w:rPr>
          <w:rFonts w:ascii="Arial" w:cs="Arial" w:eastAsia="Arial" w:hAnsi="Arial"/>
          <w:sz w:val="18"/>
          <w:szCs w:val="18"/>
          <w:u w:val="single" w:color="auto"/>
          <w:color w:val="auto"/>
        </w:rPr>
        <w:t>Deferral of Awards</w:t>
      </w:r>
      <w:r>
        <w:rPr>
          <w:rFonts w:ascii="Arial" w:cs="Arial" w:eastAsia="Arial" w:hAnsi="Arial"/>
          <w:sz w:val="18"/>
          <w:szCs w:val="18"/>
          <w:color w:val="auto"/>
        </w:rPr>
        <w:t>.</w:t>
      </w:r>
    </w:p>
    <w:p>
      <w:pPr>
        <w:spacing w:after="0" w:line="171" w:lineRule="exact"/>
        <w:rPr>
          <w:sz w:val="20"/>
          <w:szCs w:val="20"/>
          <w:color w:val="auto"/>
        </w:rPr>
      </w:pPr>
    </w:p>
    <w:p>
      <w:pPr>
        <w:ind w:right="160" w:firstLine="456"/>
        <w:spacing w:after="0" w:line="290" w:lineRule="auto"/>
        <w:rPr>
          <w:sz w:val="20"/>
          <w:szCs w:val="20"/>
          <w:color w:val="auto"/>
        </w:rPr>
      </w:pPr>
      <w:r>
        <w:rPr>
          <w:rFonts w:ascii="Arial" w:cs="Arial" w:eastAsia="Arial" w:hAnsi="Arial"/>
          <w:sz w:val="16"/>
          <w:szCs w:val="16"/>
          <w:color w:val="auto"/>
        </w:rPr>
        <w:t>The Administrator (in its sole discretion) may provide that Shares or cash that otherwise would be delivered to a Grantee as a result of the exercise of an Option or other settlement of an Award may be converted into amounts credited to a deferred compensation account established for such Grantee by the Administrator as an entry on the Company’s books. A deferred compensation account established under this Section 13(f) may be credited with interest or other forms of investment return, as determined by the Administrator. A Grantee for whom such an account is established shall have no rights other than those of a general creditor of the Company. Such an account shall represent an unfunded and unsecured obligation of the Company and shall be subject to the terms and conditions of the applicable Grant Agreement between such Participant and the Company. The Administrator (in its sole discretion) shall establish Grant rules, procedures and forms pertaining to any deferral of Awards pursuant to this Section 13(f).</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280" w:right="259" w:bottom="1440" w:gutter="0" w:footer="0" w:header="0"/>
        </w:sectPr>
      </w:pPr>
    </w:p>
    <w:bookmarkStart w:id="57" w:name="page58"/>
    <w:bookmarkEnd w:id="57"/>
    <w:p>
      <w:pPr>
        <w:ind w:left="720" w:hanging="256"/>
        <w:spacing w:after="0"/>
        <w:tabs>
          <w:tab w:leader="none" w:pos="720" w:val="left"/>
        </w:tabs>
        <w:numPr>
          <w:ilvl w:val="0"/>
          <w:numId w:val="28"/>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Changes in Capitalization or Control</w:t>
      </w:r>
      <w:r>
        <w:rPr>
          <w:rFonts w:ascii="Arial" w:cs="Arial" w:eastAsia="Arial" w:hAnsi="Arial"/>
          <w:sz w:val="18"/>
          <w:szCs w:val="18"/>
          <w:color w:val="auto"/>
        </w:rPr>
        <w:t>.</w:t>
      </w:r>
    </w:p>
    <w:p>
      <w:pPr>
        <w:spacing w:after="0" w:line="90" w:lineRule="exact"/>
        <w:rPr>
          <w:sz w:val="20"/>
          <w:szCs w:val="20"/>
          <w:color w:val="auto"/>
        </w:rPr>
      </w:pPr>
    </w:p>
    <w:p>
      <w:pPr>
        <w:ind w:firstLine="464"/>
        <w:spacing w:after="0" w:line="287" w:lineRule="auto"/>
        <w:tabs>
          <w:tab w:leader="none" w:pos="695" w:val="left"/>
        </w:tabs>
        <w:numPr>
          <w:ilvl w:val="0"/>
          <w:numId w:val="29"/>
        </w:numPr>
        <w:rPr>
          <w:rFonts w:ascii="Arial" w:cs="Arial" w:eastAsia="Arial" w:hAnsi="Arial"/>
          <w:sz w:val="16"/>
          <w:szCs w:val="16"/>
          <w:color w:val="auto"/>
        </w:rPr>
      </w:pPr>
      <w:r>
        <w:rPr>
          <w:rFonts w:ascii="Arial" w:cs="Arial" w:eastAsia="Arial" w:hAnsi="Arial"/>
          <w:sz w:val="16"/>
          <w:szCs w:val="16"/>
          <w:u w:val="single" w:color="auto"/>
          <w:color w:val="auto"/>
        </w:rPr>
        <w:t>Changes in Capitalization</w:t>
      </w:r>
      <w:r>
        <w:rPr>
          <w:rFonts w:ascii="Arial" w:cs="Arial" w:eastAsia="Arial" w:hAnsi="Arial"/>
          <w:sz w:val="16"/>
          <w:szCs w:val="16"/>
          <w:color w:val="auto"/>
        </w:rPr>
        <w:t>. Subject to any required action by the shareholders of the Company, the number of Shares of Optioned Stock or of other Shares subject to an outstanding Award, and the number of Shares that have been authorized for issuance under this Plan but as to which no Options or other Awards have then been granted (including the number of shares automatically added to the Plan on annual basis as provided for in Section 3(i) and (ii)), or that have been returned to this Plan upon cancellation or expiration of an Option or an Award, as well as the price per Share of Optioned Stock or of other Shares subject to an outstanding Award, shall be proportionately adjusted for any change in the number of issued Shares resulting from a stock split, reverse stock split, stock dividend, combination or reclassification of the Common Stock, or any other change in the number of issued Shares effected without receipt of consideration by the Company (not counting Shares issued upon conversion of convertible securities of the Company as “effected without receipt of consideration”). Such adjustment shall be made by the Board and shall be final, binding, and conclusive. Except as expressly provided herein, no issuance by the Company of shares of stock of any class, or securities convertible into shares of stock of any class, shall affect, and no consequent adjustment shall be made with respect to, the number or price of Shares subject to this Plan.</w:t>
      </w:r>
    </w:p>
    <w:p>
      <w:pPr>
        <w:spacing w:after="0" w:line="41" w:lineRule="exact"/>
        <w:rPr>
          <w:rFonts w:ascii="Arial" w:cs="Arial" w:eastAsia="Arial" w:hAnsi="Arial"/>
          <w:sz w:val="16"/>
          <w:szCs w:val="16"/>
          <w:color w:val="auto"/>
        </w:rPr>
      </w:pPr>
    </w:p>
    <w:p>
      <w:pPr>
        <w:ind w:right="80" w:firstLine="464"/>
        <w:spacing w:after="0" w:line="256" w:lineRule="auto"/>
        <w:tabs>
          <w:tab w:leader="none" w:pos="705" w:val="left"/>
        </w:tabs>
        <w:numPr>
          <w:ilvl w:val="0"/>
          <w:numId w:val="29"/>
        </w:numPr>
        <w:rPr>
          <w:rFonts w:ascii="Arial" w:cs="Arial" w:eastAsia="Arial" w:hAnsi="Arial"/>
          <w:sz w:val="18"/>
          <w:szCs w:val="18"/>
          <w:color w:val="auto"/>
        </w:rPr>
      </w:pPr>
      <w:r>
        <w:rPr>
          <w:rFonts w:ascii="Arial" w:cs="Arial" w:eastAsia="Arial" w:hAnsi="Arial"/>
          <w:sz w:val="18"/>
          <w:szCs w:val="18"/>
          <w:u w:val="single" w:color="auto"/>
          <w:color w:val="auto"/>
        </w:rPr>
        <w:t>Change in Control</w:t>
      </w:r>
      <w:r>
        <w:rPr>
          <w:rFonts w:ascii="Arial" w:cs="Arial" w:eastAsia="Arial" w:hAnsi="Arial"/>
          <w:sz w:val="18"/>
          <w:szCs w:val="18"/>
          <w:color w:val="auto"/>
        </w:rPr>
        <w:t xml:space="preserve">. The Administrator may, in its discretion, determine at any time from and after the grant of an Award the effect that a Change in Control shall have upon the Award;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a Change in Control shall not have the effect of impairing the rights of any Grantee under any then-outstanding Award without his or her prior written consent. Without limiting the foregoing sentence, the Administrator may determine that upon a Change in Control, an Option:</w:t>
      </w:r>
    </w:p>
    <w:p>
      <w:pPr>
        <w:spacing w:after="0" w:line="62" w:lineRule="exact"/>
        <w:rPr>
          <w:rFonts w:ascii="Arial" w:cs="Arial" w:eastAsia="Arial" w:hAnsi="Arial"/>
          <w:sz w:val="18"/>
          <w:szCs w:val="18"/>
          <w:color w:val="auto"/>
        </w:rPr>
      </w:pPr>
    </w:p>
    <w:p>
      <w:pPr>
        <w:ind w:left="1120" w:hanging="217"/>
        <w:spacing w:after="0"/>
        <w:tabs>
          <w:tab w:leader="none" w:pos="1120" w:val="left"/>
        </w:tabs>
        <w:numPr>
          <w:ilvl w:val="1"/>
          <w:numId w:val="29"/>
        </w:numPr>
        <w:rPr>
          <w:rFonts w:ascii="Arial" w:cs="Arial" w:eastAsia="Arial" w:hAnsi="Arial"/>
          <w:sz w:val="16"/>
          <w:szCs w:val="16"/>
          <w:color w:val="auto"/>
        </w:rPr>
      </w:pPr>
      <w:r>
        <w:rPr>
          <w:rFonts w:ascii="Arial" w:cs="Arial" w:eastAsia="Arial" w:hAnsi="Arial"/>
          <w:sz w:val="16"/>
          <w:szCs w:val="16"/>
          <w:color w:val="auto"/>
        </w:rPr>
        <w:t>shall become fully vested and exercisable either for a limited period following the Change in Control or for the remainder of the Option’s term;</w:t>
      </w:r>
    </w:p>
    <w:p>
      <w:pPr>
        <w:spacing w:after="0" w:line="113" w:lineRule="exact"/>
        <w:rPr>
          <w:rFonts w:ascii="Arial" w:cs="Arial" w:eastAsia="Arial" w:hAnsi="Arial"/>
          <w:sz w:val="16"/>
          <w:szCs w:val="16"/>
          <w:color w:val="auto"/>
        </w:rPr>
      </w:pPr>
    </w:p>
    <w:p>
      <w:pPr>
        <w:ind w:left="1160" w:hanging="257"/>
        <w:spacing w:after="0"/>
        <w:tabs>
          <w:tab w:leader="none" w:pos="1160" w:val="left"/>
        </w:tabs>
        <w:numPr>
          <w:ilvl w:val="1"/>
          <w:numId w:val="29"/>
        </w:numPr>
        <w:rPr>
          <w:rFonts w:ascii="Arial" w:cs="Arial" w:eastAsia="Arial" w:hAnsi="Arial"/>
          <w:sz w:val="18"/>
          <w:szCs w:val="18"/>
          <w:color w:val="auto"/>
        </w:rPr>
      </w:pPr>
      <w:r>
        <w:rPr>
          <w:rFonts w:ascii="Arial" w:cs="Arial" w:eastAsia="Arial" w:hAnsi="Arial"/>
          <w:sz w:val="18"/>
          <w:szCs w:val="18"/>
          <w:color w:val="auto"/>
        </w:rPr>
        <w:t>shall terminate upon or after a specified period following the Change in Control;</w:t>
      </w:r>
    </w:p>
    <w:p>
      <w:pPr>
        <w:spacing w:after="0" w:line="90" w:lineRule="exact"/>
        <w:rPr>
          <w:rFonts w:ascii="Arial" w:cs="Arial" w:eastAsia="Arial" w:hAnsi="Arial"/>
          <w:sz w:val="18"/>
          <w:szCs w:val="18"/>
          <w:color w:val="auto"/>
        </w:rPr>
      </w:pPr>
    </w:p>
    <w:p>
      <w:pPr>
        <w:ind w:left="460" w:right="40" w:firstLine="443"/>
        <w:spacing w:after="0" w:line="268" w:lineRule="auto"/>
        <w:tabs>
          <w:tab w:leader="none" w:pos="1205" w:val="left"/>
        </w:tabs>
        <w:numPr>
          <w:ilvl w:val="1"/>
          <w:numId w:val="29"/>
        </w:numPr>
        <w:rPr>
          <w:rFonts w:ascii="Arial" w:cs="Arial" w:eastAsia="Arial" w:hAnsi="Arial"/>
          <w:sz w:val="18"/>
          <w:szCs w:val="18"/>
          <w:color w:val="auto"/>
        </w:rPr>
      </w:pPr>
      <w:r>
        <w:rPr>
          <w:rFonts w:ascii="Arial" w:cs="Arial" w:eastAsia="Arial" w:hAnsi="Arial"/>
          <w:sz w:val="18"/>
          <w:szCs w:val="18"/>
          <w:color w:val="auto"/>
        </w:rPr>
        <w:t>shall be cancelled in exchange for cash in the amount of the excess of the fair market value of the Optioned Shares over the exercise price upon termination; or</w:t>
      </w:r>
    </w:p>
    <w:p>
      <w:pPr>
        <w:spacing w:after="0" w:line="50" w:lineRule="exact"/>
        <w:rPr>
          <w:rFonts w:ascii="Arial" w:cs="Arial" w:eastAsia="Arial" w:hAnsi="Arial"/>
          <w:sz w:val="18"/>
          <w:szCs w:val="18"/>
          <w:color w:val="auto"/>
        </w:rPr>
      </w:pPr>
    </w:p>
    <w:p>
      <w:pPr>
        <w:ind w:left="460" w:right="40" w:firstLine="443"/>
        <w:spacing w:after="0" w:line="332" w:lineRule="auto"/>
        <w:tabs>
          <w:tab w:leader="none" w:pos="1196" w:val="left"/>
        </w:tabs>
        <w:numPr>
          <w:ilvl w:val="1"/>
          <w:numId w:val="29"/>
        </w:numPr>
        <w:rPr>
          <w:rFonts w:ascii="Arial" w:cs="Arial" w:eastAsia="Arial" w:hAnsi="Arial"/>
          <w:sz w:val="16"/>
          <w:szCs w:val="16"/>
          <w:color w:val="auto"/>
        </w:rPr>
      </w:pPr>
      <w:r>
        <w:rPr>
          <w:rFonts w:ascii="Arial" w:cs="Arial" w:eastAsia="Arial" w:hAnsi="Arial"/>
          <w:sz w:val="16"/>
          <w:szCs w:val="16"/>
          <w:color w:val="auto"/>
        </w:rPr>
        <w:t>shall be treated as provided under a combination of clauses (i) through (iii), or shall be so treated only if not adequately assumed (or substituted for) by a surviving or successor person or entity in the transactions or events that give rise to the Change in Control.</w:t>
      </w:r>
    </w:p>
    <w:p>
      <w:pPr>
        <w:spacing w:after="0" w:line="4"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color w:val="auto"/>
        </w:rPr>
        <w:t>For purposes of this Section 14(b), (A) the occurrence of any of the foregoing clauses (i), (ii), (iii) or (iv) shall not constitute an impairment of the rights of any Optionee and (B) the “Administrator” shall be the Administrator as constituted before the Change in Control occurs.</w:t>
      </w:r>
    </w:p>
    <w:p>
      <w:pPr>
        <w:spacing w:after="0" w:line="132" w:lineRule="exact"/>
        <w:rPr>
          <w:sz w:val="20"/>
          <w:szCs w:val="20"/>
          <w:color w:val="auto"/>
        </w:rPr>
      </w:pPr>
    </w:p>
    <w:p>
      <w:pPr>
        <w:ind w:right="200" w:firstLine="464"/>
        <w:spacing w:after="0" w:line="268" w:lineRule="auto"/>
        <w:tabs>
          <w:tab w:leader="none" w:pos="720" w:val="left"/>
        </w:tabs>
        <w:numPr>
          <w:ilvl w:val="0"/>
          <w:numId w:val="30"/>
        </w:numPr>
        <w:rPr>
          <w:rFonts w:ascii="Arial" w:cs="Arial" w:eastAsia="Arial" w:hAnsi="Arial"/>
          <w:sz w:val="18"/>
          <w:szCs w:val="18"/>
          <w:color w:val="auto"/>
        </w:rPr>
      </w:pPr>
      <w:r>
        <w:rPr>
          <w:rFonts w:ascii="Arial" w:cs="Arial" w:eastAsia="Arial" w:hAnsi="Arial"/>
          <w:sz w:val="18"/>
          <w:szCs w:val="18"/>
          <w:u w:val="single" w:color="auto"/>
          <w:color w:val="auto"/>
        </w:rPr>
        <w:t>Amendments; Termination</w:t>
      </w:r>
      <w:r>
        <w:rPr>
          <w:rFonts w:ascii="Arial" w:cs="Arial" w:eastAsia="Arial" w:hAnsi="Arial"/>
          <w:sz w:val="18"/>
          <w:szCs w:val="18"/>
          <w:color w:val="auto"/>
        </w:rPr>
        <w:t>. The Board may at any time amend, alter, suspend, discontinue or terminate this Plan, but no such action shall impair the rights of any Grantee under any then-outstanding Award without his or her prior written consent.</w:t>
      </w:r>
    </w:p>
    <w:p>
      <w:pPr>
        <w:spacing w:after="0" w:line="11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320"/>
          </w:cols>
          <w:pgMar w:left="240" w:top="280" w:right="339" w:bottom="1440" w:gutter="0" w:footer="0" w:header="0"/>
        </w:sectPr>
      </w:pPr>
    </w:p>
    <w:bookmarkStart w:id="58" w:name="page59"/>
    <w:bookmarkEnd w:id="58"/>
    <w:p>
      <w:pPr>
        <w:ind w:left="700" w:hanging="256"/>
        <w:spacing w:after="0"/>
        <w:tabs>
          <w:tab w:leader="none" w:pos="700" w:val="left"/>
        </w:tabs>
        <w:numPr>
          <w:ilvl w:val="0"/>
          <w:numId w:val="31"/>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Securities Regulation Requirements</w:t>
      </w:r>
      <w:r>
        <w:rPr>
          <w:rFonts w:ascii="Arial" w:cs="Arial" w:eastAsia="Arial" w:hAnsi="Arial"/>
          <w:sz w:val="18"/>
          <w:szCs w:val="18"/>
          <w:color w:val="auto"/>
        </w:rPr>
        <w:t>.</w:t>
      </w:r>
    </w:p>
    <w:p>
      <w:pPr>
        <w:spacing w:after="0" w:line="90" w:lineRule="exact"/>
        <w:rPr>
          <w:sz w:val="20"/>
          <w:szCs w:val="20"/>
          <w:color w:val="auto"/>
        </w:rPr>
      </w:pPr>
    </w:p>
    <w:p>
      <w:pPr>
        <w:ind w:left="-20" w:right="20" w:firstLine="464"/>
        <w:spacing w:after="0" w:line="298" w:lineRule="auto"/>
        <w:tabs>
          <w:tab w:leader="none" w:pos="675" w:val="left"/>
        </w:tabs>
        <w:numPr>
          <w:ilvl w:val="0"/>
          <w:numId w:val="32"/>
        </w:numPr>
        <w:rPr>
          <w:rFonts w:ascii="Arial" w:cs="Arial" w:eastAsia="Arial" w:hAnsi="Arial"/>
          <w:sz w:val="16"/>
          <w:szCs w:val="16"/>
          <w:color w:val="auto"/>
        </w:rPr>
      </w:pPr>
      <w:r>
        <w:rPr>
          <w:rFonts w:ascii="Arial" w:cs="Arial" w:eastAsia="Arial" w:hAnsi="Arial"/>
          <w:sz w:val="16"/>
          <w:szCs w:val="16"/>
          <w:u w:val="single" w:color="auto"/>
          <w:color w:val="auto"/>
        </w:rPr>
        <w:t>Compliance with Rule</w:t>
      </w:r>
      <w:r>
        <w:rPr>
          <w:rFonts w:ascii="Arial" w:cs="Arial" w:eastAsia="Arial" w:hAnsi="Arial"/>
          <w:sz w:val="16"/>
          <w:szCs w:val="16"/>
          <w:color w:val="auto"/>
        </w:rPr>
        <w:t>. In general, Shares shall not be issued pursuant to the exercise of an Option or pursuant to any other Award unless the exercise of the Option or other Award and issuance of the Shares comply with all relevant provisions of law, including, without limitation, any applicable state securities laws, the Securities Act of 1933, as amended, the Exchange Act, the rules and regulations promulgated thereunder, the requirements of any stock exchange or national market system upon which the Shares may then be listed, and the requirements of any regulatory body having jurisdiction.</w:t>
      </w:r>
    </w:p>
    <w:p>
      <w:pPr>
        <w:spacing w:after="0" w:line="31" w:lineRule="exact"/>
        <w:rPr>
          <w:rFonts w:ascii="Arial" w:cs="Arial" w:eastAsia="Arial" w:hAnsi="Arial"/>
          <w:sz w:val="16"/>
          <w:szCs w:val="16"/>
          <w:color w:val="auto"/>
        </w:rPr>
      </w:pPr>
    </w:p>
    <w:p>
      <w:pPr>
        <w:ind w:left="-20" w:firstLine="464"/>
        <w:spacing w:after="0" w:line="259" w:lineRule="auto"/>
        <w:tabs>
          <w:tab w:leader="none" w:pos="685" w:val="left"/>
        </w:tabs>
        <w:numPr>
          <w:ilvl w:val="0"/>
          <w:numId w:val="32"/>
        </w:numPr>
        <w:rPr>
          <w:rFonts w:ascii="Arial" w:cs="Arial" w:eastAsia="Arial" w:hAnsi="Arial"/>
          <w:sz w:val="18"/>
          <w:szCs w:val="18"/>
          <w:color w:val="auto"/>
        </w:rPr>
      </w:pPr>
      <w:r>
        <w:rPr>
          <w:rFonts w:ascii="Arial" w:cs="Arial" w:eastAsia="Arial" w:hAnsi="Arial"/>
          <w:sz w:val="18"/>
          <w:szCs w:val="18"/>
          <w:u w:val="single" w:color="auto"/>
          <w:color w:val="auto"/>
        </w:rPr>
        <w:t>Optionee Investment Representation</w:t>
      </w:r>
      <w:r>
        <w:rPr>
          <w:rFonts w:ascii="Arial" w:cs="Arial" w:eastAsia="Arial" w:hAnsi="Arial"/>
          <w:sz w:val="18"/>
          <w:szCs w:val="18"/>
          <w:color w:val="auto"/>
        </w:rPr>
        <w:t>. As a condition to the exercise of an Option, the Company may require the person exercising the Option to represent and warrant that the Shares are being purchased only for investment and without any present intention to sell or distribute the Shares if, in the opinion of counsel for the Company, such a representation is required by law.</w:t>
      </w:r>
    </w:p>
    <w:p>
      <w:pPr>
        <w:spacing w:after="0" w:line="140" w:lineRule="exact"/>
        <w:rPr>
          <w:sz w:val="20"/>
          <w:szCs w:val="20"/>
          <w:color w:val="auto"/>
        </w:rPr>
      </w:pPr>
    </w:p>
    <w:p>
      <w:pPr>
        <w:jc w:val="both"/>
        <w:ind w:left="-20" w:right="80" w:firstLine="464"/>
        <w:spacing w:after="0" w:line="306" w:lineRule="auto"/>
        <w:tabs>
          <w:tab w:leader="none" w:pos="700" w:val="left"/>
        </w:tabs>
        <w:numPr>
          <w:ilvl w:val="0"/>
          <w:numId w:val="33"/>
        </w:numPr>
        <w:rPr>
          <w:rFonts w:ascii="Arial" w:cs="Arial" w:eastAsia="Arial" w:hAnsi="Arial"/>
          <w:sz w:val="16"/>
          <w:szCs w:val="16"/>
          <w:color w:val="auto"/>
        </w:rPr>
      </w:pPr>
      <w:r>
        <w:rPr>
          <w:rFonts w:ascii="Arial" w:cs="Arial" w:eastAsia="Arial" w:hAnsi="Arial"/>
          <w:sz w:val="16"/>
          <w:szCs w:val="16"/>
          <w:u w:val="single" w:color="auto"/>
          <w:color w:val="auto"/>
        </w:rPr>
        <w:t>Written Agreements</w:t>
      </w:r>
      <w:r>
        <w:rPr>
          <w:rFonts w:ascii="Arial" w:cs="Arial" w:eastAsia="Arial" w:hAnsi="Arial"/>
          <w:sz w:val="16"/>
          <w:szCs w:val="16"/>
          <w:color w:val="auto"/>
        </w:rPr>
        <w:t>. Awards shall be evidenced by written agreements in a form the Administrator approves from time to time. The written agreement shall designate an Option as either an Incentive Stock Option or a Nonstatutory Stock Option. Delay in executing a written agreement shall not affect the date of grant of an Option; however, an Option may not be exercised until a written agreement has been executed by the Company and the Optionee.</w:t>
      </w:r>
    </w:p>
    <w:p>
      <w:pPr>
        <w:spacing w:after="0" w:line="106" w:lineRule="exact"/>
        <w:rPr>
          <w:rFonts w:ascii="Arial" w:cs="Arial" w:eastAsia="Arial" w:hAnsi="Arial"/>
          <w:sz w:val="16"/>
          <w:szCs w:val="16"/>
          <w:color w:val="auto"/>
        </w:rPr>
      </w:pPr>
    </w:p>
    <w:p>
      <w:pPr>
        <w:ind w:left="-20" w:right="80" w:firstLine="464"/>
        <w:spacing w:after="0" w:line="259" w:lineRule="auto"/>
        <w:tabs>
          <w:tab w:leader="none" w:pos="700" w:val="left"/>
        </w:tabs>
        <w:numPr>
          <w:ilvl w:val="0"/>
          <w:numId w:val="33"/>
        </w:numPr>
        <w:rPr>
          <w:rFonts w:ascii="Arial" w:cs="Arial" w:eastAsia="Arial" w:hAnsi="Arial"/>
          <w:sz w:val="18"/>
          <w:szCs w:val="18"/>
          <w:color w:val="auto"/>
        </w:rPr>
      </w:pPr>
      <w:r>
        <w:rPr>
          <w:rFonts w:ascii="Arial" w:cs="Arial" w:eastAsia="Arial" w:hAnsi="Arial"/>
          <w:sz w:val="18"/>
          <w:szCs w:val="18"/>
          <w:u w:val="single" w:color="auto"/>
          <w:color w:val="auto"/>
        </w:rPr>
        <w:t>Shareholder Approval</w:t>
      </w:r>
      <w:r>
        <w:rPr>
          <w:rFonts w:ascii="Arial" w:cs="Arial" w:eastAsia="Arial" w:hAnsi="Arial"/>
          <w:sz w:val="18"/>
          <w:szCs w:val="18"/>
          <w:color w:val="auto"/>
        </w:rPr>
        <w:t>. This Plan is subject to approval by the shareholders of the Company within 12 months after the Board initially adopts this Plan. Shareholder approval shall be obtained in the degree and manner required under applicable state and federal law and the rules of any stock exchange or national market system upon which the Common Stock is listed.</w:t>
      </w:r>
    </w:p>
    <w:p>
      <w:pPr>
        <w:spacing w:after="0" w:line="140" w:lineRule="exact"/>
        <w:rPr>
          <w:rFonts w:ascii="Arial" w:cs="Arial" w:eastAsia="Arial" w:hAnsi="Arial"/>
          <w:sz w:val="18"/>
          <w:szCs w:val="18"/>
          <w:color w:val="auto"/>
        </w:rPr>
      </w:pPr>
    </w:p>
    <w:p>
      <w:pPr>
        <w:jc w:val="both"/>
        <w:ind w:left="-20" w:right="200" w:firstLine="464"/>
        <w:spacing w:after="0" w:line="259" w:lineRule="auto"/>
        <w:tabs>
          <w:tab w:leader="none" w:pos="700" w:val="left"/>
        </w:tabs>
        <w:numPr>
          <w:ilvl w:val="0"/>
          <w:numId w:val="33"/>
        </w:numPr>
        <w:rPr>
          <w:rFonts w:ascii="Arial" w:cs="Arial" w:eastAsia="Arial" w:hAnsi="Arial"/>
          <w:sz w:val="18"/>
          <w:szCs w:val="18"/>
          <w:color w:val="auto"/>
        </w:rPr>
      </w:pPr>
      <w:r>
        <w:rPr>
          <w:rFonts w:ascii="Arial" w:cs="Arial" w:eastAsia="Arial" w:hAnsi="Arial"/>
          <w:sz w:val="18"/>
          <w:szCs w:val="18"/>
          <w:u w:val="single" w:color="auto"/>
          <w:color w:val="auto"/>
        </w:rPr>
        <w:t>No Employment Rights</w:t>
      </w:r>
      <w:r>
        <w:rPr>
          <w:rFonts w:ascii="Arial" w:cs="Arial" w:eastAsia="Arial" w:hAnsi="Arial"/>
          <w:sz w:val="18"/>
          <w:szCs w:val="18"/>
          <w:color w:val="auto"/>
        </w:rPr>
        <w:t>. This Plan does not confer upon any Grantee any right with respect to continuation of employment or consulting relationship with the Company, nor shall it interfere in any way with the Company’s right to terminate his or her employment or consulting relationship at any time, with or without cause.</w:t>
      </w:r>
    </w:p>
    <w:p>
      <w:pPr>
        <w:spacing w:after="0" w:line="140" w:lineRule="exact"/>
        <w:rPr>
          <w:rFonts w:ascii="Arial" w:cs="Arial" w:eastAsia="Arial" w:hAnsi="Arial"/>
          <w:sz w:val="18"/>
          <w:szCs w:val="18"/>
          <w:color w:val="auto"/>
        </w:rPr>
      </w:pPr>
    </w:p>
    <w:p>
      <w:pPr>
        <w:ind w:left="-20" w:right="120" w:firstLine="464"/>
        <w:spacing w:after="0" w:line="298" w:lineRule="auto"/>
        <w:tabs>
          <w:tab w:leader="none" w:pos="700" w:val="left"/>
        </w:tabs>
        <w:numPr>
          <w:ilvl w:val="0"/>
          <w:numId w:val="33"/>
        </w:numPr>
        <w:rPr>
          <w:rFonts w:ascii="Arial" w:cs="Arial" w:eastAsia="Arial" w:hAnsi="Arial"/>
          <w:sz w:val="16"/>
          <w:szCs w:val="16"/>
          <w:color w:val="auto"/>
        </w:rPr>
      </w:pPr>
      <w:r>
        <w:rPr>
          <w:rFonts w:ascii="Arial" w:cs="Arial" w:eastAsia="Arial" w:hAnsi="Arial"/>
          <w:sz w:val="16"/>
          <w:szCs w:val="16"/>
          <w:u w:val="single" w:color="auto"/>
          <w:color w:val="auto"/>
        </w:rPr>
        <w:t>Term of Plan</w:t>
      </w:r>
      <w:r>
        <w:rPr>
          <w:rFonts w:ascii="Arial" w:cs="Arial" w:eastAsia="Arial" w:hAnsi="Arial"/>
          <w:sz w:val="16"/>
          <w:szCs w:val="16"/>
          <w:color w:val="auto"/>
        </w:rPr>
        <w:t>. This Plan shall become effective upon the earlier to occur of the initial adoption by the Board or initial approval by the shareholders of the Company, as described in Section 18. It shall continue in effect until terminated by the Board pursuant to Section 15, except that no ISOs shall be granted on or after the 10th anniversary of the later of (a) the date when the Board adopted the Plan or (b) the date when the Board adopted the most recent increase in the number of Shares available under Section 3 that was approved by the shareholders of the Company.</w:t>
      </w:r>
    </w:p>
    <w:p>
      <w:pPr>
        <w:spacing w:after="0" w:line="112" w:lineRule="exact"/>
        <w:rPr>
          <w:rFonts w:ascii="Arial" w:cs="Arial" w:eastAsia="Arial" w:hAnsi="Arial"/>
          <w:sz w:val="16"/>
          <w:szCs w:val="16"/>
          <w:color w:val="auto"/>
        </w:rPr>
      </w:pPr>
    </w:p>
    <w:p>
      <w:pPr>
        <w:ind w:left="700" w:hanging="256"/>
        <w:spacing w:after="0"/>
        <w:tabs>
          <w:tab w:leader="none" w:pos="700" w:val="left"/>
        </w:tabs>
        <w:numPr>
          <w:ilvl w:val="0"/>
          <w:numId w:val="33"/>
        </w:numPr>
        <w:rPr>
          <w:rFonts w:ascii="Arial" w:cs="Arial" w:eastAsia="Arial" w:hAnsi="Arial"/>
          <w:sz w:val="18"/>
          <w:szCs w:val="18"/>
          <w:color w:val="auto"/>
        </w:rPr>
      </w:pPr>
      <w:r>
        <w:rPr>
          <w:rFonts w:ascii="Arial" w:cs="Arial" w:eastAsia="Arial" w:hAnsi="Arial"/>
          <w:sz w:val="18"/>
          <w:szCs w:val="18"/>
          <w:u w:val="single" w:color="auto"/>
          <w:color w:val="auto"/>
        </w:rPr>
        <w:t>Glossary</w:t>
      </w:r>
      <w:r>
        <w:rPr>
          <w:rFonts w:ascii="Arial" w:cs="Arial" w:eastAsia="Arial" w:hAnsi="Arial"/>
          <w:sz w:val="18"/>
          <w:szCs w:val="18"/>
          <w:color w:val="auto"/>
        </w:rPr>
        <w:t>. The following definitions apply for purposes of this Plan:</w:t>
      </w:r>
    </w:p>
    <w:p>
      <w:pPr>
        <w:spacing w:after="0" w:line="90" w:lineRule="exact"/>
        <w:rPr>
          <w:sz w:val="20"/>
          <w:szCs w:val="20"/>
          <w:color w:val="auto"/>
        </w:rPr>
      </w:pPr>
    </w:p>
    <w:p>
      <w:pPr>
        <w:ind w:left="680" w:hanging="236"/>
        <w:spacing w:after="0"/>
        <w:tabs>
          <w:tab w:leader="none" w:pos="680" w:val="left"/>
        </w:tabs>
        <w:numPr>
          <w:ilvl w:val="0"/>
          <w:numId w:val="34"/>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Administrator</w:t>
      </w:r>
      <w:r>
        <w:rPr>
          <w:rFonts w:ascii="Arial" w:cs="Arial" w:eastAsia="Arial" w:hAnsi="Arial"/>
          <w:sz w:val="18"/>
          <w:szCs w:val="18"/>
          <w:color w:val="auto"/>
        </w:rPr>
        <w:t>” means the Board or a committee appointed by the Board under Section 4.</w:t>
      </w:r>
    </w:p>
    <w:p>
      <w:pPr>
        <w:spacing w:after="0" w:line="90" w:lineRule="exact"/>
        <w:rPr>
          <w:rFonts w:ascii="Arial" w:cs="Arial" w:eastAsia="Arial" w:hAnsi="Arial"/>
          <w:sz w:val="18"/>
          <w:szCs w:val="18"/>
          <w:color w:val="auto"/>
        </w:rPr>
      </w:pPr>
    </w:p>
    <w:p>
      <w:pPr>
        <w:ind w:left="-20" w:right="380" w:firstLine="464"/>
        <w:spacing w:after="0" w:line="268" w:lineRule="auto"/>
        <w:tabs>
          <w:tab w:leader="none" w:pos="685" w:val="left"/>
        </w:tabs>
        <w:numPr>
          <w:ilvl w:val="0"/>
          <w:numId w:val="34"/>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Award</w:t>
      </w:r>
      <w:r>
        <w:rPr>
          <w:rFonts w:ascii="Arial" w:cs="Arial" w:eastAsia="Arial" w:hAnsi="Arial"/>
          <w:sz w:val="18"/>
          <w:szCs w:val="18"/>
          <w:color w:val="auto"/>
        </w:rPr>
        <w:t>” means any stock option, stock appreciation right, stock award, stock units award, performance award, or other stock-based award granted under the Plan.</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380"/>
          </w:cols>
          <w:pgMar w:left="260" w:top="280" w:right="259" w:bottom="1440" w:gutter="0" w:footer="0" w:header="0"/>
        </w:sectPr>
      </w:pPr>
    </w:p>
    <w:bookmarkStart w:id="59" w:name="page60"/>
    <w:bookmarkEnd w:id="59"/>
    <w:p>
      <w:pPr>
        <w:ind w:left="700" w:hanging="236"/>
        <w:spacing w:after="0"/>
        <w:tabs>
          <w:tab w:leader="none" w:pos="700" w:val="left"/>
        </w:tabs>
        <w:numPr>
          <w:ilvl w:val="0"/>
          <w:numId w:val="3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8"/>
          <w:szCs w:val="18"/>
          <w:u w:val="single" w:color="auto"/>
          <w:color w:val="auto"/>
        </w:rPr>
        <w:t>Board</w:t>
      </w:r>
      <w:r>
        <w:rPr>
          <w:rFonts w:ascii="Arial" w:cs="Arial" w:eastAsia="Arial" w:hAnsi="Arial"/>
          <w:sz w:val="18"/>
          <w:szCs w:val="18"/>
          <w:color w:val="auto"/>
        </w:rPr>
        <w:t>” means the Board of Directors of the Company.</w:t>
      </w:r>
    </w:p>
    <w:p>
      <w:pPr>
        <w:spacing w:after="0" w:line="90" w:lineRule="exact"/>
        <w:rPr>
          <w:rFonts w:ascii="Arial" w:cs="Arial" w:eastAsia="Arial" w:hAnsi="Arial"/>
          <w:sz w:val="18"/>
          <w:szCs w:val="18"/>
          <w:color w:val="auto"/>
        </w:rPr>
      </w:pPr>
    </w:p>
    <w:p>
      <w:pPr>
        <w:ind w:left="720" w:hanging="256"/>
        <w:spacing w:after="0"/>
        <w:tabs>
          <w:tab w:leader="none" w:pos="720" w:val="left"/>
        </w:tabs>
        <w:numPr>
          <w:ilvl w:val="0"/>
          <w:numId w:val="3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Change in Control</w:t>
      </w:r>
      <w:r>
        <w:rPr>
          <w:rFonts w:ascii="Arial" w:cs="Arial" w:eastAsia="Arial" w:hAnsi="Arial"/>
          <w:sz w:val="18"/>
          <w:szCs w:val="18"/>
          <w:color w:val="auto"/>
        </w:rPr>
        <w:t>” means a change in ownership or control of the Company by any of:</w:t>
      </w:r>
    </w:p>
    <w:p>
      <w:pPr>
        <w:spacing w:after="0" w:line="90" w:lineRule="exact"/>
        <w:rPr>
          <w:rFonts w:ascii="Arial" w:cs="Arial" w:eastAsia="Arial" w:hAnsi="Arial"/>
          <w:sz w:val="18"/>
          <w:szCs w:val="18"/>
          <w:color w:val="auto"/>
        </w:rPr>
      </w:pPr>
    </w:p>
    <w:p>
      <w:pPr>
        <w:ind w:left="460" w:right="540" w:firstLine="443"/>
        <w:spacing w:after="0" w:line="268" w:lineRule="auto"/>
        <w:tabs>
          <w:tab w:leader="none" w:pos="1108" w:val="left"/>
        </w:tabs>
        <w:numPr>
          <w:ilvl w:val="1"/>
          <w:numId w:val="35"/>
        </w:numPr>
        <w:rPr>
          <w:rFonts w:ascii="Arial" w:cs="Arial" w:eastAsia="Arial" w:hAnsi="Arial"/>
          <w:sz w:val="18"/>
          <w:szCs w:val="18"/>
          <w:color w:val="auto"/>
        </w:rPr>
      </w:pPr>
      <w:r>
        <w:rPr>
          <w:rFonts w:ascii="Arial" w:cs="Arial" w:eastAsia="Arial" w:hAnsi="Arial"/>
          <w:sz w:val="18"/>
          <w:szCs w:val="18"/>
          <w:color w:val="auto"/>
        </w:rPr>
        <w:t>a merger or consolidation in which the holders of stock possessing a majority of the voting power in the surviving entity (or a parent of the surviving entity) did not own a majority of the Common Stock immediately before the transaction;</w:t>
      </w:r>
    </w:p>
    <w:p>
      <w:pPr>
        <w:spacing w:after="0" w:line="50" w:lineRule="exact"/>
        <w:rPr>
          <w:rFonts w:ascii="Arial" w:cs="Arial" w:eastAsia="Arial" w:hAnsi="Arial"/>
          <w:sz w:val="18"/>
          <w:szCs w:val="18"/>
          <w:color w:val="auto"/>
        </w:rPr>
      </w:pPr>
    </w:p>
    <w:p>
      <w:pPr>
        <w:ind w:left="1160" w:hanging="257"/>
        <w:spacing w:after="0"/>
        <w:tabs>
          <w:tab w:leader="none" w:pos="1160" w:val="left"/>
        </w:tabs>
        <w:numPr>
          <w:ilvl w:val="1"/>
          <w:numId w:val="35"/>
        </w:numPr>
        <w:rPr>
          <w:rFonts w:ascii="Arial" w:cs="Arial" w:eastAsia="Arial" w:hAnsi="Arial"/>
          <w:sz w:val="18"/>
          <w:szCs w:val="18"/>
          <w:color w:val="auto"/>
        </w:rPr>
      </w:pPr>
      <w:r>
        <w:rPr>
          <w:rFonts w:ascii="Arial" w:cs="Arial" w:eastAsia="Arial" w:hAnsi="Arial"/>
          <w:sz w:val="18"/>
          <w:szCs w:val="18"/>
          <w:color w:val="auto"/>
        </w:rPr>
        <w:t>the sale of all or substantially all of the Company’s assets to any other person or entity (other than a Subsidiary);</w:t>
      </w:r>
    </w:p>
    <w:p>
      <w:pPr>
        <w:spacing w:after="0" w:line="90" w:lineRule="exact"/>
        <w:rPr>
          <w:rFonts w:ascii="Arial" w:cs="Arial" w:eastAsia="Arial" w:hAnsi="Arial"/>
          <w:sz w:val="18"/>
          <w:szCs w:val="18"/>
          <w:color w:val="auto"/>
        </w:rPr>
      </w:pPr>
    </w:p>
    <w:p>
      <w:pPr>
        <w:ind w:left="1200" w:hanging="297"/>
        <w:spacing w:after="0"/>
        <w:tabs>
          <w:tab w:leader="none" w:pos="1200" w:val="left"/>
        </w:tabs>
        <w:numPr>
          <w:ilvl w:val="1"/>
          <w:numId w:val="35"/>
        </w:numPr>
        <w:rPr>
          <w:rFonts w:ascii="Arial" w:cs="Arial" w:eastAsia="Arial" w:hAnsi="Arial"/>
          <w:sz w:val="18"/>
          <w:szCs w:val="18"/>
          <w:color w:val="auto"/>
        </w:rPr>
      </w:pPr>
      <w:r>
        <w:rPr>
          <w:rFonts w:ascii="Arial" w:cs="Arial" w:eastAsia="Arial" w:hAnsi="Arial"/>
          <w:sz w:val="18"/>
          <w:szCs w:val="18"/>
          <w:color w:val="auto"/>
        </w:rPr>
        <w:t>the liquidation or dissolution of the Company;</w:t>
      </w:r>
    </w:p>
    <w:p>
      <w:pPr>
        <w:spacing w:after="0" w:line="90" w:lineRule="exact"/>
        <w:rPr>
          <w:rFonts w:ascii="Arial" w:cs="Arial" w:eastAsia="Arial" w:hAnsi="Arial"/>
          <w:sz w:val="18"/>
          <w:szCs w:val="18"/>
          <w:color w:val="auto"/>
        </w:rPr>
      </w:pPr>
    </w:p>
    <w:p>
      <w:pPr>
        <w:ind w:left="460" w:right="80" w:firstLine="443"/>
        <w:spacing w:after="0" w:line="306" w:lineRule="auto"/>
        <w:tabs>
          <w:tab w:leader="none" w:pos="1196" w:val="left"/>
        </w:tabs>
        <w:numPr>
          <w:ilvl w:val="1"/>
          <w:numId w:val="35"/>
        </w:numPr>
        <w:rPr>
          <w:rFonts w:ascii="Arial" w:cs="Arial" w:eastAsia="Arial" w:hAnsi="Arial"/>
          <w:sz w:val="16"/>
          <w:szCs w:val="16"/>
          <w:color w:val="auto"/>
        </w:rPr>
      </w:pPr>
      <w:r>
        <w:rPr>
          <w:rFonts w:ascii="Arial" w:cs="Arial" w:eastAsia="Arial" w:hAnsi="Arial"/>
          <w:sz w:val="16"/>
          <w:szCs w:val="16"/>
          <w:color w:val="auto"/>
        </w:rPr>
        <w:t>the direct or indirect acquisition by any person or related group of persons of beneficial ownership (within the meaning of Rule 13d-3 of the Exchange Act) of securities possessing more than 50% of the total combined voting power of the Company’s outstanding securities pursuant to a tender or exchange offer made directly to the Company’s shareholders that the Board does not recommend that the shareholders accept, or</w:t>
      </w:r>
    </w:p>
    <w:p>
      <w:pPr>
        <w:spacing w:after="0" w:line="25" w:lineRule="exact"/>
        <w:rPr>
          <w:rFonts w:ascii="Arial" w:cs="Arial" w:eastAsia="Arial" w:hAnsi="Arial"/>
          <w:sz w:val="16"/>
          <w:szCs w:val="16"/>
          <w:color w:val="auto"/>
        </w:rPr>
      </w:pPr>
    </w:p>
    <w:p>
      <w:pPr>
        <w:ind w:left="460" w:right="100" w:firstLine="443"/>
        <w:spacing w:after="0" w:line="298" w:lineRule="auto"/>
        <w:tabs>
          <w:tab w:leader="none" w:pos="1147" w:val="left"/>
        </w:tabs>
        <w:numPr>
          <w:ilvl w:val="1"/>
          <w:numId w:val="35"/>
        </w:numPr>
        <w:rPr>
          <w:rFonts w:ascii="Arial" w:cs="Arial" w:eastAsia="Arial" w:hAnsi="Arial"/>
          <w:sz w:val="16"/>
          <w:szCs w:val="16"/>
          <w:color w:val="auto"/>
        </w:rPr>
      </w:pPr>
      <w:r>
        <w:rPr>
          <w:rFonts w:ascii="Arial" w:cs="Arial" w:eastAsia="Arial" w:hAnsi="Arial"/>
          <w:sz w:val="16"/>
          <w:szCs w:val="16"/>
          <w:color w:val="auto"/>
        </w:rPr>
        <w:t>a change in composition of the Board over a period of 36 consecutive months such that a majority of the Board ceases, by reason of one or more contested elections for Board membership, to be composed of individuals who either (A) have been Board members continuously since the beginning of that period or (B) have been elected or nominated for election as Board members during that period by at least a majority of the Board members described in clause (A) who were in office when the Board approved the election or nomination.</w:t>
      </w:r>
    </w:p>
    <w:p>
      <w:pPr>
        <w:spacing w:after="0" w:line="31" w:lineRule="exact"/>
        <w:rPr>
          <w:rFonts w:ascii="Arial" w:cs="Arial" w:eastAsia="Arial" w:hAnsi="Arial"/>
          <w:sz w:val="16"/>
          <w:szCs w:val="16"/>
          <w:color w:val="auto"/>
        </w:rPr>
      </w:pPr>
    </w:p>
    <w:p>
      <w:pPr>
        <w:ind w:left="700" w:hanging="236"/>
        <w:spacing w:after="0"/>
        <w:tabs>
          <w:tab w:leader="none" w:pos="700" w:val="left"/>
        </w:tabs>
        <w:numPr>
          <w:ilvl w:val="0"/>
          <w:numId w:val="3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means the Internal Revenue Code of 1986, as amended.</w:t>
      </w:r>
    </w:p>
    <w:p>
      <w:pPr>
        <w:spacing w:after="0" w:line="90" w:lineRule="exact"/>
        <w:rPr>
          <w:rFonts w:ascii="Arial" w:cs="Arial" w:eastAsia="Arial" w:hAnsi="Arial"/>
          <w:sz w:val="18"/>
          <w:szCs w:val="18"/>
          <w:color w:val="auto"/>
        </w:rPr>
      </w:pPr>
    </w:p>
    <w:p>
      <w:pPr>
        <w:ind w:left="680" w:hanging="216"/>
        <w:spacing w:after="0"/>
        <w:tabs>
          <w:tab w:leader="none" w:pos="680" w:val="left"/>
        </w:tabs>
        <w:numPr>
          <w:ilvl w:val="0"/>
          <w:numId w:val="35"/>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Committee</w:t>
      </w:r>
      <w:r>
        <w:rPr>
          <w:rFonts w:ascii="Arial" w:cs="Arial" w:eastAsia="Arial" w:hAnsi="Arial"/>
          <w:sz w:val="16"/>
          <w:szCs w:val="16"/>
          <w:color w:val="auto"/>
        </w:rPr>
        <w:t>” means the committee designated by the Board of Directors, which is authorized to administer the Plan, as described in Section 4 hereof.</w:t>
      </w:r>
    </w:p>
    <w:p>
      <w:pPr>
        <w:spacing w:after="0" w:line="113" w:lineRule="exact"/>
        <w:rPr>
          <w:rFonts w:ascii="Arial" w:cs="Arial" w:eastAsia="Arial" w:hAnsi="Arial"/>
          <w:sz w:val="16"/>
          <w:szCs w:val="16"/>
          <w:color w:val="auto"/>
        </w:rPr>
      </w:pPr>
    </w:p>
    <w:p>
      <w:pPr>
        <w:ind w:left="720" w:hanging="256"/>
        <w:spacing w:after="0"/>
        <w:tabs>
          <w:tab w:leader="none" w:pos="720" w:val="left"/>
        </w:tabs>
        <w:numPr>
          <w:ilvl w:val="0"/>
          <w:numId w:val="3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Common Stock</w:t>
      </w:r>
      <w:r>
        <w:rPr>
          <w:rFonts w:ascii="Arial" w:cs="Arial" w:eastAsia="Arial" w:hAnsi="Arial"/>
          <w:sz w:val="18"/>
          <w:szCs w:val="18"/>
          <w:color w:val="auto"/>
        </w:rPr>
        <w:t>” means the common stock of the Company.</w:t>
      </w:r>
    </w:p>
    <w:p>
      <w:pPr>
        <w:spacing w:after="0" w:line="90" w:lineRule="exact"/>
        <w:rPr>
          <w:rFonts w:ascii="Arial" w:cs="Arial" w:eastAsia="Arial" w:hAnsi="Arial"/>
          <w:sz w:val="18"/>
          <w:szCs w:val="18"/>
          <w:color w:val="auto"/>
        </w:rPr>
      </w:pPr>
    </w:p>
    <w:p>
      <w:pPr>
        <w:ind w:left="720" w:hanging="256"/>
        <w:spacing w:after="0"/>
        <w:tabs>
          <w:tab w:leader="none" w:pos="720" w:val="left"/>
        </w:tabs>
        <w:numPr>
          <w:ilvl w:val="0"/>
          <w:numId w:val="3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means Marvell Technology Group Ltd., a Bermuda corporation.</w:t>
      </w:r>
    </w:p>
    <w:p>
      <w:pPr>
        <w:spacing w:after="0" w:line="90" w:lineRule="exact"/>
        <w:rPr>
          <w:rFonts w:ascii="Arial" w:cs="Arial" w:eastAsia="Arial" w:hAnsi="Arial"/>
          <w:sz w:val="18"/>
          <w:szCs w:val="18"/>
          <w:color w:val="auto"/>
        </w:rPr>
      </w:pPr>
    </w:p>
    <w:p>
      <w:pPr>
        <w:ind w:left="680" w:hanging="216"/>
        <w:spacing w:after="0"/>
        <w:tabs>
          <w:tab w:leader="none" w:pos="680" w:val="left"/>
        </w:tabs>
        <w:numPr>
          <w:ilvl w:val="0"/>
          <w:numId w:val="35"/>
        </w:numPr>
        <w:rPr>
          <w:rFonts w:ascii="Arial" w:cs="Arial" w:eastAsia="Arial" w:hAnsi="Arial"/>
          <w:sz w:val="15"/>
          <w:szCs w:val="15"/>
          <w:color w:val="auto"/>
        </w:rPr>
      </w:pPr>
      <w:r>
        <w:rPr>
          <w:rFonts w:ascii="Arial" w:cs="Arial" w:eastAsia="Arial" w:hAnsi="Arial"/>
          <w:sz w:val="15"/>
          <w:szCs w:val="15"/>
          <w:color w:val="auto"/>
        </w:rPr>
        <w:t>“</w:t>
      </w:r>
      <w:r>
        <w:rPr>
          <w:rFonts w:ascii="Arial" w:cs="Arial" w:eastAsia="Arial" w:hAnsi="Arial"/>
          <w:sz w:val="15"/>
          <w:szCs w:val="15"/>
          <w:u w:val="single" w:color="auto"/>
          <w:color w:val="auto"/>
        </w:rPr>
        <w:t>Consultant</w:t>
      </w:r>
      <w:r>
        <w:rPr>
          <w:rFonts w:ascii="Arial" w:cs="Arial" w:eastAsia="Arial" w:hAnsi="Arial"/>
          <w:sz w:val="15"/>
          <w:szCs w:val="15"/>
          <w:color w:val="auto"/>
        </w:rPr>
        <w:t>” means any person, other than an Employee, who is engaged by the Company or any Parent or Subsidiary to perform consulting or advisory</w:t>
      </w:r>
    </w:p>
    <w:p>
      <w:pPr>
        <w:spacing w:after="0" w:line="49" w:lineRule="exact"/>
        <w:rPr>
          <w:rFonts w:ascii="Arial" w:cs="Arial" w:eastAsia="Arial" w:hAnsi="Arial"/>
          <w:sz w:val="15"/>
          <w:szCs w:val="15"/>
          <w:color w:val="auto"/>
        </w:rPr>
      </w:pPr>
    </w:p>
    <w:p>
      <w:pPr>
        <w:spacing w:after="0"/>
        <w:rPr>
          <w:rFonts w:ascii="Arial" w:cs="Arial" w:eastAsia="Arial" w:hAnsi="Arial"/>
          <w:sz w:val="15"/>
          <w:szCs w:val="15"/>
          <w:color w:val="auto"/>
        </w:rPr>
      </w:pPr>
      <w:r>
        <w:rPr>
          <w:rFonts w:ascii="Arial" w:cs="Arial" w:eastAsia="Arial" w:hAnsi="Arial"/>
          <w:sz w:val="18"/>
          <w:szCs w:val="18"/>
          <w:color w:val="auto"/>
        </w:rPr>
        <w:t>services.</w:t>
      </w:r>
    </w:p>
    <w:p>
      <w:pPr>
        <w:spacing w:after="0" w:line="83" w:lineRule="exact"/>
        <w:rPr>
          <w:rFonts w:ascii="Arial" w:cs="Arial" w:eastAsia="Arial" w:hAnsi="Arial"/>
          <w:sz w:val="15"/>
          <w:szCs w:val="15"/>
          <w:color w:val="auto"/>
        </w:rPr>
      </w:pPr>
    </w:p>
    <w:p>
      <w:pPr>
        <w:ind w:right="60" w:firstLine="464"/>
        <w:spacing w:after="0" w:line="256" w:lineRule="auto"/>
        <w:tabs>
          <w:tab w:leader="none" w:pos="666" w:val="left"/>
        </w:tabs>
        <w:numPr>
          <w:ilvl w:val="0"/>
          <w:numId w:val="3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Continuous Service</w:t>
      </w:r>
      <w:r>
        <w:rPr>
          <w:rFonts w:ascii="Arial" w:cs="Arial" w:eastAsia="Arial" w:hAnsi="Arial"/>
          <w:sz w:val="18"/>
          <w:szCs w:val="18"/>
          <w:color w:val="auto"/>
        </w:rPr>
        <w:t>” means that an Optionee’s employment and/or consulting relationship with the Company or a Parent or Subsidiary or service as an Outside Director is not interrupted or terminated. Continuous Service is not interrupted by (i) any leave of absence approved by the Company, (ii) transfers between locations of the Company or between the Company, a Parent, a Subsidiary, or any successor, or (iii) changes in status from Employee to Consultant or Outside Director or from Consultant or Outside Director to Employee.</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00"/>
          </w:cols>
          <w:pgMar w:left="240" w:top="280" w:right="259" w:bottom="1440" w:gutter="0" w:footer="0" w:header="0"/>
        </w:sectPr>
      </w:pPr>
    </w:p>
    <w:bookmarkStart w:id="60" w:name="page61"/>
    <w:bookmarkEnd w:id="60"/>
    <w:p>
      <w:pPr>
        <w:ind w:left="680" w:hanging="256"/>
        <w:spacing w:after="0"/>
        <w:tabs>
          <w:tab w:leader="none" w:pos="680" w:val="left"/>
        </w:tabs>
        <w:numPr>
          <w:ilvl w:val="0"/>
          <w:numId w:val="36"/>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8"/>
          <w:szCs w:val="18"/>
          <w:u w:val="single" w:color="auto"/>
          <w:color w:val="auto"/>
        </w:rPr>
        <w:t>Outside Director</w:t>
      </w:r>
      <w:r>
        <w:rPr>
          <w:rFonts w:ascii="Arial" w:cs="Arial" w:eastAsia="Arial" w:hAnsi="Arial"/>
          <w:sz w:val="18"/>
          <w:szCs w:val="18"/>
          <w:color w:val="auto"/>
        </w:rPr>
        <w:t>” means a member of the Board who is not a common law employee of the Company or a Parent or Subsidiary.</w:t>
      </w:r>
    </w:p>
    <w:p>
      <w:pPr>
        <w:spacing w:after="0" w:line="90" w:lineRule="exact"/>
        <w:rPr>
          <w:rFonts w:ascii="Arial" w:cs="Arial" w:eastAsia="Arial" w:hAnsi="Arial"/>
          <w:sz w:val="18"/>
          <w:szCs w:val="18"/>
          <w:color w:val="auto"/>
        </w:rPr>
      </w:pPr>
    </w:p>
    <w:p>
      <w:pPr>
        <w:ind w:left="640" w:hanging="216"/>
        <w:spacing w:after="0"/>
        <w:tabs>
          <w:tab w:leader="none" w:pos="640" w:val="left"/>
        </w:tabs>
        <w:numPr>
          <w:ilvl w:val="0"/>
          <w:numId w:val="3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Employee</w:t>
      </w:r>
      <w:r>
        <w:rPr>
          <w:rFonts w:ascii="Arial" w:cs="Arial" w:eastAsia="Arial" w:hAnsi="Arial"/>
          <w:sz w:val="18"/>
          <w:szCs w:val="18"/>
          <w:color w:val="auto"/>
        </w:rPr>
        <w:t>” means any person employed by the Company or any Parent or Subsidiary of the Company.</w:t>
      </w:r>
    </w:p>
    <w:p>
      <w:pPr>
        <w:spacing w:after="0" w:line="90" w:lineRule="exact"/>
        <w:rPr>
          <w:rFonts w:ascii="Arial" w:cs="Arial" w:eastAsia="Arial" w:hAnsi="Arial"/>
          <w:sz w:val="18"/>
          <w:szCs w:val="18"/>
          <w:color w:val="auto"/>
        </w:rPr>
      </w:pPr>
    </w:p>
    <w:p>
      <w:pPr>
        <w:ind w:left="720" w:hanging="296"/>
        <w:spacing w:after="0"/>
        <w:tabs>
          <w:tab w:leader="none" w:pos="720" w:val="left"/>
        </w:tabs>
        <w:numPr>
          <w:ilvl w:val="0"/>
          <w:numId w:val="3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Act</w:t>
      </w:r>
      <w:r>
        <w:rPr>
          <w:rFonts w:ascii="Arial" w:cs="Arial" w:eastAsia="Arial" w:hAnsi="Arial"/>
          <w:sz w:val="18"/>
          <w:szCs w:val="18"/>
          <w:color w:val="auto"/>
        </w:rPr>
        <w:t>” means the Securities Exchange Act of 1934, as amended.</w:t>
      </w:r>
    </w:p>
    <w:p>
      <w:pPr>
        <w:spacing w:after="0" w:line="90" w:lineRule="exact"/>
        <w:rPr>
          <w:rFonts w:ascii="Arial" w:cs="Arial" w:eastAsia="Arial" w:hAnsi="Arial"/>
          <w:sz w:val="18"/>
          <w:szCs w:val="18"/>
          <w:color w:val="auto"/>
        </w:rPr>
      </w:pPr>
    </w:p>
    <w:p>
      <w:pPr>
        <w:ind w:left="680" w:hanging="256"/>
        <w:spacing w:after="0"/>
        <w:tabs>
          <w:tab w:leader="none" w:pos="680" w:val="left"/>
        </w:tabs>
        <w:numPr>
          <w:ilvl w:val="0"/>
          <w:numId w:val="3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Fair Market Value</w:t>
      </w:r>
      <w:r>
        <w:rPr>
          <w:rFonts w:ascii="Arial" w:cs="Arial" w:eastAsia="Arial" w:hAnsi="Arial"/>
          <w:sz w:val="18"/>
          <w:szCs w:val="18"/>
          <w:color w:val="auto"/>
        </w:rPr>
        <w:t>” means, as of any date, the value of common Stock determined as follows:</w:t>
      </w:r>
    </w:p>
    <w:p>
      <w:pPr>
        <w:spacing w:after="0" w:line="90" w:lineRule="exact"/>
        <w:rPr>
          <w:rFonts w:ascii="Arial" w:cs="Arial" w:eastAsia="Arial" w:hAnsi="Arial"/>
          <w:sz w:val="18"/>
          <w:szCs w:val="18"/>
          <w:color w:val="auto"/>
        </w:rPr>
      </w:pPr>
    </w:p>
    <w:p>
      <w:pPr>
        <w:ind w:left="420" w:firstLine="443"/>
        <w:spacing w:after="0" w:line="298" w:lineRule="auto"/>
        <w:tabs>
          <w:tab w:leader="none" w:pos="1068" w:val="left"/>
        </w:tabs>
        <w:numPr>
          <w:ilvl w:val="1"/>
          <w:numId w:val="36"/>
        </w:numPr>
        <w:rPr>
          <w:rFonts w:ascii="Arial" w:cs="Arial" w:eastAsia="Arial" w:hAnsi="Arial"/>
          <w:sz w:val="16"/>
          <w:szCs w:val="16"/>
          <w:color w:val="auto"/>
        </w:rPr>
      </w:pPr>
      <w:r>
        <w:rPr>
          <w:rFonts w:ascii="Arial" w:cs="Arial" w:eastAsia="Arial" w:hAnsi="Arial"/>
          <w:sz w:val="16"/>
          <w:szCs w:val="16"/>
          <w:color w:val="auto"/>
        </w:rPr>
        <w:t xml:space="preserve">If the Common Stock is quoted on an established stock exchange or national market system, including without limitation the National Association of Securities Dealers, Inc. Automated Quotation (“NASDAQ”) National Market System, Fair Market Value shall be the closing sales price (or the closing bid, if no sales are reported) as quoted on that exchange or system for the day of the determination, as reported in </w:t>
      </w:r>
      <w:r>
        <w:rPr>
          <w:rFonts w:ascii="Arial" w:cs="Arial" w:eastAsia="Arial" w:hAnsi="Arial"/>
          <w:sz w:val="16"/>
          <w:szCs w:val="16"/>
          <w:i w:val="1"/>
          <w:iCs w:val="1"/>
          <w:color w:val="auto"/>
        </w:rPr>
        <w:t>The Wall Street Journal</w:t>
      </w:r>
      <w:r>
        <w:rPr>
          <w:rFonts w:ascii="Arial" w:cs="Arial" w:eastAsia="Arial" w:hAnsi="Arial"/>
          <w:sz w:val="16"/>
          <w:szCs w:val="16"/>
          <w:color w:val="auto"/>
        </w:rPr>
        <w:t xml:space="preserve"> or an equivalent source, or if the determination date is not a trading day, then on the most recent preceding trading day;</w:t>
      </w:r>
    </w:p>
    <w:p>
      <w:pPr>
        <w:spacing w:after="0" w:line="31" w:lineRule="exact"/>
        <w:rPr>
          <w:rFonts w:ascii="Arial" w:cs="Arial" w:eastAsia="Arial" w:hAnsi="Arial"/>
          <w:sz w:val="16"/>
          <w:szCs w:val="16"/>
          <w:color w:val="auto"/>
        </w:rPr>
      </w:pPr>
    </w:p>
    <w:p>
      <w:pPr>
        <w:ind w:left="420" w:right="140" w:firstLine="443"/>
        <w:spacing w:after="0" w:line="306" w:lineRule="auto"/>
        <w:tabs>
          <w:tab w:leader="none" w:pos="1117" w:val="left"/>
        </w:tabs>
        <w:numPr>
          <w:ilvl w:val="1"/>
          <w:numId w:val="36"/>
        </w:numPr>
        <w:rPr>
          <w:rFonts w:ascii="Arial" w:cs="Arial" w:eastAsia="Arial" w:hAnsi="Arial"/>
          <w:sz w:val="16"/>
          <w:szCs w:val="16"/>
          <w:color w:val="auto"/>
        </w:rPr>
      </w:pPr>
      <w:r>
        <w:rPr>
          <w:rFonts w:ascii="Arial" w:cs="Arial" w:eastAsia="Arial" w:hAnsi="Arial"/>
          <w:sz w:val="16"/>
          <w:szCs w:val="16"/>
          <w:color w:val="auto"/>
        </w:rPr>
        <w:t>If the Common Stock is quoted on NASDAQ (but not on the National Market System) or regularly quoted by a recognized securities dealer but selling prices are not reported, Fair Market Value shall be the mean between the high bid and low asked prices for the Common Stock on the day of the determination, or on the most recent preceding trading day if the determination date is not a trading day; or</w:t>
      </w:r>
    </w:p>
    <w:p>
      <w:pPr>
        <w:spacing w:after="0" w:line="25" w:lineRule="exact"/>
        <w:rPr>
          <w:rFonts w:ascii="Arial" w:cs="Arial" w:eastAsia="Arial" w:hAnsi="Arial"/>
          <w:sz w:val="16"/>
          <w:szCs w:val="16"/>
          <w:color w:val="auto"/>
        </w:rPr>
      </w:pPr>
    </w:p>
    <w:p>
      <w:pPr>
        <w:ind w:left="1160" w:hanging="297"/>
        <w:spacing w:after="0"/>
        <w:tabs>
          <w:tab w:leader="none" w:pos="1160" w:val="left"/>
        </w:tabs>
        <w:numPr>
          <w:ilvl w:val="1"/>
          <w:numId w:val="36"/>
        </w:numPr>
        <w:rPr>
          <w:rFonts w:ascii="Arial" w:cs="Arial" w:eastAsia="Arial" w:hAnsi="Arial"/>
          <w:sz w:val="18"/>
          <w:szCs w:val="18"/>
          <w:color w:val="auto"/>
        </w:rPr>
      </w:pPr>
      <w:r>
        <w:rPr>
          <w:rFonts w:ascii="Arial" w:cs="Arial" w:eastAsia="Arial" w:hAnsi="Arial"/>
          <w:sz w:val="18"/>
          <w:szCs w:val="18"/>
          <w:color w:val="auto"/>
        </w:rPr>
        <w:t>In the absence of an established market for the Common Stock, Fair Market Value shall be determined by the Administrator.</w:t>
      </w:r>
    </w:p>
    <w:p>
      <w:pPr>
        <w:spacing w:after="0" w:line="90" w:lineRule="exact"/>
        <w:rPr>
          <w:rFonts w:ascii="Arial" w:cs="Arial" w:eastAsia="Arial" w:hAnsi="Arial"/>
          <w:sz w:val="18"/>
          <w:szCs w:val="18"/>
          <w:color w:val="auto"/>
        </w:rPr>
      </w:pPr>
    </w:p>
    <w:p>
      <w:pPr>
        <w:ind w:left="-40" w:right="120" w:firstLine="464"/>
        <w:spacing w:after="0" w:line="268" w:lineRule="auto"/>
        <w:tabs>
          <w:tab w:leader="none" w:pos="665" w:val="left"/>
        </w:tabs>
        <w:numPr>
          <w:ilvl w:val="0"/>
          <w:numId w:val="3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Grant Agreement</w:t>
      </w:r>
      <w:r>
        <w:rPr>
          <w:rFonts w:ascii="Arial" w:cs="Arial" w:eastAsia="Arial" w:hAnsi="Arial"/>
          <w:sz w:val="18"/>
          <w:szCs w:val="18"/>
          <w:color w:val="auto"/>
        </w:rPr>
        <w:t>” means a written document memorializing the terms and conditions of an Award granted pursuant to the Plan and shall incorporate the terms of the Plan.</w:t>
      </w:r>
    </w:p>
    <w:p>
      <w:pPr>
        <w:spacing w:after="0" w:line="50" w:lineRule="exact"/>
        <w:rPr>
          <w:rFonts w:ascii="Arial" w:cs="Arial" w:eastAsia="Arial" w:hAnsi="Arial"/>
          <w:sz w:val="18"/>
          <w:szCs w:val="18"/>
          <w:color w:val="auto"/>
        </w:rPr>
      </w:pPr>
    </w:p>
    <w:p>
      <w:pPr>
        <w:ind w:left="680" w:hanging="256"/>
        <w:spacing w:after="0"/>
        <w:tabs>
          <w:tab w:leader="none" w:pos="680" w:val="left"/>
        </w:tabs>
        <w:numPr>
          <w:ilvl w:val="0"/>
          <w:numId w:val="3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Grantee</w:t>
      </w:r>
      <w:r>
        <w:rPr>
          <w:rFonts w:ascii="Arial" w:cs="Arial" w:eastAsia="Arial" w:hAnsi="Arial"/>
          <w:sz w:val="18"/>
          <w:szCs w:val="18"/>
          <w:color w:val="auto"/>
        </w:rPr>
        <w:t>” means the Employee, Consultant or Outside Director who receives an Award.</w:t>
      </w:r>
    </w:p>
    <w:p>
      <w:pPr>
        <w:spacing w:after="0" w:line="90" w:lineRule="exact"/>
        <w:rPr>
          <w:rFonts w:ascii="Arial" w:cs="Arial" w:eastAsia="Arial" w:hAnsi="Arial"/>
          <w:sz w:val="18"/>
          <w:szCs w:val="18"/>
          <w:color w:val="auto"/>
        </w:rPr>
      </w:pPr>
    </w:p>
    <w:p>
      <w:pPr>
        <w:ind w:left="-40" w:right="620" w:firstLine="464"/>
        <w:spacing w:after="0" w:line="268" w:lineRule="auto"/>
        <w:tabs>
          <w:tab w:leader="none" w:pos="665" w:val="left"/>
        </w:tabs>
        <w:numPr>
          <w:ilvl w:val="0"/>
          <w:numId w:val="3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Incentive Stock Option</w:t>
      </w:r>
      <w:r>
        <w:rPr>
          <w:rFonts w:ascii="Arial" w:cs="Arial" w:eastAsia="Arial" w:hAnsi="Arial"/>
          <w:sz w:val="18"/>
          <w:szCs w:val="18"/>
          <w:color w:val="auto"/>
        </w:rPr>
        <w:t>” or “</w:t>
      </w:r>
      <w:r>
        <w:rPr>
          <w:rFonts w:ascii="Arial" w:cs="Arial" w:eastAsia="Arial" w:hAnsi="Arial"/>
          <w:sz w:val="18"/>
          <w:szCs w:val="18"/>
          <w:u w:val="single" w:color="auto"/>
          <w:color w:val="auto"/>
        </w:rPr>
        <w:t>ISO</w:t>
      </w:r>
      <w:r>
        <w:rPr>
          <w:rFonts w:ascii="Arial" w:cs="Arial" w:eastAsia="Arial" w:hAnsi="Arial"/>
          <w:sz w:val="18"/>
          <w:szCs w:val="18"/>
          <w:color w:val="auto"/>
        </w:rPr>
        <w:t>” means an Option intended to qualify as an “incentive stock option” within the meaning of, and to the extent otherwise permitted by, Section 422 of the Code.</w:t>
      </w:r>
    </w:p>
    <w:p>
      <w:pPr>
        <w:spacing w:after="0" w:line="50" w:lineRule="exact"/>
        <w:rPr>
          <w:rFonts w:ascii="Arial" w:cs="Arial" w:eastAsia="Arial" w:hAnsi="Arial"/>
          <w:sz w:val="18"/>
          <w:szCs w:val="18"/>
          <w:color w:val="auto"/>
        </w:rPr>
      </w:pPr>
    </w:p>
    <w:p>
      <w:pPr>
        <w:ind w:left="640" w:hanging="216"/>
        <w:spacing w:after="0"/>
        <w:tabs>
          <w:tab w:leader="none" w:pos="640" w:val="left"/>
        </w:tabs>
        <w:numPr>
          <w:ilvl w:val="0"/>
          <w:numId w:val="3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Nonstatutory Stock Option</w:t>
      </w:r>
      <w:r>
        <w:rPr>
          <w:rFonts w:ascii="Arial" w:cs="Arial" w:eastAsia="Arial" w:hAnsi="Arial"/>
          <w:sz w:val="18"/>
          <w:szCs w:val="18"/>
          <w:color w:val="auto"/>
        </w:rPr>
        <w:t>” or “</w:t>
      </w:r>
      <w:r>
        <w:rPr>
          <w:rFonts w:ascii="Arial" w:cs="Arial" w:eastAsia="Arial" w:hAnsi="Arial"/>
          <w:sz w:val="18"/>
          <w:szCs w:val="18"/>
          <w:u w:val="single" w:color="auto"/>
          <w:color w:val="auto"/>
        </w:rPr>
        <w:t>NSO</w:t>
      </w:r>
      <w:r>
        <w:rPr>
          <w:rFonts w:ascii="Arial" w:cs="Arial" w:eastAsia="Arial" w:hAnsi="Arial"/>
          <w:sz w:val="18"/>
          <w:szCs w:val="18"/>
          <w:color w:val="auto"/>
        </w:rPr>
        <w:t>” means an Option not intended to qualify as an ISO.</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340"/>
          </w:cols>
          <w:pgMar w:left="280" w:top="280" w:right="279" w:bottom="1440" w:gutter="0" w:footer="0" w:header="0"/>
        </w:sectPr>
      </w:pPr>
    </w:p>
    <w:bookmarkStart w:id="61" w:name="page62"/>
    <w:bookmarkEnd w:id="61"/>
    <w:p>
      <w:pPr>
        <w:ind w:left="-464" w:right="100" w:firstLine="464"/>
        <w:spacing w:after="0" w:line="268" w:lineRule="auto"/>
        <w:tabs>
          <w:tab w:leader="none" w:pos="221" w:val="left"/>
        </w:tabs>
        <w:numPr>
          <w:ilvl w:val="0"/>
          <w:numId w:val="3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8"/>
          <w:szCs w:val="18"/>
          <w:u w:val="single" w:color="auto"/>
          <w:color w:val="auto"/>
        </w:rPr>
        <w:t>Officer</w:t>
      </w:r>
      <w:r>
        <w:rPr>
          <w:rFonts w:ascii="Arial" w:cs="Arial" w:eastAsia="Arial" w:hAnsi="Arial"/>
          <w:sz w:val="18"/>
          <w:szCs w:val="18"/>
          <w:color w:val="auto"/>
        </w:rPr>
        <w:t>” means a person who is an officer of the Company within the meaning of Section 16 of the Exchange Act and the rules and regulations promulgated thereunder.</w:t>
      </w:r>
    </w:p>
    <w:p>
      <w:pPr>
        <w:spacing w:after="0" w:line="50" w:lineRule="exact"/>
        <w:rPr>
          <w:rFonts w:ascii="Arial" w:cs="Arial" w:eastAsia="Arial" w:hAnsi="Arial"/>
          <w:sz w:val="18"/>
          <w:szCs w:val="18"/>
          <w:color w:val="auto"/>
        </w:rPr>
      </w:pPr>
    </w:p>
    <w:p>
      <w:pPr>
        <w:ind w:left="216" w:hanging="216"/>
        <w:spacing w:after="0"/>
        <w:tabs>
          <w:tab w:leader="none" w:pos="216" w:val="left"/>
        </w:tabs>
        <w:numPr>
          <w:ilvl w:val="0"/>
          <w:numId w:val="3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Option</w:t>
      </w:r>
      <w:r>
        <w:rPr>
          <w:rFonts w:ascii="Arial" w:cs="Arial" w:eastAsia="Arial" w:hAnsi="Arial"/>
          <w:sz w:val="18"/>
          <w:szCs w:val="18"/>
          <w:color w:val="auto"/>
        </w:rPr>
        <w:t>” means a stock option granted pursuant to this Plan.</w:t>
      </w:r>
    </w:p>
    <w:p>
      <w:pPr>
        <w:spacing w:after="0" w:line="90" w:lineRule="exact"/>
        <w:rPr>
          <w:rFonts w:ascii="Arial" w:cs="Arial" w:eastAsia="Arial" w:hAnsi="Arial"/>
          <w:sz w:val="18"/>
          <w:szCs w:val="18"/>
          <w:color w:val="auto"/>
        </w:rPr>
      </w:pPr>
    </w:p>
    <w:p>
      <w:pPr>
        <w:ind w:left="256" w:hanging="256"/>
        <w:spacing w:after="0"/>
        <w:tabs>
          <w:tab w:leader="none" w:pos="256" w:val="left"/>
        </w:tabs>
        <w:numPr>
          <w:ilvl w:val="0"/>
          <w:numId w:val="3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Optioned Stock</w:t>
      </w:r>
      <w:r>
        <w:rPr>
          <w:rFonts w:ascii="Arial" w:cs="Arial" w:eastAsia="Arial" w:hAnsi="Arial"/>
          <w:sz w:val="18"/>
          <w:szCs w:val="18"/>
          <w:color w:val="auto"/>
        </w:rPr>
        <w:t>” means the Common Stock subject to an Option.</w:t>
      </w:r>
    </w:p>
    <w:p>
      <w:pPr>
        <w:spacing w:after="0" w:line="90" w:lineRule="exact"/>
        <w:rPr>
          <w:rFonts w:ascii="Arial" w:cs="Arial" w:eastAsia="Arial" w:hAnsi="Arial"/>
          <w:sz w:val="18"/>
          <w:szCs w:val="18"/>
          <w:color w:val="auto"/>
        </w:rPr>
      </w:pPr>
    </w:p>
    <w:p>
      <w:pPr>
        <w:ind w:left="-464" w:firstLine="464"/>
        <w:spacing w:after="0" w:line="268" w:lineRule="auto"/>
        <w:tabs>
          <w:tab w:leader="none" w:pos="241" w:val="left"/>
        </w:tabs>
        <w:numPr>
          <w:ilvl w:val="0"/>
          <w:numId w:val="3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Optionee</w:t>
      </w:r>
      <w:r>
        <w:rPr>
          <w:rFonts w:ascii="Arial" w:cs="Arial" w:eastAsia="Arial" w:hAnsi="Arial"/>
          <w:sz w:val="18"/>
          <w:szCs w:val="18"/>
          <w:color w:val="auto"/>
        </w:rPr>
        <w:t>” means the Employee, Consultant or Outside Director who receives an Option and includes any person who owns all or any part of an Option, or who is entitled to exercise an Option, after the death or disability of an Optionee.</w:t>
      </w:r>
    </w:p>
    <w:p>
      <w:pPr>
        <w:spacing w:after="0" w:line="50" w:lineRule="exact"/>
        <w:rPr>
          <w:rFonts w:ascii="Arial" w:cs="Arial" w:eastAsia="Arial" w:hAnsi="Arial"/>
          <w:sz w:val="18"/>
          <w:szCs w:val="18"/>
          <w:color w:val="auto"/>
        </w:rPr>
      </w:pPr>
    </w:p>
    <w:p>
      <w:pPr>
        <w:ind w:left="296" w:hanging="296"/>
        <w:spacing w:after="0"/>
        <w:tabs>
          <w:tab w:leader="none" w:pos="296" w:val="left"/>
        </w:tabs>
        <w:numPr>
          <w:ilvl w:val="0"/>
          <w:numId w:val="3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w:t>
      </w:r>
      <w:r>
        <w:rPr>
          <w:rFonts w:ascii="Arial" w:cs="Arial" w:eastAsia="Arial" w:hAnsi="Arial"/>
          <w:sz w:val="18"/>
          <w:szCs w:val="18"/>
          <w:color w:val="auto"/>
        </w:rPr>
        <w:t>” means a “parent corporation,” present or future, as defined in Section 424(e) of the Code.</w:t>
      </w:r>
    </w:p>
    <w:p>
      <w:pPr>
        <w:spacing w:after="0" w:line="90" w:lineRule="exact"/>
        <w:rPr>
          <w:rFonts w:ascii="Arial" w:cs="Arial" w:eastAsia="Arial" w:hAnsi="Arial"/>
          <w:sz w:val="18"/>
          <w:szCs w:val="18"/>
          <w:color w:val="auto"/>
        </w:rPr>
      </w:pPr>
    </w:p>
    <w:p>
      <w:pPr>
        <w:ind w:left="256" w:hanging="256"/>
        <w:spacing w:after="0"/>
        <w:tabs>
          <w:tab w:leader="none" w:pos="256" w:val="left"/>
        </w:tabs>
        <w:numPr>
          <w:ilvl w:val="0"/>
          <w:numId w:val="3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Plan</w:t>
      </w:r>
      <w:r>
        <w:rPr>
          <w:rFonts w:ascii="Arial" w:cs="Arial" w:eastAsia="Arial" w:hAnsi="Arial"/>
          <w:sz w:val="18"/>
          <w:szCs w:val="18"/>
          <w:color w:val="auto"/>
        </w:rPr>
        <w:t>” means this Amended and Restated 1995 Marvell Technology Group Ltd. Stock Option Plan.</w:t>
      </w:r>
    </w:p>
    <w:p>
      <w:pPr>
        <w:spacing w:after="0" w:line="90" w:lineRule="exact"/>
        <w:rPr>
          <w:rFonts w:ascii="Arial" w:cs="Arial" w:eastAsia="Arial" w:hAnsi="Arial"/>
          <w:sz w:val="18"/>
          <w:szCs w:val="18"/>
          <w:color w:val="auto"/>
        </w:rPr>
      </w:pPr>
    </w:p>
    <w:p>
      <w:pPr>
        <w:ind w:left="256" w:hanging="256"/>
        <w:spacing w:after="0"/>
        <w:tabs>
          <w:tab w:leader="none" w:pos="256" w:val="left"/>
        </w:tabs>
        <w:numPr>
          <w:ilvl w:val="0"/>
          <w:numId w:val="3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Share</w:t>
      </w:r>
      <w:r>
        <w:rPr>
          <w:rFonts w:ascii="Arial" w:cs="Arial" w:eastAsia="Arial" w:hAnsi="Arial"/>
          <w:sz w:val="18"/>
          <w:szCs w:val="18"/>
          <w:color w:val="auto"/>
        </w:rPr>
        <w:t>” means a share of the Common Stock, as adjusted in accordance with Section 14(a).</w:t>
      </w:r>
    </w:p>
    <w:p>
      <w:pPr>
        <w:spacing w:after="0" w:line="90" w:lineRule="exact"/>
        <w:rPr>
          <w:rFonts w:ascii="Arial" w:cs="Arial" w:eastAsia="Arial" w:hAnsi="Arial"/>
          <w:sz w:val="18"/>
          <w:szCs w:val="18"/>
          <w:color w:val="auto"/>
        </w:rPr>
      </w:pPr>
    </w:p>
    <w:p>
      <w:pPr>
        <w:ind w:left="236" w:hanging="236"/>
        <w:spacing w:after="0"/>
        <w:tabs>
          <w:tab w:leader="none" w:pos="236" w:val="left"/>
        </w:tabs>
        <w:numPr>
          <w:ilvl w:val="0"/>
          <w:numId w:val="3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Subsidiary</w:t>
      </w:r>
      <w:r>
        <w:rPr>
          <w:rFonts w:ascii="Arial" w:cs="Arial" w:eastAsia="Arial" w:hAnsi="Arial"/>
          <w:sz w:val="18"/>
          <w:szCs w:val="18"/>
          <w:color w:val="auto"/>
        </w:rPr>
        <w:t>” means a “subsidiary corporation,” present or future, as defined in Section 424(f) of the Code.</w:t>
      </w:r>
    </w:p>
    <w:p>
      <w:pPr>
        <w:spacing w:after="0" w:line="158" w:lineRule="exact"/>
        <w:rPr>
          <w:sz w:val="20"/>
          <w:szCs w:val="20"/>
          <w:color w:val="auto"/>
        </w:rPr>
      </w:pPr>
    </w:p>
    <w:p>
      <w:pPr>
        <w:jc w:val="center"/>
        <w:ind w:right="-55"/>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0436"/>
          </w:cols>
          <w:pgMar w:left="704" w:top="280" w:right="759" w:bottom="1440" w:gutter="0" w:footer="0" w:header="0"/>
        </w:sectPr>
      </w:pPr>
    </w:p>
    <w:bookmarkStart w:id="62" w:name="page63"/>
    <w:bookmarkEnd w:id="62"/>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APPENDIX TO THE AMENDED AND</w:t>
      </w:r>
    </w:p>
    <w:p>
      <w:pPr>
        <w:spacing w:after="0" w:line="21"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RESTATED 1995 STOCK OPTION PLAN</w:t>
      </w:r>
    </w:p>
    <w:p>
      <w:pPr>
        <w:spacing w:after="0" w:line="9"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Of MARVELL TECHNOLOGY GROUP LTD.</w:t>
      </w:r>
    </w:p>
    <w:p>
      <w:pPr>
        <w:spacing w:after="0" w:line="9"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IN RESPECT OF ISRAELI EMPLOYEES</w:t>
      </w:r>
    </w:p>
    <w:p>
      <w:pPr>
        <w:spacing w:after="0" w:line="199" w:lineRule="exact"/>
        <w:rPr>
          <w:sz w:val="20"/>
          <w:szCs w:val="20"/>
          <w:color w:val="auto"/>
        </w:rPr>
      </w:pPr>
    </w:p>
    <w:p>
      <w:pPr>
        <w:ind w:left="460" w:hanging="452"/>
        <w:spacing w:after="0"/>
        <w:tabs>
          <w:tab w:leader="none" w:pos="460" w:val="left"/>
        </w:tabs>
        <w:numPr>
          <w:ilvl w:val="0"/>
          <w:numId w:val="38"/>
        </w:numPr>
        <w:rPr>
          <w:rFonts w:ascii="Arial" w:cs="Arial" w:eastAsia="Arial" w:hAnsi="Arial"/>
          <w:sz w:val="18"/>
          <w:szCs w:val="18"/>
          <w:color w:val="auto"/>
        </w:rPr>
      </w:pPr>
      <w:r>
        <w:rPr>
          <w:rFonts w:ascii="Arial" w:cs="Arial" w:eastAsia="Arial" w:hAnsi="Arial"/>
          <w:sz w:val="18"/>
          <w:szCs w:val="18"/>
          <w:b w:val="1"/>
          <w:bCs w:val="1"/>
          <w:color w:val="auto"/>
        </w:rPr>
        <w:t>Purpose</w:t>
      </w:r>
    </w:p>
    <w:p>
      <w:pPr>
        <w:spacing w:after="0" w:line="96" w:lineRule="exact"/>
        <w:rPr>
          <w:rFonts w:ascii="Arial" w:cs="Arial" w:eastAsia="Arial" w:hAnsi="Arial"/>
          <w:sz w:val="18"/>
          <w:szCs w:val="18"/>
          <w:color w:val="auto"/>
        </w:rPr>
      </w:pPr>
    </w:p>
    <w:p>
      <w:pPr>
        <w:ind w:left="460"/>
        <w:spacing w:after="0" w:line="255" w:lineRule="auto"/>
        <w:rPr>
          <w:rFonts w:ascii="Arial" w:cs="Arial" w:eastAsia="Arial" w:hAnsi="Arial"/>
          <w:sz w:val="18"/>
          <w:szCs w:val="18"/>
          <w:color w:val="auto"/>
        </w:rPr>
      </w:pPr>
      <w:r>
        <w:rPr>
          <w:rFonts w:ascii="Arial" w:cs="Arial" w:eastAsia="Arial" w:hAnsi="Arial"/>
          <w:sz w:val="18"/>
          <w:szCs w:val="18"/>
          <w:color w:val="auto"/>
        </w:rPr>
        <w:t>The purpose of this Appendix is to modify, to the extent set forth herein, the Amended and Restated 1995 Marvell Technology Group Ltd. Stock Option Plan (the “Plan”) in respect of the Israeli employees of the Marvell Technology Group Ltd. and its affiliates and subsidiaries who are eligible to participate in the Plan in accordance with its terms, in order to reflect the specific requirements of the Israeli law. This Appendix, together with the Plan, is meant to constitute a new “Share Allotment Plan” under the 102 Provisions, as defined below, and applies to stock options granted to the Israeli Employees on or after January 1, 2003.</w:t>
      </w:r>
    </w:p>
    <w:p>
      <w:pPr>
        <w:spacing w:after="0" w:line="258" w:lineRule="exact"/>
        <w:rPr>
          <w:rFonts w:ascii="Arial" w:cs="Arial" w:eastAsia="Arial" w:hAnsi="Arial"/>
          <w:sz w:val="18"/>
          <w:szCs w:val="18"/>
          <w:color w:val="auto"/>
        </w:rPr>
      </w:pPr>
    </w:p>
    <w:p>
      <w:pPr>
        <w:ind w:left="460" w:hanging="452"/>
        <w:spacing w:after="0"/>
        <w:tabs>
          <w:tab w:leader="none" w:pos="460" w:val="left"/>
        </w:tabs>
        <w:numPr>
          <w:ilvl w:val="0"/>
          <w:numId w:val="38"/>
        </w:numPr>
        <w:rPr>
          <w:rFonts w:ascii="Arial" w:cs="Arial" w:eastAsia="Arial" w:hAnsi="Arial"/>
          <w:sz w:val="18"/>
          <w:szCs w:val="18"/>
          <w:color w:val="auto"/>
        </w:rPr>
      </w:pPr>
      <w:r>
        <w:rPr>
          <w:rFonts w:ascii="Arial" w:cs="Arial" w:eastAsia="Arial" w:hAnsi="Arial"/>
          <w:sz w:val="18"/>
          <w:szCs w:val="18"/>
          <w:b w:val="1"/>
          <w:bCs w:val="1"/>
          <w:color w:val="auto"/>
        </w:rPr>
        <w:t>Defined Terms</w:t>
      </w:r>
    </w:p>
    <w:p>
      <w:pPr>
        <w:spacing w:after="0" w:line="96" w:lineRule="exact"/>
        <w:rPr>
          <w:rFonts w:ascii="Arial" w:cs="Arial" w:eastAsia="Arial" w:hAnsi="Arial"/>
          <w:sz w:val="18"/>
          <w:szCs w:val="18"/>
          <w:color w:val="auto"/>
        </w:rPr>
      </w:pPr>
    </w:p>
    <w:p>
      <w:pPr>
        <w:ind w:left="900" w:hanging="446"/>
        <w:spacing w:after="0"/>
        <w:tabs>
          <w:tab w:leader="none" w:pos="900" w:val="left"/>
        </w:tabs>
        <w:numPr>
          <w:ilvl w:val="1"/>
          <w:numId w:val="38"/>
        </w:numPr>
        <w:rPr>
          <w:rFonts w:ascii="Arial" w:cs="Arial" w:eastAsia="Arial" w:hAnsi="Arial"/>
          <w:sz w:val="18"/>
          <w:szCs w:val="18"/>
          <w:color w:val="auto"/>
        </w:rPr>
      </w:pPr>
      <w:r>
        <w:rPr>
          <w:rFonts w:ascii="Arial" w:cs="Arial" w:eastAsia="Arial" w:hAnsi="Arial"/>
          <w:sz w:val="18"/>
          <w:szCs w:val="18"/>
          <w:color w:val="auto"/>
        </w:rPr>
        <w:t>Capitalized terms used but not defined herein shall have the meanings provided in Section 21 of the Plan.</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38"/>
        </w:numPr>
        <w:rPr>
          <w:rFonts w:ascii="Arial" w:cs="Arial" w:eastAsia="Arial" w:hAnsi="Arial"/>
          <w:sz w:val="18"/>
          <w:szCs w:val="18"/>
          <w:color w:val="auto"/>
        </w:rPr>
      </w:pPr>
      <w:r>
        <w:rPr>
          <w:rFonts w:ascii="Arial" w:cs="Arial" w:eastAsia="Arial" w:hAnsi="Arial"/>
          <w:sz w:val="18"/>
          <w:szCs w:val="18"/>
          <w:color w:val="auto"/>
        </w:rPr>
        <w:t>In addition, in this Appendix, the following terms shall have the meanings set forth beside them:</w:t>
      </w:r>
    </w:p>
    <w:p>
      <w:pPr>
        <w:sectPr>
          <w:pgSz w:w="11900" w:h="16838" w:orient="portrait"/>
          <w:cols w:equalWidth="0" w:num="1">
            <w:col w:w="11320"/>
          </w:cols>
          <w:pgMar w:left="240" w:top="274" w:right="339" w:bottom="1440" w:gutter="0" w:footer="0" w:header="0"/>
        </w:sectPr>
      </w:pPr>
    </w:p>
    <w:p>
      <w:pPr>
        <w:spacing w:after="0" w:line="212" w:lineRule="exact"/>
        <w:rPr>
          <w:sz w:val="20"/>
          <w:szCs w:val="20"/>
          <w:color w:val="auto"/>
        </w:rPr>
      </w:pPr>
    </w:p>
    <w:p>
      <w:pPr>
        <w:spacing w:after="0"/>
        <w:rPr>
          <w:sz w:val="20"/>
          <w:szCs w:val="20"/>
          <w:color w:val="auto"/>
        </w:rPr>
      </w:pPr>
      <w:r>
        <w:rPr>
          <w:rFonts w:ascii="Arial" w:cs="Arial" w:eastAsia="Arial" w:hAnsi="Arial"/>
          <w:sz w:val="16"/>
          <w:szCs w:val="16"/>
          <w:color w:val="auto"/>
        </w:rPr>
        <w:t>“102 Provisions”</w:t>
      </w:r>
    </w:p>
    <w:p>
      <w:pPr>
        <w:spacing w:after="0" w:line="20" w:lineRule="exact"/>
        <w:rPr>
          <w:sz w:val="20"/>
          <w:szCs w:val="20"/>
          <w:color w:val="auto"/>
        </w:rPr>
      </w:pPr>
      <w:r>
        <w:rPr>
          <w:sz w:val="20"/>
          <w:szCs w:val="20"/>
          <w:color w:val="auto"/>
        </w:rPr>
        <w:br w:type="column"/>
      </w:r>
    </w:p>
    <w:p>
      <w:pPr>
        <w:spacing w:after="0" w:line="192"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color w:val="auto"/>
        </w:rPr>
        <w:t>The provisions of section 102 of the Ordinance and of the relevant income tax regulations, as they shall apply from time to time to shares and options issued hereunder, including the Special Conditions;</w:t>
      </w:r>
    </w:p>
    <w:p>
      <w:pPr>
        <w:spacing w:after="0" w:line="78" w:lineRule="exact"/>
        <w:rPr>
          <w:sz w:val="20"/>
          <w:szCs w:val="20"/>
          <w:color w:val="auto"/>
        </w:rPr>
      </w:pPr>
    </w:p>
    <w:p>
      <w:pPr>
        <w:sectPr>
          <w:pgSz w:w="11900" w:h="16838" w:orient="portrait"/>
          <w:cols w:equalWidth="0" w:num="2">
            <w:col w:w="1580" w:space="720"/>
            <w:col w:w="9020"/>
          </w:cols>
          <w:pgMar w:left="240" w:top="274" w:right="339" w:bottom="1440" w:gutter="0" w:footer="0" w:header="0"/>
          <w:type w:val="continuous"/>
        </w:sectPr>
      </w:pPr>
    </w:p>
    <w:p>
      <w:pPr>
        <w:spacing w:after="0"/>
        <w:rPr>
          <w:sz w:val="20"/>
          <w:szCs w:val="20"/>
          <w:color w:val="auto"/>
        </w:rPr>
      </w:pPr>
      <w:r>
        <w:rPr>
          <w:rFonts w:ascii="Arial" w:cs="Arial" w:eastAsia="Arial" w:hAnsi="Arial"/>
          <w:sz w:val="16"/>
          <w:szCs w:val="16"/>
          <w:color w:val="auto"/>
        </w:rPr>
        <w:t>“Effective Date”</w:t>
      </w:r>
    </w:p>
    <w:p>
      <w:pPr>
        <w:spacing w:after="0" w:line="20" w:lineRule="exact"/>
        <w:rPr>
          <w:sz w:val="20"/>
          <w:szCs w:val="20"/>
          <w:color w:val="auto"/>
        </w:rPr>
      </w:pPr>
      <w:r>
        <w:rPr>
          <w:sz w:val="20"/>
          <w:szCs w:val="20"/>
          <w:color w:val="auto"/>
        </w:rPr>
        <w:br w:type="column"/>
      </w:r>
    </w:p>
    <w:p>
      <w:pPr>
        <w:ind w:right="200"/>
        <w:spacing w:after="0" w:line="268" w:lineRule="auto"/>
        <w:rPr>
          <w:sz w:val="20"/>
          <w:szCs w:val="20"/>
          <w:color w:val="auto"/>
        </w:rPr>
      </w:pPr>
      <w:r>
        <w:rPr>
          <w:rFonts w:ascii="Arial" w:cs="Arial" w:eastAsia="Arial" w:hAnsi="Arial"/>
          <w:sz w:val="18"/>
          <w:szCs w:val="18"/>
          <w:color w:val="auto"/>
        </w:rPr>
        <w:t>The latest of the date the Options were issued or the date of the Income Tax Commissioner approval that the Plan satisfies the Special Conditions;</w:t>
      </w:r>
    </w:p>
    <w:p>
      <w:pPr>
        <w:spacing w:after="0" w:line="78" w:lineRule="exact"/>
        <w:rPr>
          <w:sz w:val="20"/>
          <w:szCs w:val="20"/>
          <w:color w:val="auto"/>
        </w:rPr>
      </w:pPr>
    </w:p>
    <w:p>
      <w:pPr>
        <w:sectPr>
          <w:pgSz w:w="11900" w:h="16838" w:orient="portrait"/>
          <w:cols w:equalWidth="0" w:num="2">
            <w:col w:w="1580" w:space="720"/>
            <w:col w:w="9020"/>
          </w:cols>
          <w:pgMar w:left="240" w:top="274" w:right="339" w:bottom="1440" w:gutter="0" w:footer="0" w:header="0"/>
          <w:type w:val="continuous"/>
        </w:sectPr>
      </w:pPr>
    </w:p>
    <w:p>
      <w:pPr>
        <w:spacing w:after="0"/>
        <w:rPr>
          <w:sz w:val="20"/>
          <w:szCs w:val="20"/>
          <w:color w:val="auto"/>
        </w:rPr>
      </w:pPr>
      <w:r>
        <w:rPr>
          <w:rFonts w:ascii="Arial" w:cs="Arial" w:eastAsia="Arial" w:hAnsi="Arial"/>
          <w:sz w:val="16"/>
          <w:szCs w:val="16"/>
          <w:color w:val="auto"/>
        </w:rPr>
        <w:t>“Employer”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The Company, any of its Subsidiaries or its Parent employing Israeli Employees;</w:t>
      </w:r>
    </w:p>
    <w:p>
      <w:pPr>
        <w:spacing w:after="0" w:line="151" w:lineRule="exact"/>
        <w:rPr>
          <w:sz w:val="20"/>
          <w:szCs w:val="20"/>
          <w:color w:val="auto"/>
        </w:rPr>
      </w:pPr>
    </w:p>
    <w:p>
      <w:pPr>
        <w:sectPr>
          <w:pgSz w:w="11900" w:h="16838" w:orient="portrait"/>
          <w:cols w:equalWidth="0" w:num="2">
            <w:col w:w="1580" w:space="720"/>
            <w:col w:w="9020"/>
          </w:cols>
          <w:pgMar w:left="240" w:top="274" w:right="339" w:bottom="1440" w:gutter="0" w:footer="0" w:header="0"/>
          <w:type w:val="continuous"/>
        </w:sectPr>
      </w:pPr>
    </w:p>
    <w:p>
      <w:pPr>
        <w:spacing w:after="0"/>
        <w:rPr>
          <w:sz w:val="20"/>
          <w:szCs w:val="20"/>
          <w:color w:val="auto"/>
        </w:rPr>
      </w:pPr>
      <w:r>
        <w:rPr>
          <w:rFonts w:ascii="Arial" w:cs="Arial" w:eastAsia="Arial" w:hAnsi="Arial"/>
          <w:sz w:val="16"/>
          <w:szCs w:val="16"/>
          <w:color w:val="auto"/>
        </w:rPr>
        <w:t>“Israeli Employees”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Employees, officers and directors subject to taxation in Israel;</w:t>
      </w:r>
    </w:p>
    <w:p>
      <w:pPr>
        <w:spacing w:after="0" w:line="151" w:lineRule="exact"/>
        <w:rPr>
          <w:sz w:val="20"/>
          <w:szCs w:val="20"/>
          <w:color w:val="auto"/>
        </w:rPr>
      </w:pPr>
    </w:p>
    <w:p>
      <w:pPr>
        <w:sectPr>
          <w:pgSz w:w="11900" w:h="16838" w:orient="portrait"/>
          <w:cols w:equalWidth="0" w:num="2">
            <w:col w:w="1580" w:space="720"/>
            <w:col w:w="9020"/>
          </w:cols>
          <w:pgMar w:left="240" w:top="274" w:right="339" w:bottom="1440" w:gutter="0" w:footer="0" w:header="0"/>
          <w:type w:val="continuous"/>
        </w:sectPr>
      </w:pPr>
    </w:p>
    <w:p>
      <w:pPr>
        <w:spacing w:after="0"/>
        <w:rPr>
          <w:sz w:val="20"/>
          <w:szCs w:val="20"/>
          <w:color w:val="auto"/>
        </w:rPr>
      </w:pPr>
      <w:r>
        <w:rPr>
          <w:rFonts w:ascii="Arial" w:cs="Arial" w:eastAsia="Arial" w:hAnsi="Arial"/>
          <w:sz w:val="16"/>
          <w:szCs w:val="16"/>
          <w:color w:val="auto"/>
        </w:rPr>
        <w:t>“Trustee”</w:t>
      </w:r>
    </w:p>
    <w:p>
      <w:pPr>
        <w:spacing w:after="0" w:line="20" w:lineRule="exact"/>
        <w:rPr>
          <w:sz w:val="20"/>
          <w:szCs w:val="20"/>
          <w:color w:val="auto"/>
        </w:rPr>
      </w:pPr>
      <w:r>
        <w:rPr>
          <w:sz w:val="20"/>
          <w:szCs w:val="20"/>
          <w:color w:val="auto"/>
        </w:rPr>
        <w:br w:type="column"/>
      </w:r>
    </w:p>
    <w:p>
      <w:pPr>
        <w:jc w:val="center"/>
        <w:ind w:right="1680"/>
        <w:spacing w:after="0"/>
        <w:rPr>
          <w:sz w:val="20"/>
          <w:szCs w:val="20"/>
          <w:color w:val="auto"/>
        </w:rPr>
      </w:pPr>
      <w:r>
        <w:rPr>
          <w:rFonts w:ascii="Arial" w:cs="Arial" w:eastAsia="Arial" w:hAnsi="Arial"/>
          <w:sz w:val="15"/>
          <w:szCs w:val="15"/>
          <w:color w:val="auto"/>
        </w:rPr>
        <w:t>A trustee appointed by the Employer for purposes of the Plan and approved by the Israeli tax authorities;</w:t>
      </w:r>
    </w:p>
    <w:p>
      <w:pPr>
        <w:spacing w:after="0" w:line="151" w:lineRule="exact"/>
        <w:rPr>
          <w:sz w:val="20"/>
          <w:szCs w:val="20"/>
          <w:color w:val="auto"/>
        </w:rPr>
      </w:pPr>
    </w:p>
    <w:p>
      <w:pPr>
        <w:sectPr>
          <w:pgSz w:w="11900" w:h="16838" w:orient="portrait"/>
          <w:cols w:equalWidth="0" w:num="2">
            <w:col w:w="1580" w:space="720"/>
            <w:col w:w="9020"/>
          </w:cols>
          <w:pgMar w:left="240" w:top="274" w:right="339" w:bottom="1440" w:gutter="0" w:footer="0" w:header="0"/>
          <w:type w:val="continuous"/>
        </w:sectPr>
      </w:pPr>
    </w:p>
    <w:p>
      <w:pPr>
        <w:spacing w:after="0"/>
        <w:rPr>
          <w:sz w:val="20"/>
          <w:szCs w:val="20"/>
          <w:color w:val="auto"/>
        </w:rPr>
      </w:pPr>
      <w:r>
        <w:rPr>
          <w:rFonts w:ascii="Arial" w:cs="Arial" w:eastAsia="Arial" w:hAnsi="Arial"/>
          <w:sz w:val="16"/>
          <w:szCs w:val="16"/>
          <w:color w:val="auto"/>
        </w:rPr>
        <w:t>“Ordinance”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The Income Tax Ordinance (New Version), 5721-1961;</w:t>
      </w:r>
    </w:p>
    <w:p>
      <w:pPr>
        <w:spacing w:after="0" w:line="151" w:lineRule="exact"/>
        <w:rPr>
          <w:sz w:val="20"/>
          <w:szCs w:val="20"/>
          <w:color w:val="auto"/>
        </w:rPr>
      </w:pPr>
    </w:p>
    <w:p>
      <w:pPr>
        <w:sectPr>
          <w:pgSz w:w="11900" w:h="16838" w:orient="portrait"/>
          <w:cols w:equalWidth="0" w:num="2">
            <w:col w:w="1580" w:space="720"/>
            <w:col w:w="9020"/>
          </w:cols>
          <w:pgMar w:left="240" w:top="274" w:right="339" w:bottom="1440" w:gutter="0" w:footer="0" w:header="0"/>
          <w:type w:val="continuous"/>
        </w:sectPr>
      </w:pPr>
    </w:p>
    <w:p>
      <w:pPr>
        <w:spacing w:after="0"/>
        <w:rPr>
          <w:sz w:val="20"/>
          <w:szCs w:val="20"/>
          <w:color w:val="auto"/>
        </w:rPr>
      </w:pPr>
      <w:r>
        <w:rPr>
          <w:rFonts w:ascii="Arial" w:cs="Arial" w:eastAsia="Arial" w:hAnsi="Arial"/>
          <w:sz w:val="16"/>
          <w:szCs w:val="16"/>
          <w:color w:val="auto"/>
        </w:rPr>
        <w:t>“Special Conditions”</w:t>
      </w:r>
    </w:p>
    <w:p>
      <w:pPr>
        <w:spacing w:after="0" w:line="20" w:lineRule="exact"/>
        <w:rPr>
          <w:sz w:val="20"/>
          <w:szCs w:val="20"/>
          <w:color w:val="auto"/>
        </w:rPr>
      </w:pPr>
      <w:r>
        <w:rPr>
          <w:sz w:val="20"/>
          <w:szCs w:val="20"/>
          <w:color w:val="auto"/>
        </w:rPr>
        <w:br w:type="column"/>
      </w:r>
    </w:p>
    <w:p>
      <w:pPr>
        <w:ind w:right="40"/>
        <w:spacing w:after="0" w:line="332" w:lineRule="auto"/>
        <w:rPr>
          <w:sz w:val="20"/>
          <w:szCs w:val="20"/>
          <w:color w:val="auto"/>
        </w:rPr>
      </w:pPr>
      <w:r>
        <w:rPr>
          <w:rFonts w:ascii="Arial" w:cs="Arial" w:eastAsia="Arial" w:hAnsi="Arial"/>
          <w:sz w:val="16"/>
          <w:szCs w:val="16"/>
          <w:color w:val="auto"/>
        </w:rPr>
        <w:t>Special conditions set by the Israeli Income Tax Commissioner in connection with the issuance of the Options hereunder, by the power vested in him/her under section 102 of the Ordinance, if and to the extent the Commissioner shall so set;</w:t>
      </w:r>
    </w:p>
    <w:p>
      <w:pPr>
        <w:spacing w:after="0" w:line="72" w:lineRule="exact"/>
        <w:rPr>
          <w:sz w:val="20"/>
          <w:szCs w:val="20"/>
          <w:color w:val="auto"/>
        </w:rPr>
      </w:pPr>
    </w:p>
    <w:p>
      <w:pPr>
        <w:sectPr>
          <w:pgSz w:w="11900" w:h="16838" w:orient="portrait"/>
          <w:cols w:equalWidth="0" w:num="2">
            <w:col w:w="1580" w:space="720"/>
            <w:col w:w="9020"/>
          </w:cols>
          <w:pgMar w:left="240" w:top="274" w:right="339" w:bottom="1440" w:gutter="0" w:footer="0" w:header="0"/>
          <w:type w:val="continuous"/>
        </w:sectPr>
      </w:pPr>
    </w:p>
    <w:p>
      <w:pPr>
        <w:spacing w:after="0"/>
        <w:rPr>
          <w:sz w:val="20"/>
          <w:szCs w:val="20"/>
          <w:color w:val="auto"/>
        </w:rPr>
      </w:pPr>
      <w:r>
        <w:rPr>
          <w:rFonts w:ascii="Arial" w:cs="Arial" w:eastAsia="Arial" w:hAnsi="Arial"/>
          <w:sz w:val="16"/>
          <w:szCs w:val="16"/>
          <w:color w:val="auto"/>
        </w:rPr>
        <w:t>Israeli Appendix</w:t>
      </w:r>
    </w:p>
    <w:p>
      <w:pPr>
        <w:sectPr>
          <w:pgSz w:w="11900" w:h="16838" w:orient="portrait"/>
          <w:cols w:equalWidth="0" w:num="1">
            <w:col w:w="11320"/>
          </w:cols>
          <w:pgMar w:left="240" w:top="274" w:right="339" w:bottom="1440" w:gutter="0" w:footer="0" w:header="0"/>
          <w:type w:val="continuous"/>
        </w:sectPr>
      </w:pPr>
    </w:p>
    <w:bookmarkStart w:id="63" w:name="page64"/>
    <w:bookmarkEnd w:id="63"/>
    <w:p>
      <w:pPr>
        <w:spacing w:after="0"/>
        <w:rPr>
          <w:sz w:val="20"/>
          <w:szCs w:val="20"/>
          <w:color w:val="auto"/>
        </w:rPr>
      </w:pPr>
      <w:r>
        <w:rPr>
          <w:rFonts w:ascii="Arial" w:cs="Arial" w:eastAsia="Arial" w:hAnsi="Arial"/>
          <w:sz w:val="16"/>
          <w:szCs w:val="16"/>
          <w:color w:val="auto"/>
        </w:rPr>
        <w:t>“Tax Lockup Period”</w:t>
      </w:r>
    </w:p>
    <w:p>
      <w:pPr>
        <w:spacing w:after="0" w:line="20" w:lineRule="exact"/>
        <w:rPr>
          <w:sz w:val="20"/>
          <w:szCs w:val="20"/>
          <w:color w:val="auto"/>
        </w:rPr>
      </w:pPr>
      <w:r>
        <w:rPr>
          <w:sz w:val="20"/>
          <w:szCs w:val="20"/>
          <w:color w:val="auto"/>
        </w:rPr>
        <w:br w:type="column"/>
      </w:r>
    </w:p>
    <w:p>
      <w:pPr>
        <w:ind w:right="80"/>
        <w:spacing w:after="0" w:line="268" w:lineRule="auto"/>
        <w:rPr>
          <w:sz w:val="20"/>
          <w:szCs w:val="20"/>
          <w:color w:val="auto"/>
        </w:rPr>
      </w:pPr>
      <w:r>
        <w:rPr>
          <w:rFonts w:ascii="Arial" w:cs="Arial" w:eastAsia="Arial" w:hAnsi="Arial"/>
          <w:sz w:val="18"/>
          <w:szCs w:val="18"/>
          <w:color w:val="auto"/>
        </w:rPr>
        <w:t>The applicable period of time, in accordance with the selection made by the Employer under section 102 of the Ordinance and in effect at the time of a grant hereunder.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-1467485</wp:posOffset>
            </wp:positionH>
            <wp:positionV relativeFrom="paragraph">
              <wp:posOffset>-450215</wp:posOffset>
            </wp:positionV>
            <wp:extent cx="7289165" cy="3810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p>
    <w:p>
      <w:pPr>
        <w:spacing w:after="0" w:line="51" w:lineRule="exact"/>
        <w:rPr>
          <w:sz w:val="20"/>
          <w:szCs w:val="20"/>
          <w:color w:val="auto"/>
        </w:rPr>
      </w:pPr>
    </w:p>
    <w:p>
      <w:pPr>
        <w:sectPr>
          <w:pgSz w:w="11900" w:h="16838" w:orient="portrait"/>
          <w:cols w:equalWidth="0" w:num="2">
            <w:col w:w="1580" w:space="720"/>
            <w:col w:w="9120"/>
          </w:cols>
          <w:pgMar w:left="240" w:top="388" w:right="239" w:bottom="1440" w:gutter="0" w:footer="0" w:header="0"/>
        </w:sectPr>
      </w:pPr>
    </w:p>
    <w:p>
      <w:pPr>
        <w:jc w:val="both"/>
        <w:ind w:left="900" w:hanging="446"/>
        <w:spacing w:after="0" w:line="256" w:lineRule="auto"/>
        <w:tabs>
          <w:tab w:leader="none" w:pos="900" w:val="left"/>
        </w:tabs>
        <w:numPr>
          <w:ilvl w:val="1"/>
          <w:numId w:val="39"/>
        </w:numPr>
        <w:rPr>
          <w:rFonts w:ascii="Arial" w:cs="Arial" w:eastAsia="Arial" w:hAnsi="Arial"/>
          <w:sz w:val="18"/>
          <w:szCs w:val="18"/>
          <w:color w:val="auto"/>
        </w:rPr>
      </w:pPr>
      <w:r>
        <w:rPr>
          <w:rFonts w:ascii="Arial" w:cs="Arial" w:eastAsia="Arial" w:hAnsi="Arial"/>
          <w:sz w:val="18"/>
          <w:szCs w:val="18"/>
          <w:color w:val="auto"/>
        </w:rPr>
        <w:t>The Israeli Employees shall be entitled to exercise their options in accordance with the terms of the Plan, subject to the terms of this Appendix. In the event of any contradiction between any term of this Appendix and any term of the Plan, the provisions of this Appendix shall override with respect to the Israeli Employees, in respect of whom this Appendix shall constitute an integral part of the Plan and references to the Plan in respect of the Israeli Employees shall be interpreted accordingly.</w:t>
      </w:r>
    </w:p>
    <w:p>
      <w:pPr>
        <w:spacing w:after="0" w:line="258" w:lineRule="exact"/>
        <w:rPr>
          <w:rFonts w:ascii="Arial" w:cs="Arial" w:eastAsia="Arial" w:hAnsi="Arial"/>
          <w:sz w:val="18"/>
          <w:szCs w:val="18"/>
          <w:color w:val="auto"/>
        </w:rPr>
      </w:pPr>
    </w:p>
    <w:p>
      <w:pPr>
        <w:ind w:left="460" w:hanging="452"/>
        <w:spacing w:after="0"/>
        <w:tabs>
          <w:tab w:leader="none" w:pos="460" w:val="left"/>
        </w:tabs>
        <w:numPr>
          <w:ilvl w:val="0"/>
          <w:numId w:val="40"/>
        </w:numPr>
        <w:rPr>
          <w:rFonts w:ascii="Arial" w:cs="Arial" w:eastAsia="Arial" w:hAnsi="Arial"/>
          <w:sz w:val="18"/>
          <w:szCs w:val="18"/>
          <w:color w:val="auto"/>
        </w:rPr>
      </w:pPr>
      <w:r>
        <w:rPr>
          <w:rFonts w:ascii="Arial" w:cs="Arial" w:eastAsia="Arial" w:hAnsi="Arial"/>
          <w:sz w:val="18"/>
          <w:szCs w:val="18"/>
          <w:b w:val="1"/>
          <w:bCs w:val="1"/>
          <w:color w:val="auto"/>
        </w:rPr>
        <w:t>Special Conditions</w:t>
      </w:r>
    </w:p>
    <w:p>
      <w:pPr>
        <w:spacing w:after="0" w:line="96" w:lineRule="exact"/>
        <w:rPr>
          <w:rFonts w:ascii="Arial" w:cs="Arial" w:eastAsia="Arial" w:hAnsi="Arial"/>
          <w:sz w:val="18"/>
          <w:szCs w:val="18"/>
          <w:color w:val="auto"/>
        </w:rPr>
      </w:pPr>
    </w:p>
    <w:p>
      <w:pPr>
        <w:ind w:left="900" w:right="160" w:hanging="446"/>
        <w:spacing w:after="0" w:line="259" w:lineRule="auto"/>
        <w:tabs>
          <w:tab w:leader="none" w:pos="900" w:val="left"/>
        </w:tabs>
        <w:numPr>
          <w:ilvl w:val="1"/>
          <w:numId w:val="40"/>
        </w:numPr>
        <w:rPr>
          <w:rFonts w:ascii="Arial" w:cs="Arial" w:eastAsia="Arial" w:hAnsi="Arial"/>
          <w:sz w:val="18"/>
          <w:szCs w:val="18"/>
          <w:color w:val="auto"/>
        </w:rPr>
      </w:pPr>
      <w:r>
        <w:rPr>
          <w:rFonts w:ascii="Arial" w:cs="Arial" w:eastAsia="Arial" w:hAnsi="Arial"/>
          <w:sz w:val="18"/>
          <w:szCs w:val="18"/>
          <w:color w:val="auto"/>
        </w:rPr>
        <w:t>The Employer shall make an Election, as defined in section 102 of the Ordinance, and shall apply to the Income Tax Commissioner to approve the Trustee and the Plan under the 102 Provisions. Subject to the approval of this Plan by the Israeli Income Tax Commissioner, the Special Conditions shall apply to the plan and to this Appendix.</w:t>
      </w:r>
    </w:p>
    <w:p>
      <w:pPr>
        <w:spacing w:after="0" w:line="59" w:lineRule="exact"/>
        <w:rPr>
          <w:rFonts w:ascii="Arial" w:cs="Arial" w:eastAsia="Arial" w:hAnsi="Arial"/>
          <w:sz w:val="18"/>
          <w:szCs w:val="18"/>
          <w:color w:val="auto"/>
        </w:rPr>
      </w:pPr>
    </w:p>
    <w:p>
      <w:pPr>
        <w:ind w:left="900" w:hanging="446"/>
        <w:spacing w:after="0"/>
        <w:tabs>
          <w:tab w:leader="none" w:pos="900" w:val="left"/>
        </w:tabs>
        <w:numPr>
          <w:ilvl w:val="1"/>
          <w:numId w:val="40"/>
        </w:numPr>
        <w:rPr>
          <w:rFonts w:ascii="Arial" w:cs="Arial" w:eastAsia="Arial" w:hAnsi="Arial"/>
          <w:sz w:val="18"/>
          <w:szCs w:val="18"/>
          <w:color w:val="auto"/>
        </w:rPr>
      </w:pPr>
      <w:r>
        <w:rPr>
          <w:rFonts w:ascii="Arial" w:cs="Arial" w:eastAsia="Arial" w:hAnsi="Arial"/>
          <w:sz w:val="18"/>
          <w:szCs w:val="18"/>
          <w:color w:val="auto"/>
        </w:rPr>
        <w:t>The Administrator shall exercise its discretion under the Plan in accordance with the terms of this Appendix.</w:t>
      </w:r>
    </w:p>
    <w:p>
      <w:pPr>
        <w:spacing w:after="0" w:line="286" w:lineRule="exact"/>
        <w:rPr>
          <w:rFonts w:ascii="Arial" w:cs="Arial" w:eastAsia="Arial" w:hAnsi="Arial"/>
          <w:sz w:val="18"/>
          <w:szCs w:val="18"/>
          <w:color w:val="auto"/>
        </w:rPr>
      </w:pPr>
    </w:p>
    <w:p>
      <w:pPr>
        <w:ind w:left="460" w:hanging="452"/>
        <w:spacing w:after="0"/>
        <w:tabs>
          <w:tab w:leader="none" w:pos="460" w:val="left"/>
        </w:tabs>
        <w:numPr>
          <w:ilvl w:val="0"/>
          <w:numId w:val="40"/>
        </w:numPr>
        <w:rPr>
          <w:rFonts w:ascii="Arial" w:cs="Arial" w:eastAsia="Arial" w:hAnsi="Arial"/>
          <w:sz w:val="18"/>
          <w:szCs w:val="18"/>
          <w:color w:val="auto"/>
        </w:rPr>
      </w:pPr>
      <w:r>
        <w:rPr>
          <w:rFonts w:ascii="Arial" w:cs="Arial" w:eastAsia="Arial" w:hAnsi="Arial"/>
          <w:sz w:val="18"/>
          <w:szCs w:val="18"/>
          <w:b w:val="1"/>
          <w:bCs w:val="1"/>
          <w:color w:val="auto"/>
        </w:rPr>
        <w:t>Eligibility</w:t>
      </w:r>
    </w:p>
    <w:p>
      <w:pPr>
        <w:spacing w:after="0" w:line="96" w:lineRule="exact"/>
        <w:rPr>
          <w:rFonts w:ascii="Arial" w:cs="Arial" w:eastAsia="Arial" w:hAnsi="Arial"/>
          <w:sz w:val="18"/>
          <w:szCs w:val="18"/>
          <w:color w:val="auto"/>
        </w:rPr>
      </w:pPr>
    </w:p>
    <w:p>
      <w:pPr>
        <w:ind w:left="460" w:right="520"/>
        <w:spacing w:after="0" w:line="268" w:lineRule="auto"/>
        <w:rPr>
          <w:rFonts w:ascii="Arial" w:cs="Arial" w:eastAsia="Arial" w:hAnsi="Arial"/>
          <w:sz w:val="18"/>
          <w:szCs w:val="18"/>
          <w:color w:val="auto"/>
        </w:rPr>
      </w:pPr>
      <w:r>
        <w:rPr>
          <w:rFonts w:ascii="Arial" w:cs="Arial" w:eastAsia="Arial" w:hAnsi="Arial"/>
          <w:sz w:val="18"/>
          <w:szCs w:val="18"/>
          <w:color w:val="auto"/>
        </w:rPr>
        <w:t>Options shall not be granted to any Israeli Employee who is, or on giving effect to such grant, will become, the holder of a controlling interest (‘baal shlita’) in the Company, as defined in section 32(9) of the Ordinance.</w:t>
      </w:r>
    </w:p>
    <w:p>
      <w:pPr>
        <w:spacing w:after="0" w:line="44" w:lineRule="exact"/>
        <w:rPr>
          <w:rFonts w:ascii="Arial" w:cs="Arial" w:eastAsia="Arial" w:hAnsi="Arial"/>
          <w:sz w:val="18"/>
          <w:szCs w:val="18"/>
          <w:color w:val="auto"/>
        </w:rPr>
      </w:pPr>
    </w:p>
    <w:p>
      <w:pPr>
        <w:ind w:left="460" w:hanging="452"/>
        <w:spacing w:after="0"/>
        <w:tabs>
          <w:tab w:leader="none" w:pos="460" w:val="left"/>
        </w:tabs>
        <w:numPr>
          <w:ilvl w:val="0"/>
          <w:numId w:val="40"/>
        </w:numPr>
        <w:rPr>
          <w:rFonts w:ascii="Arial" w:cs="Arial" w:eastAsia="Arial" w:hAnsi="Arial"/>
          <w:sz w:val="18"/>
          <w:szCs w:val="18"/>
          <w:color w:val="auto"/>
        </w:rPr>
      </w:pPr>
      <w:r>
        <w:rPr>
          <w:rFonts w:ascii="Arial" w:cs="Arial" w:eastAsia="Arial" w:hAnsi="Arial"/>
          <w:sz w:val="18"/>
          <w:szCs w:val="18"/>
          <w:b w:val="1"/>
          <w:bCs w:val="1"/>
          <w:color w:val="auto"/>
        </w:rPr>
        <w:t>Trust</w:t>
      </w:r>
    </w:p>
    <w:p>
      <w:pPr>
        <w:spacing w:after="0" w:line="96" w:lineRule="exact"/>
        <w:rPr>
          <w:rFonts w:ascii="Arial" w:cs="Arial" w:eastAsia="Arial" w:hAnsi="Arial"/>
          <w:sz w:val="18"/>
          <w:szCs w:val="18"/>
          <w:color w:val="auto"/>
        </w:rPr>
      </w:pPr>
    </w:p>
    <w:p>
      <w:pPr>
        <w:ind w:left="900" w:right="200" w:hanging="446"/>
        <w:spacing w:after="0" w:line="268" w:lineRule="auto"/>
        <w:tabs>
          <w:tab w:leader="none" w:pos="900" w:val="left"/>
        </w:tabs>
        <w:numPr>
          <w:ilvl w:val="1"/>
          <w:numId w:val="40"/>
        </w:numPr>
        <w:rPr>
          <w:rFonts w:ascii="Arial" w:cs="Arial" w:eastAsia="Arial" w:hAnsi="Arial"/>
          <w:sz w:val="18"/>
          <w:szCs w:val="18"/>
          <w:color w:val="auto"/>
        </w:rPr>
      </w:pPr>
      <w:r>
        <w:rPr>
          <w:rFonts w:ascii="Arial" w:cs="Arial" w:eastAsia="Arial" w:hAnsi="Arial"/>
          <w:sz w:val="18"/>
          <w:szCs w:val="18"/>
          <w:color w:val="auto"/>
        </w:rPr>
        <w:t>The Options and the Shares shall be issued directly in the name of the Trustee and shall be held in escrow by the Trustee for the Israeli Employees’ benefit, for no less then the Tax Lockup Period, all according to the terms of this Appendix.</w:t>
      </w:r>
    </w:p>
    <w:p>
      <w:pPr>
        <w:spacing w:after="0" w:line="50" w:lineRule="exact"/>
        <w:rPr>
          <w:rFonts w:ascii="Arial" w:cs="Arial" w:eastAsia="Arial" w:hAnsi="Arial"/>
          <w:sz w:val="18"/>
          <w:szCs w:val="18"/>
          <w:color w:val="auto"/>
        </w:rPr>
      </w:pPr>
    </w:p>
    <w:p>
      <w:pPr>
        <w:ind w:left="900" w:right="300" w:hanging="446"/>
        <w:spacing w:after="0" w:line="268" w:lineRule="auto"/>
        <w:tabs>
          <w:tab w:leader="none" w:pos="900" w:val="left"/>
        </w:tabs>
        <w:numPr>
          <w:ilvl w:val="1"/>
          <w:numId w:val="40"/>
        </w:numPr>
        <w:rPr>
          <w:rFonts w:ascii="Arial" w:cs="Arial" w:eastAsia="Arial" w:hAnsi="Arial"/>
          <w:sz w:val="18"/>
          <w:szCs w:val="18"/>
          <w:color w:val="auto"/>
        </w:rPr>
      </w:pPr>
      <w:r>
        <w:rPr>
          <w:rFonts w:ascii="Arial" w:cs="Arial" w:eastAsia="Arial" w:hAnsi="Arial"/>
          <w:sz w:val="18"/>
          <w:szCs w:val="18"/>
          <w:color w:val="auto"/>
        </w:rPr>
        <w:t>In the event that bonus shares shall be issued on account of the Shares, such bonus shares shall be issued by the Company to the Trustee. The 102 Provisions shall apply to such bonus shares for all purposes.</w:t>
      </w:r>
    </w:p>
    <w:p>
      <w:pPr>
        <w:spacing w:after="0" w:line="118" w:lineRule="exact"/>
        <w:rPr>
          <w:sz w:val="20"/>
          <w:szCs w:val="20"/>
          <w:color w:val="auto"/>
        </w:rPr>
      </w:pPr>
    </w:p>
    <w:p>
      <w:pPr>
        <w:spacing w:after="0"/>
        <w:rPr>
          <w:sz w:val="20"/>
          <w:szCs w:val="20"/>
          <w:color w:val="auto"/>
        </w:rPr>
      </w:pPr>
      <w:r>
        <w:rPr>
          <w:rFonts w:ascii="Arial" w:cs="Arial" w:eastAsia="Arial" w:hAnsi="Arial"/>
          <w:sz w:val="18"/>
          <w:szCs w:val="18"/>
          <w:color w:val="auto"/>
        </w:rPr>
        <w:t>Israeli Appendix</w:t>
      </w:r>
    </w:p>
    <w:p>
      <w:pPr>
        <w:sectPr>
          <w:pgSz w:w="11900" w:h="16838" w:orient="portrait"/>
          <w:cols w:equalWidth="0" w:num="1">
            <w:col w:w="11420"/>
          </w:cols>
          <w:pgMar w:left="240" w:top="388" w:right="239" w:bottom="1440" w:gutter="0" w:footer="0" w:header="0"/>
          <w:type w:val="continuous"/>
        </w:sectPr>
      </w:pPr>
    </w:p>
    <w:bookmarkStart w:id="64" w:name="page65"/>
    <w:bookmarkEnd w:id="64"/>
    <w:p>
      <w:pPr>
        <w:ind w:left="900" w:right="20" w:hanging="446"/>
        <w:spacing w:after="0" w:line="268" w:lineRule="auto"/>
        <w:tabs>
          <w:tab w:leader="none" w:pos="900" w:val="left"/>
        </w:tabs>
        <w:numPr>
          <w:ilvl w:val="1"/>
          <w:numId w:val="41"/>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Trustee shall be entitled to set additional exercise procedures to those described in the Plan, as the Trustee shall see fit, provided that the Trustee has given the Company prior written notice of any such procedures.</w:t>
      </w:r>
    </w:p>
    <w:p>
      <w:pPr>
        <w:spacing w:after="0" w:line="247" w:lineRule="exact"/>
        <w:rPr>
          <w:rFonts w:ascii="Arial" w:cs="Arial" w:eastAsia="Arial" w:hAnsi="Arial"/>
          <w:sz w:val="18"/>
          <w:szCs w:val="18"/>
          <w:color w:val="auto"/>
        </w:rPr>
      </w:pPr>
    </w:p>
    <w:p>
      <w:pPr>
        <w:ind w:left="460" w:hanging="452"/>
        <w:spacing w:after="0"/>
        <w:tabs>
          <w:tab w:leader="none" w:pos="460" w:val="left"/>
        </w:tabs>
        <w:numPr>
          <w:ilvl w:val="0"/>
          <w:numId w:val="42"/>
        </w:numPr>
        <w:rPr>
          <w:rFonts w:ascii="Arial" w:cs="Arial" w:eastAsia="Arial" w:hAnsi="Arial"/>
          <w:sz w:val="18"/>
          <w:szCs w:val="18"/>
          <w:color w:val="auto"/>
        </w:rPr>
      </w:pPr>
      <w:r>
        <w:rPr>
          <w:rFonts w:ascii="Arial" w:cs="Arial" w:eastAsia="Arial" w:hAnsi="Arial"/>
          <w:sz w:val="18"/>
          <w:szCs w:val="18"/>
          <w:b w:val="1"/>
          <w:bCs w:val="1"/>
          <w:color w:val="auto"/>
        </w:rPr>
        <w:t>Taxes</w:t>
      </w:r>
    </w:p>
    <w:p>
      <w:pPr>
        <w:spacing w:after="0" w:line="96" w:lineRule="exact"/>
        <w:rPr>
          <w:rFonts w:ascii="Arial" w:cs="Arial" w:eastAsia="Arial" w:hAnsi="Arial"/>
          <w:sz w:val="18"/>
          <w:szCs w:val="18"/>
          <w:color w:val="auto"/>
        </w:rPr>
      </w:pPr>
    </w:p>
    <w:p>
      <w:pPr>
        <w:ind w:left="900" w:hanging="446"/>
        <w:spacing w:after="0"/>
        <w:tabs>
          <w:tab w:leader="none" w:pos="900" w:val="left"/>
        </w:tabs>
        <w:numPr>
          <w:ilvl w:val="1"/>
          <w:numId w:val="42"/>
        </w:numPr>
        <w:rPr>
          <w:rFonts w:ascii="Arial" w:cs="Arial" w:eastAsia="Arial" w:hAnsi="Arial"/>
          <w:sz w:val="16"/>
          <w:szCs w:val="16"/>
          <w:color w:val="auto"/>
        </w:rPr>
      </w:pPr>
      <w:r>
        <w:rPr>
          <w:rFonts w:ascii="Arial" w:cs="Arial" w:eastAsia="Arial" w:hAnsi="Arial"/>
          <w:sz w:val="16"/>
          <w:szCs w:val="16"/>
          <w:color w:val="auto"/>
        </w:rPr>
        <w:t>The Israeli Employees shall be taxed in respect of the Options in accordance with the provisions of the Ordinance, including the 102 Provisions.</w:t>
      </w:r>
    </w:p>
    <w:p>
      <w:pPr>
        <w:spacing w:after="0" w:line="113" w:lineRule="exact"/>
        <w:rPr>
          <w:rFonts w:ascii="Arial" w:cs="Arial" w:eastAsia="Arial" w:hAnsi="Arial"/>
          <w:sz w:val="16"/>
          <w:szCs w:val="16"/>
          <w:color w:val="auto"/>
        </w:rPr>
      </w:pPr>
    </w:p>
    <w:p>
      <w:pPr>
        <w:ind w:left="900" w:hanging="446"/>
        <w:spacing w:after="0" w:line="254" w:lineRule="auto"/>
        <w:tabs>
          <w:tab w:leader="none" w:pos="900" w:val="left"/>
        </w:tabs>
        <w:numPr>
          <w:ilvl w:val="1"/>
          <w:numId w:val="42"/>
        </w:numPr>
        <w:rPr>
          <w:rFonts w:ascii="Arial" w:cs="Arial" w:eastAsia="Arial" w:hAnsi="Arial"/>
          <w:sz w:val="18"/>
          <w:szCs w:val="18"/>
          <w:color w:val="auto"/>
        </w:rPr>
      </w:pPr>
      <w:r>
        <w:rPr>
          <w:rFonts w:ascii="Arial" w:cs="Arial" w:eastAsia="Arial" w:hAnsi="Arial"/>
          <w:sz w:val="18"/>
          <w:szCs w:val="18"/>
          <w:color w:val="auto"/>
        </w:rPr>
        <w:t>Without derogating from section 9(g) of the Plan, any tax imposed in respect of the Options and/or the Shares and/or the sale and/or the transfer of the Options and/or the Shares, including any Social Security and National Health charges, as applicable, shall be borne solely by the Israeli Employee, and in the event of the death of the Israeli Employee, by the Israeli Employee’s heirs or successors. The Employer shall not bear the aforementioned taxes, directly or indirectly, nor shall the Employer be required to gross such tax up in the Israeli Employee’s salaries or remuneration. The imposed tax shall be paid by the Israeli Employee or deducted, on the date such tax is payable, from the sale consideration paid to the Trustee by the Israeli Employee, as applicable.</w:t>
      </w:r>
    </w:p>
    <w:p>
      <w:pPr>
        <w:spacing w:after="0" w:line="63" w:lineRule="exact"/>
        <w:rPr>
          <w:rFonts w:ascii="Arial" w:cs="Arial" w:eastAsia="Arial" w:hAnsi="Arial"/>
          <w:sz w:val="18"/>
          <w:szCs w:val="18"/>
          <w:color w:val="auto"/>
        </w:rPr>
      </w:pPr>
    </w:p>
    <w:p>
      <w:pPr>
        <w:ind w:left="900" w:right="80" w:hanging="446"/>
        <w:spacing w:after="0" w:line="294" w:lineRule="auto"/>
        <w:tabs>
          <w:tab w:leader="none" w:pos="900" w:val="left"/>
        </w:tabs>
        <w:numPr>
          <w:ilvl w:val="1"/>
          <w:numId w:val="42"/>
        </w:numPr>
        <w:rPr>
          <w:rFonts w:ascii="Arial" w:cs="Arial" w:eastAsia="Arial" w:hAnsi="Arial"/>
          <w:sz w:val="16"/>
          <w:szCs w:val="16"/>
          <w:color w:val="auto"/>
        </w:rPr>
      </w:pPr>
      <w:r>
        <w:rPr>
          <w:rFonts w:ascii="Arial" w:cs="Arial" w:eastAsia="Arial" w:hAnsi="Arial"/>
          <w:sz w:val="16"/>
          <w:szCs w:val="16"/>
          <w:color w:val="auto"/>
        </w:rPr>
        <w:t>At the end of the Tax Lockup Period, the Israeli Employee (or the Israeli Employee’s heirs or successors) shall be entitled at any time to instruct the Trustee to transfer the Options or the Shares to which such Israeli Employee is entitled to the Israeli Employee or its nominees, or, if appropriate, to sell the Shares and pay the consideration received to the Israeli Employee. Subject to the 102 Provisions, the Trustee shall not transfer the Options and/or the Shares to the Israeli Employee’s name, and shall not transfer the consideration received from the sale of the Shares to the Israeli Employee, unless the conditions set forth in the 102 provisions are fulfilled.</w:t>
      </w:r>
    </w:p>
    <w:p>
      <w:pPr>
        <w:spacing w:after="0" w:line="34" w:lineRule="exact"/>
        <w:rPr>
          <w:rFonts w:ascii="Arial" w:cs="Arial" w:eastAsia="Arial" w:hAnsi="Arial"/>
          <w:sz w:val="16"/>
          <w:szCs w:val="16"/>
          <w:color w:val="auto"/>
        </w:rPr>
      </w:pPr>
    </w:p>
    <w:p>
      <w:pPr>
        <w:ind w:left="900" w:right="220" w:hanging="446"/>
        <w:spacing w:after="0" w:line="259" w:lineRule="auto"/>
        <w:tabs>
          <w:tab w:leader="none" w:pos="900" w:val="left"/>
        </w:tabs>
        <w:numPr>
          <w:ilvl w:val="1"/>
          <w:numId w:val="42"/>
        </w:numPr>
        <w:rPr>
          <w:rFonts w:ascii="Arial" w:cs="Arial" w:eastAsia="Arial" w:hAnsi="Arial"/>
          <w:sz w:val="18"/>
          <w:szCs w:val="18"/>
          <w:color w:val="auto"/>
        </w:rPr>
      </w:pPr>
      <w:r>
        <w:rPr>
          <w:rFonts w:ascii="Arial" w:cs="Arial" w:eastAsia="Arial" w:hAnsi="Arial"/>
          <w:sz w:val="18"/>
          <w:szCs w:val="18"/>
          <w:color w:val="auto"/>
        </w:rPr>
        <w:t>The effects of any future amendment to the tax arrangements, which apply to the issuance of securities to the Israeli Employees, shall apply to the Israeli Employees in accordance with such provisions of law, and the Israeli Employees shall bear the full cost thereof, unless the modified arrangement expressly provides otherwise.</w:t>
      </w:r>
    </w:p>
    <w:p>
      <w:pPr>
        <w:spacing w:after="0" w:line="59" w:lineRule="exact"/>
        <w:rPr>
          <w:rFonts w:ascii="Arial" w:cs="Arial" w:eastAsia="Arial" w:hAnsi="Arial"/>
          <w:sz w:val="18"/>
          <w:szCs w:val="18"/>
          <w:color w:val="auto"/>
        </w:rPr>
      </w:pPr>
    </w:p>
    <w:p>
      <w:pPr>
        <w:ind w:left="900" w:right="120" w:hanging="446"/>
        <w:spacing w:after="0" w:line="256" w:lineRule="auto"/>
        <w:tabs>
          <w:tab w:leader="none" w:pos="900" w:val="left"/>
        </w:tabs>
        <w:numPr>
          <w:ilvl w:val="1"/>
          <w:numId w:val="42"/>
        </w:numPr>
        <w:rPr>
          <w:rFonts w:ascii="Arial" w:cs="Arial" w:eastAsia="Arial" w:hAnsi="Arial"/>
          <w:sz w:val="18"/>
          <w:szCs w:val="18"/>
          <w:color w:val="auto"/>
        </w:rPr>
      </w:pPr>
      <w:r>
        <w:rPr>
          <w:rFonts w:ascii="Arial" w:cs="Arial" w:eastAsia="Arial" w:hAnsi="Arial"/>
          <w:sz w:val="18"/>
          <w:szCs w:val="18"/>
          <w:color w:val="auto"/>
        </w:rPr>
        <w:t>Each Israeli Employee shall indemnify the Employer and/or the Trustee, immediately upon receipt of notice from the Employer and/or the Trustee, for any amount (including interest and/or fines of any type and/or linkage differentials in respect of tax and/or withheld tax) payable by such Israeli Employee under law (including under the 102 Provisions), and which has been paid by the Employer or the Trustee or which the Employer or the Trustee are required to pay by the tax authorities.</w:t>
      </w:r>
    </w:p>
    <w:p>
      <w:pPr>
        <w:spacing w:after="0" w:line="130" w:lineRule="exact"/>
        <w:rPr>
          <w:sz w:val="20"/>
          <w:szCs w:val="20"/>
          <w:color w:val="auto"/>
        </w:rPr>
      </w:pPr>
    </w:p>
    <w:p>
      <w:pPr>
        <w:spacing w:after="0"/>
        <w:rPr>
          <w:sz w:val="20"/>
          <w:szCs w:val="20"/>
          <w:color w:val="auto"/>
        </w:rPr>
      </w:pPr>
      <w:r>
        <w:rPr>
          <w:rFonts w:ascii="Arial" w:cs="Arial" w:eastAsia="Arial" w:hAnsi="Arial"/>
          <w:sz w:val="18"/>
          <w:szCs w:val="18"/>
          <w:color w:val="auto"/>
        </w:rPr>
        <w:t>Israeli Appendix</w:t>
      </w:r>
    </w:p>
    <w:p>
      <w:pPr>
        <w:sectPr>
          <w:pgSz w:w="11900" w:h="16838" w:orient="portrait"/>
          <w:cols w:equalWidth="0" w:num="1">
            <w:col w:w="11360"/>
          </w:cols>
          <w:pgMar w:left="240" w:top="280" w:right="299" w:bottom="1440" w:gutter="0" w:footer="0" w:header="0"/>
        </w:sectPr>
      </w:pPr>
    </w:p>
    <w:bookmarkStart w:id="65" w:name="page66"/>
    <w:bookmarkEnd w:id="65"/>
    <w:p>
      <w:pPr>
        <w:ind w:left="460" w:hanging="452"/>
        <w:spacing w:after="0"/>
        <w:tabs>
          <w:tab w:leader="none" w:pos="460" w:val="left"/>
        </w:tabs>
        <w:numPr>
          <w:ilvl w:val="0"/>
          <w:numId w:val="43"/>
        </w:numPr>
        <w:rPr>
          <w:rFonts w:ascii="Arial" w:cs="Arial" w:eastAsia="Arial" w:hAnsi="Arial"/>
          <w:sz w:val="18"/>
          <w:szCs w:val="18"/>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Miscellaneous</w:t>
      </w:r>
    </w:p>
    <w:p>
      <w:pPr>
        <w:spacing w:after="0" w:line="96" w:lineRule="exact"/>
        <w:rPr>
          <w:rFonts w:ascii="Arial" w:cs="Arial" w:eastAsia="Arial" w:hAnsi="Arial"/>
          <w:sz w:val="18"/>
          <w:szCs w:val="18"/>
          <w:color w:val="auto"/>
        </w:rPr>
      </w:pPr>
    </w:p>
    <w:p>
      <w:pPr>
        <w:ind w:left="900" w:right="580" w:hanging="446"/>
        <w:spacing w:after="0" w:line="268" w:lineRule="auto"/>
        <w:tabs>
          <w:tab w:leader="none" w:pos="900" w:val="left"/>
        </w:tabs>
        <w:numPr>
          <w:ilvl w:val="1"/>
          <w:numId w:val="43"/>
        </w:numPr>
        <w:rPr>
          <w:rFonts w:ascii="Arial" w:cs="Arial" w:eastAsia="Arial" w:hAnsi="Arial"/>
          <w:sz w:val="18"/>
          <w:szCs w:val="18"/>
          <w:color w:val="auto"/>
        </w:rPr>
      </w:pPr>
      <w:r>
        <w:rPr>
          <w:rFonts w:ascii="Arial" w:cs="Arial" w:eastAsia="Arial" w:hAnsi="Arial"/>
          <w:sz w:val="18"/>
          <w:szCs w:val="18"/>
          <w:color w:val="auto"/>
        </w:rPr>
        <w:t>The Israeli Employees shall sign any document required by the Trustee or the Income Tax Commission to give effect to the provisions of this Appendix.</w:t>
      </w:r>
    </w:p>
    <w:p>
      <w:pPr>
        <w:spacing w:after="0" w:line="50" w:lineRule="exact"/>
        <w:rPr>
          <w:rFonts w:ascii="Arial" w:cs="Arial" w:eastAsia="Arial" w:hAnsi="Arial"/>
          <w:sz w:val="18"/>
          <w:szCs w:val="18"/>
          <w:color w:val="auto"/>
        </w:rPr>
      </w:pPr>
    </w:p>
    <w:p>
      <w:pPr>
        <w:ind w:left="900" w:right="140" w:hanging="446"/>
        <w:spacing w:after="0" w:line="306" w:lineRule="auto"/>
        <w:tabs>
          <w:tab w:leader="none" w:pos="900" w:val="left"/>
        </w:tabs>
        <w:numPr>
          <w:ilvl w:val="1"/>
          <w:numId w:val="43"/>
        </w:numPr>
        <w:rPr>
          <w:rFonts w:ascii="Arial" w:cs="Arial" w:eastAsia="Arial" w:hAnsi="Arial"/>
          <w:sz w:val="16"/>
          <w:szCs w:val="16"/>
          <w:color w:val="auto"/>
        </w:rPr>
      </w:pPr>
      <w:r>
        <w:rPr>
          <w:rFonts w:ascii="Arial" w:cs="Arial" w:eastAsia="Arial" w:hAnsi="Arial"/>
          <w:sz w:val="16"/>
          <w:szCs w:val="16"/>
          <w:color w:val="auto"/>
        </w:rPr>
        <w:t>Without derogating section 19 of the Plan, it is hereby acknowledged that the Options and/or the Exercise Shares are extraordinary, one-off benefits granted to the Offerees, and are not and shall not be deemed a salary component for any purpose whatsoever, including in connection with calculating severance compensation under the Severance Pay Law, 5723-1963 and the regulations promulgated thereunder.</w:t>
      </w:r>
    </w:p>
    <w:p>
      <w:pPr>
        <w:spacing w:after="0" w:line="25" w:lineRule="exact"/>
        <w:rPr>
          <w:rFonts w:ascii="Arial" w:cs="Arial" w:eastAsia="Arial" w:hAnsi="Arial"/>
          <w:sz w:val="16"/>
          <w:szCs w:val="16"/>
          <w:color w:val="auto"/>
        </w:rPr>
      </w:pPr>
    </w:p>
    <w:p>
      <w:pPr>
        <w:ind w:left="900" w:right="20" w:hanging="446"/>
        <w:spacing w:after="0" w:line="259" w:lineRule="auto"/>
        <w:tabs>
          <w:tab w:leader="none" w:pos="900" w:val="left"/>
        </w:tabs>
        <w:numPr>
          <w:ilvl w:val="1"/>
          <w:numId w:val="43"/>
        </w:numPr>
        <w:rPr>
          <w:rFonts w:ascii="Arial" w:cs="Arial" w:eastAsia="Arial" w:hAnsi="Arial"/>
          <w:sz w:val="18"/>
          <w:szCs w:val="18"/>
          <w:color w:val="auto"/>
        </w:rPr>
      </w:pPr>
      <w:r>
        <w:rPr>
          <w:rFonts w:ascii="Arial" w:cs="Arial" w:eastAsia="Arial" w:hAnsi="Arial"/>
          <w:sz w:val="18"/>
          <w:szCs w:val="18"/>
          <w:color w:val="auto"/>
        </w:rPr>
        <w:t>In the event of a change in control of the Company is proposed during the Tax Lock Up Period, the consummation which will cause the breach of the terms of the 102 Provisions, the Company will use its best efforts to apply to the Israeli Tax Authorities to obtain a pre-ruling to regulate the tax treatment applicable to the Options in the context of the proposed transaction.</w:t>
      </w:r>
    </w:p>
    <w:p>
      <w:pPr>
        <w:spacing w:after="0" w:line="59" w:lineRule="exact"/>
        <w:rPr>
          <w:rFonts w:ascii="Arial" w:cs="Arial" w:eastAsia="Arial" w:hAnsi="Arial"/>
          <w:sz w:val="18"/>
          <w:szCs w:val="18"/>
          <w:color w:val="auto"/>
        </w:rPr>
      </w:pPr>
    </w:p>
    <w:p>
      <w:pPr>
        <w:ind w:left="900" w:hanging="446"/>
        <w:spacing w:after="0" w:line="268" w:lineRule="auto"/>
        <w:tabs>
          <w:tab w:leader="none" w:pos="900" w:val="left"/>
        </w:tabs>
        <w:numPr>
          <w:ilvl w:val="1"/>
          <w:numId w:val="43"/>
        </w:numPr>
        <w:rPr>
          <w:rFonts w:ascii="Arial" w:cs="Arial" w:eastAsia="Arial" w:hAnsi="Arial"/>
          <w:sz w:val="18"/>
          <w:szCs w:val="18"/>
          <w:color w:val="auto"/>
        </w:rPr>
      </w:pPr>
      <w:r>
        <w:rPr>
          <w:rFonts w:ascii="Arial" w:cs="Arial" w:eastAsia="Arial" w:hAnsi="Arial"/>
          <w:sz w:val="18"/>
          <w:szCs w:val="18"/>
          <w:color w:val="auto"/>
        </w:rPr>
        <w:t>Except as expressly provided in this Appendix, the provisions of this Appendix do not supercede any provisions of the Plan, and the provisions of the Plan shall govern all Options granted to Israeli Employees.</w:t>
      </w:r>
    </w:p>
    <w:p>
      <w:pPr>
        <w:spacing w:after="0" w:line="118" w:lineRule="exact"/>
        <w:rPr>
          <w:sz w:val="20"/>
          <w:szCs w:val="20"/>
          <w:color w:val="auto"/>
        </w:rPr>
      </w:pPr>
    </w:p>
    <w:p>
      <w:pPr>
        <w:spacing w:after="0"/>
        <w:rPr>
          <w:sz w:val="20"/>
          <w:szCs w:val="20"/>
          <w:color w:val="auto"/>
        </w:rPr>
      </w:pPr>
      <w:r>
        <w:rPr>
          <w:rFonts w:ascii="Arial" w:cs="Arial" w:eastAsia="Arial" w:hAnsi="Arial"/>
          <w:sz w:val="18"/>
          <w:szCs w:val="18"/>
          <w:color w:val="auto"/>
        </w:rPr>
        <w:t>Israeli Appendix</w:t>
      </w:r>
    </w:p>
    <w:p>
      <w:pPr>
        <w:sectPr>
          <w:pgSz w:w="11900" w:h="16838" w:orient="portrait"/>
          <w:cols w:equalWidth="0" w:num="1">
            <w:col w:w="11400"/>
          </w:cols>
          <w:pgMar w:left="240" w:top="274" w:right="259" w:bottom="1440" w:gutter="0" w:footer="0" w:header="0"/>
        </w:sectPr>
      </w:pPr>
    </w:p>
    <w:bookmarkStart w:id="66" w:name="page67"/>
    <w:bookmarkEnd w:id="66"/>
    <w:p>
      <w:pPr>
        <w:jc w:val="center"/>
        <w:ind w:right="-79"/>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APPENDIX A</w:t>
      </w:r>
    </w:p>
    <w:p>
      <w:pPr>
        <w:spacing w:after="0" w:line="171"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2010 APPENDIX TO THE MARVELL TECHNOLOGY GROUP LTD.</w:t>
      </w:r>
    </w:p>
    <w:p>
      <w:pPr>
        <w:spacing w:after="0" w:line="21"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AMENDED AND RESTATED 1995 STOCK OPTION PLAN IN RESPECT OF</w:t>
      </w:r>
    </w:p>
    <w:p>
      <w:pPr>
        <w:spacing w:after="0" w:line="9"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PERFORMANCE-BASED COMPENSATION UNDER CODE SECTION 162(m)</w:t>
      </w:r>
    </w:p>
    <w:p>
      <w:pPr>
        <w:spacing w:after="0" w:line="199" w:lineRule="exact"/>
        <w:rPr>
          <w:sz w:val="20"/>
          <w:szCs w:val="20"/>
          <w:color w:val="auto"/>
        </w:rPr>
      </w:pPr>
    </w:p>
    <w:p>
      <w:pPr>
        <w:ind w:left="460" w:hanging="452"/>
        <w:spacing w:after="0"/>
        <w:tabs>
          <w:tab w:leader="none" w:pos="460" w:val="left"/>
        </w:tabs>
        <w:numPr>
          <w:ilvl w:val="0"/>
          <w:numId w:val="44"/>
        </w:numPr>
        <w:rPr>
          <w:rFonts w:ascii="Arial" w:cs="Arial" w:eastAsia="Arial" w:hAnsi="Arial"/>
          <w:sz w:val="18"/>
          <w:szCs w:val="18"/>
          <w:b w:val="1"/>
          <w:bCs w:val="1"/>
          <w:color w:val="auto"/>
        </w:rPr>
      </w:pPr>
      <w:r>
        <w:rPr>
          <w:rFonts w:ascii="Arial" w:cs="Arial" w:eastAsia="Arial" w:hAnsi="Arial"/>
          <w:sz w:val="18"/>
          <w:szCs w:val="18"/>
          <w:b w:val="1"/>
          <w:bCs w:val="1"/>
          <w:color w:val="auto"/>
        </w:rPr>
        <w:t>Purpose</w:t>
      </w:r>
    </w:p>
    <w:p>
      <w:pPr>
        <w:spacing w:after="0" w:line="96" w:lineRule="exact"/>
        <w:rPr>
          <w:rFonts w:ascii="Arial" w:cs="Arial" w:eastAsia="Arial" w:hAnsi="Arial"/>
          <w:sz w:val="18"/>
          <w:szCs w:val="18"/>
          <w:b w:val="1"/>
          <w:bCs w:val="1"/>
          <w:color w:val="auto"/>
        </w:rPr>
      </w:pPr>
    </w:p>
    <w:p>
      <w:pPr>
        <w:ind w:left="460" w:right="200"/>
        <w:spacing w:after="0" w:line="332" w:lineRule="auto"/>
        <w:rPr>
          <w:rFonts w:ascii="Arial" w:cs="Arial" w:eastAsia="Arial" w:hAnsi="Arial"/>
          <w:sz w:val="18"/>
          <w:szCs w:val="18"/>
          <w:b w:val="1"/>
          <w:bCs w:val="1"/>
          <w:color w:val="auto"/>
        </w:rPr>
      </w:pPr>
      <w:r>
        <w:rPr>
          <w:rFonts w:ascii="Arial" w:cs="Arial" w:eastAsia="Arial" w:hAnsi="Arial"/>
          <w:sz w:val="16"/>
          <w:szCs w:val="16"/>
          <w:color w:val="auto"/>
        </w:rPr>
        <w:t>The purpose of this Appendix is to modify, to the extent set forth herein, the Marvell Technology Group Ltd. Amended and Restated 1995 Stock Option Plan (the “Plan”) with respect to Awards intended to qualify as “performance-based compensation” under Section 162(m) of the Code.</w:t>
      </w:r>
    </w:p>
    <w:p>
      <w:pPr>
        <w:spacing w:after="0" w:line="200" w:lineRule="exact"/>
        <w:rPr>
          <w:rFonts w:ascii="Arial" w:cs="Arial" w:eastAsia="Arial" w:hAnsi="Arial"/>
          <w:sz w:val="18"/>
          <w:szCs w:val="18"/>
          <w:b w:val="1"/>
          <w:bCs w:val="1"/>
          <w:color w:val="auto"/>
        </w:rPr>
      </w:pPr>
    </w:p>
    <w:p>
      <w:pPr>
        <w:ind w:left="460" w:hanging="452"/>
        <w:spacing w:after="0"/>
        <w:tabs>
          <w:tab w:leader="none" w:pos="460" w:val="left"/>
        </w:tabs>
        <w:numPr>
          <w:ilvl w:val="0"/>
          <w:numId w:val="44"/>
        </w:numPr>
        <w:rPr>
          <w:rFonts w:ascii="Arial" w:cs="Arial" w:eastAsia="Arial" w:hAnsi="Arial"/>
          <w:sz w:val="18"/>
          <w:szCs w:val="18"/>
          <w:b w:val="1"/>
          <w:bCs w:val="1"/>
          <w:color w:val="auto"/>
        </w:rPr>
      </w:pPr>
      <w:r>
        <w:rPr>
          <w:rFonts w:ascii="Arial" w:cs="Arial" w:eastAsia="Arial" w:hAnsi="Arial"/>
          <w:sz w:val="18"/>
          <w:szCs w:val="18"/>
          <w:b w:val="1"/>
          <w:bCs w:val="1"/>
          <w:color w:val="auto"/>
        </w:rPr>
        <w:t>Capitalized Terms</w:t>
      </w:r>
    </w:p>
    <w:p>
      <w:pPr>
        <w:spacing w:after="0" w:line="96" w:lineRule="exact"/>
        <w:rPr>
          <w:rFonts w:ascii="Arial" w:cs="Arial" w:eastAsia="Arial" w:hAnsi="Arial"/>
          <w:sz w:val="18"/>
          <w:szCs w:val="18"/>
          <w:b w:val="1"/>
          <w:bCs w:val="1"/>
          <w:color w:val="auto"/>
        </w:rPr>
      </w:pPr>
    </w:p>
    <w:p>
      <w:pPr>
        <w:ind w:left="1140" w:hanging="237"/>
        <w:spacing w:after="0"/>
        <w:tabs>
          <w:tab w:leader="none" w:pos="1140" w:val="left"/>
        </w:tabs>
        <w:numPr>
          <w:ilvl w:val="1"/>
          <w:numId w:val="44"/>
        </w:numPr>
        <w:rPr>
          <w:rFonts w:ascii="Arial" w:cs="Arial" w:eastAsia="Arial" w:hAnsi="Arial"/>
          <w:sz w:val="16"/>
          <w:szCs w:val="16"/>
          <w:color w:val="auto"/>
        </w:rPr>
      </w:pPr>
      <w:r>
        <w:rPr>
          <w:rFonts w:ascii="Arial" w:cs="Arial" w:eastAsia="Arial" w:hAnsi="Arial"/>
          <w:sz w:val="16"/>
          <w:szCs w:val="16"/>
          <w:color w:val="auto"/>
        </w:rPr>
        <w:t>Capitalized terms contained herein shall have the same meanings given to them in the Plan, unless otherwise provided by this Appendix.</w:t>
      </w:r>
    </w:p>
    <w:p>
      <w:pPr>
        <w:spacing w:after="0" w:line="113" w:lineRule="exact"/>
        <w:rPr>
          <w:rFonts w:ascii="Arial" w:cs="Arial" w:eastAsia="Arial" w:hAnsi="Arial"/>
          <w:sz w:val="16"/>
          <w:szCs w:val="16"/>
          <w:color w:val="auto"/>
        </w:rPr>
      </w:pPr>
    </w:p>
    <w:p>
      <w:pPr>
        <w:ind w:left="1160" w:hanging="257"/>
        <w:spacing w:after="0"/>
        <w:tabs>
          <w:tab w:leader="none" w:pos="1160" w:val="left"/>
        </w:tabs>
        <w:numPr>
          <w:ilvl w:val="1"/>
          <w:numId w:val="44"/>
        </w:numPr>
        <w:rPr>
          <w:rFonts w:ascii="Arial" w:cs="Arial" w:eastAsia="Arial" w:hAnsi="Arial"/>
          <w:sz w:val="18"/>
          <w:szCs w:val="18"/>
          <w:color w:val="auto"/>
        </w:rPr>
      </w:pPr>
      <w:r>
        <w:rPr>
          <w:rFonts w:ascii="Arial" w:cs="Arial" w:eastAsia="Arial" w:hAnsi="Arial"/>
          <w:sz w:val="18"/>
          <w:szCs w:val="18"/>
          <w:color w:val="auto"/>
        </w:rPr>
        <w:t>In addition, in this Appendix, the following terms shall have the meanings set forth beside them:</w:t>
      </w:r>
    </w:p>
    <w:p>
      <w:pPr>
        <w:spacing w:after="0" w:line="84" w:lineRule="exact"/>
        <w:rPr>
          <w:sz w:val="20"/>
          <w:szCs w:val="20"/>
          <w:color w:val="auto"/>
        </w:rPr>
      </w:pPr>
    </w:p>
    <w:p>
      <w:pPr>
        <w:ind w:left="920"/>
        <w:spacing w:after="0" w:line="310" w:lineRule="auto"/>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Determination Date</w:t>
      </w:r>
      <w:r>
        <w:rPr>
          <w:rFonts w:ascii="Arial" w:cs="Arial" w:eastAsia="Arial" w:hAnsi="Arial"/>
          <w:sz w:val="16"/>
          <w:szCs w:val="16"/>
          <w:color w:val="auto"/>
        </w:rPr>
        <w:t>” means a date within ninety (90) days following the commencement of any Performance Period, but in no event after twenty-five percent (25%) of the Performance Period has elapsed (or such other time as may be required or permitted that will not jeopardize the qualification of an Award granted under the Plan as performance-based compensation under Section 162(m) of the Code).</w:t>
      </w:r>
    </w:p>
    <w:p>
      <w:pPr>
        <w:spacing w:after="0" w:line="16"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Fiscal Year</w:t>
      </w:r>
      <w:r>
        <w:rPr>
          <w:rFonts w:ascii="Arial" w:cs="Arial" w:eastAsia="Arial" w:hAnsi="Arial"/>
          <w:sz w:val="18"/>
          <w:szCs w:val="18"/>
          <w:color w:val="auto"/>
        </w:rPr>
        <w:t>” means the fiscal year of the Company.</w:t>
      </w:r>
    </w:p>
    <w:p>
      <w:pPr>
        <w:spacing w:after="0" w:line="9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Performance Goals</w:t>
      </w:r>
      <w:r>
        <w:rPr>
          <w:rFonts w:ascii="Arial" w:cs="Arial" w:eastAsia="Arial" w:hAnsi="Arial"/>
          <w:sz w:val="18"/>
          <w:szCs w:val="18"/>
          <w:color w:val="auto"/>
        </w:rPr>
        <w:t>” will have the meaning set forth in Section 4 of this Appendix.</w:t>
      </w:r>
    </w:p>
    <w:p>
      <w:pPr>
        <w:spacing w:after="0" w:line="90" w:lineRule="exact"/>
        <w:rPr>
          <w:sz w:val="20"/>
          <w:szCs w:val="20"/>
          <w:color w:val="auto"/>
        </w:rPr>
      </w:pPr>
    </w:p>
    <w:p>
      <w:pPr>
        <w:ind w:left="92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Performance Period</w:t>
      </w:r>
      <w:r>
        <w:rPr>
          <w:rFonts w:ascii="Arial" w:cs="Arial" w:eastAsia="Arial" w:hAnsi="Arial"/>
          <w:sz w:val="16"/>
          <w:szCs w:val="16"/>
          <w:color w:val="auto"/>
        </w:rPr>
        <w:t>” means a Fiscal Year or such longer or shorter period as determined by the Administrator in its sole discretion.</w:t>
      </w:r>
    </w:p>
    <w:p>
      <w:pPr>
        <w:spacing w:after="0" w:line="316" w:lineRule="exact"/>
        <w:rPr>
          <w:sz w:val="20"/>
          <w:szCs w:val="20"/>
          <w:color w:val="auto"/>
        </w:rPr>
      </w:pPr>
    </w:p>
    <w:p>
      <w:pPr>
        <w:ind w:left="460" w:hanging="452"/>
        <w:spacing w:after="0"/>
        <w:tabs>
          <w:tab w:leader="none" w:pos="460" w:val="left"/>
        </w:tabs>
        <w:numPr>
          <w:ilvl w:val="0"/>
          <w:numId w:val="45"/>
        </w:numPr>
        <w:rPr>
          <w:rFonts w:ascii="Arial" w:cs="Arial" w:eastAsia="Arial" w:hAnsi="Arial"/>
          <w:sz w:val="18"/>
          <w:szCs w:val="18"/>
          <w:b w:val="1"/>
          <w:bCs w:val="1"/>
          <w:color w:val="auto"/>
        </w:rPr>
      </w:pPr>
      <w:r>
        <w:rPr>
          <w:rFonts w:ascii="Arial" w:cs="Arial" w:eastAsia="Arial" w:hAnsi="Arial"/>
          <w:sz w:val="18"/>
          <w:szCs w:val="18"/>
          <w:b w:val="1"/>
          <w:bCs w:val="1"/>
          <w:color w:val="auto"/>
        </w:rPr>
        <w:t>General</w:t>
      </w:r>
    </w:p>
    <w:p>
      <w:pPr>
        <w:spacing w:after="0" w:line="96" w:lineRule="exact"/>
        <w:rPr>
          <w:rFonts w:ascii="Arial" w:cs="Arial" w:eastAsia="Arial" w:hAnsi="Arial"/>
          <w:sz w:val="18"/>
          <w:szCs w:val="18"/>
          <w:b w:val="1"/>
          <w:bCs w:val="1"/>
          <w:color w:val="auto"/>
        </w:rPr>
      </w:pPr>
    </w:p>
    <w:p>
      <w:pPr>
        <w:ind w:left="460" w:right="120"/>
        <w:spacing w:after="0" w:line="294" w:lineRule="auto"/>
        <w:rPr>
          <w:rFonts w:ascii="Arial" w:cs="Arial" w:eastAsia="Arial" w:hAnsi="Arial"/>
          <w:sz w:val="18"/>
          <w:szCs w:val="18"/>
          <w:b w:val="1"/>
          <w:bCs w:val="1"/>
          <w:color w:val="auto"/>
        </w:rPr>
      </w:pPr>
      <w:r>
        <w:rPr>
          <w:rFonts w:ascii="Arial" w:cs="Arial" w:eastAsia="Arial" w:hAnsi="Arial"/>
          <w:sz w:val="16"/>
          <w:szCs w:val="16"/>
          <w:color w:val="auto"/>
        </w:rPr>
        <w:t>If the Administrator, in its discretion, decides to grant an Award intended to qualify as “performance-based compensation” under Section 162(m) of the Code, the provisions of this Appendix will control over any contrary provision in the Plan. The Administrator, in its discretion, may set restrictions based upon the achievement of Performance Goals (as defined in Section 2 of this Appendix). The Performance Goals will be set by the Administrator on or before the Determination Date (as defined in Section 2 of this Appendix). In granting Awards which are intended to qualify under Section 162(m) of the Code, the Administrator will follow any procedures determined by it from time to</w:t>
      </w:r>
    </w:p>
    <w:p>
      <w:pPr>
        <w:spacing w:after="0" w:line="102" w:lineRule="exact"/>
        <w:rPr>
          <w:sz w:val="20"/>
          <w:szCs w:val="20"/>
          <w:color w:val="auto"/>
        </w:rPr>
      </w:pPr>
    </w:p>
    <w:p>
      <w:pPr>
        <w:spacing w:after="0"/>
        <w:rPr>
          <w:sz w:val="20"/>
          <w:szCs w:val="20"/>
          <w:color w:val="auto"/>
        </w:rPr>
      </w:pPr>
      <w:r>
        <w:rPr>
          <w:rFonts w:ascii="Arial" w:cs="Arial" w:eastAsia="Arial" w:hAnsi="Arial"/>
          <w:sz w:val="18"/>
          <w:szCs w:val="18"/>
          <w:color w:val="auto"/>
        </w:rPr>
        <w:t>162(m) Appendix</w:t>
      </w:r>
    </w:p>
    <w:p>
      <w:pPr>
        <w:sectPr>
          <w:pgSz w:w="11900" w:h="16838" w:orient="portrait"/>
          <w:cols w:equalWidth="0" w:num="1">
            <w:col w:w="11340"/>
          </w:cols>
          <w:pgMar w:left="240" w:top="274" w:right="319" w:bottom="1440" w:gutter="0" w:footer="0" w:header="0"/>
        </w:sectPr>
      </w:pPr>
    </w:p>
    <w:bookmarkStart w:id="67" w:name="page68"/>
    <w:bookmarkEnd w:id="67"/>
    <w:p>
      <w:pPr>
        <w:ind w:left="460" w:right="180"/>
        <w:spacing w:after="0" w:line="256"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time to be necessary or appropriate to ensure qualification of the Award under Section 162(m) of the Code (e.g., in determining the Performance Goals). Notwithstanding the foregoing, the Administrator may, in its discretion, grant Awards that are not intended to qualify as “performance-based compensation” under Section 162(m) of the Code to such Grantees that are based on Performance Goals or other specific criteria or goals but that do not satisfy the requirements of this Appendix.</w:t>
      </w:r>
    </w:p>
    <w:p>
      <w:pPr>
        <w:spacing w:after="0" w:line="259" w:lineRule="exact"/>
        <w:rPr>
          <w:sz w:val="20"/>
          <w:szCs w:val="20"/>
          <w:color w:val="auto"/>
        </w:rPr>
      </w:pPr>
    </w:p>
    <w:p>
      <w:pPr>
        <w:ind w:left="460" w:hanging="452"/>
        <w:spacing w:after="0"/>
        <w:tabs>
          <w:tab w:leader="none" w:pos="460" w:val="left"/>
        </w:tabs>
        <w:numPr>
          <w:ilvl w:val="0"/>
          <w:numId w:val="46"/>
        </w:numPr>
        <w:rPr>
          <w:rFonts w:ascii="Arial" w:cs="Arial" w:eastAsia="Arial" w:hAnsi="Arial"/>
          <w:sz w:val="18"/>
          <w:szCs w:val="18"/>
          <w:b w:val="1"/>
          <w:bCs w:val="1"/>
          <w:color w:val="auto"/>
        </w:rPr>
      </w:pPr>
      <w:r>
        <w:rPr>
          <w:rFonts w:ascii="Arial" w:cs="Arial" w:eastAsia="Arial" w:hAnsi="Arial"/>
          <w:sz w:val="18"/>
          <w:szCs w:val="18"/>
          <w:b w:val="1"/>
          <w:bCs w:val="1"/>
          <w:color w:val="auto"/>
        </w:rPr>
        <w:t>Performance Goals</w:t>
      </w:r>
    </w:p>
    <w:p>
      <w:pPr>
        <w:spacing w:after="0" w:line="96" w:lineRule="exact"/>
        <w:rPr>
          <w:rFonts w:ascii="Arial" w:cs="Arial" w:eastAsia="Arial" w:hAnsi="Arial"/>
          <w:sz w:val="18"/>
          <w:szCs w:val="18"/>
          <w:b w:val="1"/>
          <w:bCs w:val="1"/>
          <w:color w:val="auto"/>
        </w:rPr>
      </w:pPr>
    </w:p>
    <w:p>
      <w:pPr>
        <w:ind w:left="460"/>
        <w:spacing w:after="0" w:line="284" w:lineRule="auto"/>
        <w:rPr>
          <w:rFonts w:ascii="Arial" w:cs="Arial" w:eastAsia="Arial" w:hAnsi="Arial"/>
          <w:sz w:val="18"/>
          <w:szCs w:val="18"/>
          <w:b w:val="1"/>
          <w:bCs w:val="1"/>
          <w:color w:val="auto"/>
        </w:rPr>
      </w:pPr>
      <w:r>
        <w:rPr>
          <w:rFonts w:ascii="Arial" w:cs="Arial" w:eastAsia="Arial" w:hAnsi="Arial"/>
          <w:sz w:val="16"/>
          <w:szCs w:val="16"/>
          <w:color w:val="auto"/>
        </w:rPr>
        <w:t>The granting and/or vesting of restricted or unrestricted Awards of Common Stock, stock units, performance awards and other incentives under the Plan may be made subject to the attainment of performance goals (“Performance Goals”). The Administrator shall establish objective Performance Goals based upon one or more targeted levels of achievement relating to one or more of the following “business criteria” within the meaning of Section 162(m) of the Code: attainment of research and development milestones, business divestitures and acquisitions, cash flow, customer retention rates or acquisition, business unit performance, earnings (which may include earnings before interest, taxes, depreciation or amortization (EBITDA)), earnings per share, expense reduction, gross margin, growth with respect to any of the foregoing measures, market share, net income, new product development, operating income, operating margin, pre-tax profit, product release timelines, productivity, return on capital employed, return on shareholder equity, return on sales, revenue, revenue growth, and total shareholder return. Any criteria used may be measured, as applicable, (A) in absolute terms; (B) in relative terms over the passage of time and/or any measurement against other companies or financial or business or stock index metrics particular to the Company); (C) on a per share and/or share per capita basis; (D) against the performance of the Company as a whole or against any affiliate(s) or a particular segment(s), a business unit(s) or a product(s) of the Company; (E) on a pre-tax or after-tax basis; and/or (F) using an actual foreign exchange rate or on a foreign exchange neutral basis. The Performance Goals may differ from Grantee to Grantee, Performance Period to Performance Period, and from Award to Award. Prior to the Determination Date, the Administrator will determine whether any significant element(s) will be included in or excluded from the calculation of any Performance Goal with respect to any Grantee. In all other respects, Performance Goals will be calculated in accordance with the Company’s financial statements, generally accepted accounting principles, or under a methodology established by the Administrator prior to or at the time of the issuance of an Award and which is consistently applied with respect to a Performance Goal in the relevant Performance Period. The Administrator will appropriately adjust any evaluation of performance under a Performance Goal to exclude (i) any extraordinary non-recurring items as described in Accounting Principles Board Opinion No. 30 and/or in management’s discussion and analysis of financial conditions and results of operations appearing in the Company’s annual report to stockholders for the applicable year, or (ii) the effect of any changes in accounting principles affecting the Company’s or a business units’ reported results. In addition, the Administrator will adjust any performance criteria, Performance Goal or other feature of an Award that relates to or is wholly or partially based on the number of, or the value of,</w:t>
      </w:r>
    </w:p>
    <w:p>
      <w:pPr>
        <w:spacing w:after="0" w:line="114" w:lineRule="exact"/>
        <w:rPr>
          <w:sz w:val="20"/>
          <w:szCs w:val="20"/>
          <w:color w:val="auto"/>
        </w:rPr>
      </w:pPr>
    </w:p>
    <w:p>
      <w:pPr>
        <w:spacing w:after="0"/>
        <w:rPr>
          <w:sz w:val="20"/>
          <w:szCs w:val="20"/>
          <w:color w:val="auto"/>
        </w:rPr>
      </w:pPr>
      <w:r>
        <w:rPr>
          <w:rFonts w:ascii="Arial" w:cs="Arial" w:eastAsia="Arial" w:hAnsi="Arial"/>
          <w:sz w:val="18"/>
          <w:szCs w:val="18"/>
          <w:color w:val="auto"/>
        </w:rPr>
        <w:t>162(m) Appendix</w:t>
      </w:r>
    </w:p>
    <w:p>
      <w:pPr>
        <w:sectPr>
          <w:pgSz w:w="11900" w:h="16838" w:orient="portrait"/>
          <w:cols w:equalWidth="0" w:num="1">
            <w:col w:w="11360"/>
          </w:cols>
          <w:pgMar w:left="240" w:top="280" w:right="299" w:bottom="1440" w:gutter="0" w:footer="0" w:header="0"/>
        </w:sectPr>
      </w:pPr>
    </w:p>
    <w:bookmarkStart w:id="68" w:name="page69"/>
    <w:bookmarkEnd w:id="68"/>
    <w:p>
      <w:pPr>
        <w:ind w:left="460" w:right="6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any stock of the Company, to reflect any stock split, reverse stock split, stock dividend, combination or reclassification of the Common Stock, or any other change in the number of issued Shares effected without receipt of consideration by the Company (not counting Shares issued upon conversion or convertible securities to the Company as “effected without receipt of consideration”).</w:t>
      </w:r>
    </w:p>
    <w:p>
      <w:pPr>
        <w:spacing w:after="0" w:line="256" w:lineRule="exact"/>
        <w:rPr>
          <w:sz w:val="20"/>
          <w:szCs w:val="20"/>
          <w:color w:val="auto"/>
        </w:rPr>
      </w:pPr>
    </w:p>
    <w:p>
      <w:pPr>
        <w:ind w:left="460" w:hanging="452"/>
        <w:spacing w:after="0"/>
        <w:tabs>
          <w:tab w:leader="none" w:pos="460" w:val="left"/>
        </w:tabs>
        <w:numPr>
          <w:ilvl w:val="0"/>
          <w:numId w:val="47"/>
        </w:numPr>
        <w:rPr>
          <w:rFonts w:ascii="Arial" w:cs="Arial" w:eastAsia="Arial" w:hAnsi="Arial"/>
          <w:sz w:val="18"/>
          <w:szCs w:val="18"/>
          <w:b w:val="1"/>
          <w:bCs w:val="1"/>
          <w:color w:val="auto"/>
        </w:rPr>
      </w:pPr>
      <w:r>
        <w:rPr>
          <w:rFonts w:ascii="Arial" w:cs="Arial" w:eastAsia="Arial" w:hAnsi="Arial"/>
          <w:sz w:val="18"/>
          <w:szCs w:val="18"/>
          <w:b w:val="1"/>
          <w:bCs w:val="1"/>
          <w:color w:val="auto"/>
        </w:rPr>
        <w:t>Procedures</w:t>
      </w:r>
    </w:p>
    <w:p>
      <w:pPr>
        <w:spacing w:after="0" w:line="96" w:lineRule="exact"/>
        <w:rPr>
          <w:rFonts w:ascii="Arial" w:cs="Arial" w:eastAsia="Arial" w:hAnsi="Arial"/>
          <w:sz w:val="18"/>
          <w:szCs w:val="18"/>
          <w:b w:val="1"/>
          <w:bCs w:val="1"/>
          <w:color w:val="auto"/>
        </w:rPr>
      </w:pPr>
    </w:p>
    <w:p>
      <w:pPr>
        <w:ind w:left="460"/>
        <w:spacing w:after="0" w:line="254" w:lineRule="auto"/>
        <w:rPr>
          <w:rFonts w:ascii="Arial" w:cs="Arial" w:eastAsia="Arial" w:hAnsi="Arial"/>
          <w:sz w:val="18"/>
          <w:szCs w:val="18"/>
          <w:b w:val="1"/>
          <w:bCs w:val="1"/>
          <w:color w:val="auto"/>
        </w:rPr>
      </w:pPr>
      <w:r>
        <w:rPr>
          <w:rFonts w:ascii="Arial" w:cs="Arial" w:eastAsia="Arial" w:hAnsi="Arial"/>
          <w:sz w:val="18"/>
          <w:szCs w:val="18"/>
          <w:color w:val="auto"/>
        </w:rPr>
        <w:t>To the extent necessary to comply with the performance-based compensation provisions of Section 162(m) of the Code, with respect to any Award granted subject to Performance Goals and intended to qualify as “performance-based compensation” under Section 162(m) of the Code, by the Determination Date, the Administrator will, in writing, (A) designate one or more Grantees to whom an Award will be made, (B) select the Performance Goals applicable to the Performance Period, (C) establish the Performance Goals, and amounts of such Awards, as applicable, which may be earned for such Performance Period, and (D) specify the relationship between Performance Goals and the amounts of such Awards, as applicable, to be earned by each Grantee for such Performance Period.</w:t>
      </w:r>
    </w:p>
    <w:p>
      <w:pPr>
        <w:spacing w:after="0" w:line="259" w:lineRule="exact"/>
        <w:rPr>
          <w:rFonts w:ascii="Arial" w:cs="Arial" w:eastAsia="Arial" w:hAnsi="Arial"/>
          <w:sz w:val="18"/>
          <w:szCs w:val="18"/>
          <w:b w:val="1"/>
          <w:bCs w:val="1"/>
          <w:color w:val="auto"/>
        </w:rPr>
      </w:pPr>
    </w:p>
    <w:p>
      <w:pPr>
        <w:ind w:left="460" w:hanging="452"/>
        <w:spacing w:after="0"/>
        <w:tabs>
          <w:tab w:leader="none" w:pos="460" w:val="left"/>
        </w:tabs>
        <w:numPr>
          <w:ilvl w:val="0"/>
          <w:numId w:val="47"/>
        </w:numPr>
        <w:rPr>
          <w:rFonts w:ascii="Arial" w:cs="Arial" w:eastAsia="Arial" w:hAnsi="Arial"/>
          <w:sz w:val="18"/>
          <w:szCs w:val="18"/>
          <w:b w:val="1"/>
          <w:bCs w:val="1"/>
          <w:color w:val="auto"/>
        </w:rPr>
      </w:pPr>
      <w:r>
        <w:rPr>
          <w:rFonts w:ascii="Arial" w:cs="Arial" w:eastAsia="Arial" w:hAnsi="Arial"/>
          <w:sz w:val="18"/>
          <w:szCs w:val="18"/>
          <w:b w:val="1"/>
          <w:bCs w:val="1"/>
          <w:color w:val="auto"/>
        </w:rPr>
        <w:t>Maximum Award Grants During a Fiscal Year</w:t>
      </w:r>
    </w:p>
    <w:p>
      <w:pPr>
        <w:spacing w:after="0" w:line="96" w:lineRule="exact"/>
        <w:rPr>
          <w:rFonts w:ascii="Arial" w:cs="Arial" w:eastAsia="Arial" w:hAnsi="Arial"/>
          <w:sz w:val="18"/>
          <w:szCs w:val="18"/>
          <w:b w:val="1"/>
          <w:bCs w:val="1"/>
          <w:color w:val="auto"/>
        </w:rPr>
      </w:pPr>
    </w:p>
    <w:p>
      <w:pPr>
        <w:ind w:left="460" w:right="60" w:firstLine="443"/>
        <w:spacing w:after="0" w:line="253" w:lineRule="auto"/>
        <w:tabs>
          <w:tab w:leader="none" w:pos="1137" w:val="left"/>
        </w:tabs>
        <w:numPr>
          <w:ilvl w:val="1"/>
          <w:numId w:val="47"/>
        </w:numPr>
        <w:rPr>
          <w:rFonts w:ascii="Arial" w:cs="Arial" w:eastAsia="Arial" w:hAnsi="Arial"/>
          <w:sz w:val="18"/>
          <w:szCs w:val="18"/>
          <w:color w:val="auto"/>
        </w:rPr>
      </w:pPr>
      <w:r>
        <w:rPr>
          <w:rFonts w:ascii="Arial" w:cs="Arial" w:eastAsia="Arial" w:hAnsi="Arial"/>
          <w:sz w:val="18"/>
          <w:szCs w:val="18"/>
          <w:color w:val="auto"/>
        </w:rPr>
        <w:t>Notwithstanding any contrary provision in the Plan, for stock awards intended to qualify as “performance-based compensation” within the meaning of Section 162(m) of the Code, during any Fiscal Year no Grantee will receive more than an aggregate of 500,000 Shares subject to stock awards. Notwithstanding the limitation in the previous sentence, in connection with his or her initial service as an Employee, an Employee may be granted Shares subject to stock awards covering up to an additional 500,000 Shares subject to stock awards (for the avoidance of doubt, an Employee can be granted up to 1,000,000 Shares subject to stock awards intended to qualify as “performance-based compensation” in connection with his or her initial service as an Employee). The foregoing limitations will be adjusted proportionately in connection with any change in the Company’s capitalization as described in Section 14 of the Plan.</w:t>
      </w:r>
    </w:p>
    <w:p>
      <w:pPr>
        <w:spacing w:after="0" w:line="66" w:lineRule="exact"/>
        <w:rPr>
          <w:rFonts w:ascii="Arial" w:cs="Arial" w:eastAsia="Arial" w:hAnsi="Arial"/>
          <w:sz w:val="18"/>
          <w:szCs w:val="18"/>
          <w:color w:val="auto"/>
        </w:rPr>
      </w:pPr>
    </w:p>
    <w:p>
      <w:pPr>
        <w:ind w:left="460" w:right="20" w:firstLine="443"/>
        <w:spacing w:after="0" w:line="291" w:lineRule="auto"/>
        <w:tabs>
          <w:tab w:leader="none" w:pos="1147" w:val="left"/>
        </w:tabs>
        <w:numPr>
          <w:ilvl w:val="1"/>
          <w:numId w:val="47"/>
        </w:numPr>
        <w:rPr>
          <w:rFonts w:ascii="Arial" w:cs="Arial" w:eastAsia="Arial" w:hAnsi="Arial"/>
          <w:sz w:val="16"/>
          <w:szCs w:val="16"/>
          <w:color w:val="auto"/>
        </w:rPr>
      </w:pPr>
      <w:r>
        <w:rPr>
          <w:rFonts w:ascii="Arial" w:cs="Arial" w:eastAsia="Arial" w:hAnsi="Arial"/>
          <w:sz w:val="16"/>
          <w:szCs w:val="16"/>
          <w:color w:val="auto"/>
        </w:rPr>
        <w:t>Notwithstanding any contrary provision in the Plan, for stock units intended to qualify as “performance-based compensation” within the meaning of Section 162(m) of the Code, during any Fiscal Year no Grantee will receive more than an aggregate of 500,000 stock units. Notwithstanding the limitation in the previous sentence, in connection with his or her initial service as an Employee, an Employee may be granted up to an additional 500,000 stock units (for the avoidance of doubt, an Employee can be granted up to 1,000,000 Shares subject to stock units intended to qualify as “performance-based compensation” in connection with his or her initial service as an Employee). The foregoing limitations will be adjusted proportionately in connection with any change in the Company’s capitalization as described in Section 14 of the Plan.</w:t>
      </w:r>
    </w:p>
    <w:p>
      <w:pPr>
        <w:spacing w:after="0" w:line="107" w:lineRule="exact"/>
        <w:rPr>
          <w:sz w:val="20"/>
          <w:szCs w:val="20"/>
          <w:color w:val="auto"/>
        </w:rPr>
      </w:pPr>
    </w:p>
    <w:p>
      <w:pPr>
        <w:spacing w:after="0"/>
        <w:rPr>
          <w:sz w:val="20"/>
          <w:szCs w:val="20"/>
          <w:color w:val="auto"/>
        </w:rPr>
      </w:pPr>
      <w:r>
        <w:rPr>
          <w:rFonts w:ascii="Arial" w:cs="Arial" w:eastAsia="Arial" w:hAnsi="Arial"/>
          <w:sz w:val="18"/>
          <w:szCs w:val="18"/>
          <w:color w:val="auto"/>
        </w:rPr>
        <w:t>162(m) Appendix</w:t>
      </w:r>
    </w:p>
    <w:p>
      <w:pPr>
        <w:sectPr>
          <w:pgSz w:w="11900" w:h="16838" w:orient="portrait"/>
          <w:cols w:equalWidth="0" w:num="1">
            <w:col w:w="11400"/>
          </w:cols>
          <w:pgMar w:left="240" w:top="280" w:right="259" w:bottom="1440" w:gutter="0" w:footer="0" w:header="0"/>
        </w:sectPr>
      </w:pPr>
    </w:p>
    <w:bookmarkStart w:id="69" w:name="page70"/>
    <w:bookmarkEnd w:id="69"/>
    <w:p>
      <w:pPr>
        <w:ind w:left="460" w:firstLine="443"/>
        <w:spacing w:after="0" w:line="314" w:lineRule="auto"/>
        <w:tabs>
          <w:tab w:leader="none" w:pos="1137" w:val="left"/>
        </w:tabs>
        <w:numPr>
          <w:ilvl w:val="1"/>
          <w:numId w:val="48"/>
        </w:numPr>
        <w:rPr>
          <w:rFonts w:ascii="Arial" w:cs="Arial" w:eastAsia="Arial" w:hAnsi="Arial"/>
          <w:sz w:val="15"/>
          <w:szCs w:val="15"/>
          <w:color w:val="auto"/>
        </w:rPr>
      </w:pPr>
      <w:r>
        <w:rPr>
          <w:rFonts w:ascii="Arial" w:cs="Arial" w:eastAsia="Arial" w:hAnsi="Arial"/>
          <w:sz w:val="15"/>
          <w:szCs w:val="15"/>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Notwithstanding any contrary provision in the Plan, for performance awards intended to qualify as “performance-based compensation” within the meaning of Section 162(m) of the Code, during any Fiscal Year no Grantee will receive more than an aggregate of 500,000 Shares subject to performance awards. Notwithstanding the limitation in the previous sentence, in connection with his or her initial service as an Employee, an Employee may be granted up to an additional 500,000 Shares subject to performance awards (for the avoidance of doubt, an Employee can be granted up to 1,000,000 Shares subject to stock awards intended to qualify as “performance-based compensation” in connection with his or her initial service as an Employee). The foregoing limitations will be adjusted proportionately in connection with any change in the Company’s capitalization as described in Section 14 of the Plan.</w:t>
      </w:r>
    </w:p>
    <w:p>
      <w:pPr>
        <w:spacing w:after="0" w:line="23" w:lineRule="exact"/>
        <w:rPr>
          <w:rFonts w:ascii="Arial" w:cs="Arial" w:eastAsia="Arial" w:hAnsi="Arial"/>
          <w:sz w:val="15"/>
          <w:szCs w:val="15"/>
          <w:color w:val="auto"/>
        </w:rPr>
      </w:pPr>
    </w:p>
    <w:p>
      <w:pPr>
        <w:ind w:left="460" w:right="100" w:firstLine="443"/>
        <w:spacing w:after="0" w:line="291" w:lineRule="auto"/>
        <w:tabs>
          <w:tab w:leader="none" w:pos="1147" w:val="left"/>
        </w:tabs>
        <w:numPr>
          <w:ilvl w:val="1"/>
          <w:numId w:val="48"/>
        </w:numPr>
        <w:rPr>
          <w:rFonts w:ascii="Arial" w:cs="Arial" w:eastAsia="Arial" w:hAnsi="Arial"/>
          <w:sz w:val="16"/>
          <w:szCs w:val="16"/>
          <w:color w:val="auto"/>
        </w:rPr>
      </w:pPr>
      <w:r>
        <w:rPr>
          <w:rFonts w:ascii="Arial" w:cs="Arial" w:eastAsia="Arial" w:hAnsi="Arial"/>
          <w:sz w:val="16"/>
          <w:szCs w:val="16"/>
          <w:color w:val="auto"/>
        </w:rPr>
        <w:t>Notwithstanding any contrary provision in the Plan, for any stock-based awards denominated in cash intended to qualify as “performance-based compensation” within the meaning of Section 162(m) of the Code, during any Fiscal Year no Grantee will receive more stock-based awards having an initial value greater than $5,000,000. Notwithstanding the limitation in the previous sentence, in connection with his or her initial service as an Employee, an Employee may be granted stock-based awards denominated in cash having an initial value of an additional $5,000,000 (for the avoidance of doubt, an Employee can be granted stock-based awards denominated in cash with an initial value up to $10,000,000 intended to qualify as “performance-based compensation” in connection with his or her initial service as an Employee).</w:t>
      </w:r>
    </w:p>
    <w:p>
      <w:pPr>
        <w:spacing w:after="0" w:line="39" w:lineRule="exact"/>
        <w:rPr>
          <w:rFonts w:ascii="Arial" w:cs="Arial" w:eastAsia="Arial" w:hAnsi="Arial"/>
          <w:sz w:val="16"/>
          <w:szCs w:val="16"/>
          <w:color w:val="auto"/>
        </w:rPr>
      </w:pPr>
    </w:p>
    <w:p>
      <w:pPr>
        <w:ind w:left="460" w:right="120" w:firstLine="443"/>
        <w:spacing w:after="0" w:line="259" w:lineRule="auto"/>
        <w:tabs>
          <w:tab w:leader="none" w:pos="1137" w:val="left"/>
        </w:tabs>
        <w:numPr>
          <w:ilvl w:val="1"/>
          <w:numId w:val="48"/>
        </w:numPr>
        <w:rPr>
          <w:rFonts w:ascii="Arial" w:cs="Arial" w:eastAsia="Arial" w:hAnsi="Arial"/>
          <w:sz w:val="18"/>
          <w:szCs w:val="18"/>
          <w:color w:val="auto"/>
        </w:rPr>
      </w:pPr>
      <w:r>
        <w:rPr>
          <w:rFonts w:ascii="Arial" w:cs="Arial" w:eastAsia="Arial" w:hAnsi="Arial"/>
          <w:sz w:val="18"/>
          <w:szCs w:val="18"/>
          <w:color w:val="auto"/>
        </w:rPr>
        <w:t>For the avoidance of doubt, the limitations set forth in Sections 6(a)-(d) of this Appendix apply only to each type of award in any Fiscal Year. Therefore, an Employee may receive the maximum grant in any Fiscal Year with respect to each type of award intended to qualify as “performance-based compensation” within the meaning of Section 162(m) of the Code.</w:t>
      </w:r>
    </w:p>
    <w:p>
      <w:pPr>
        <w:spacing w:after="0" w:line="255" w:lineRule="exact"/>
        <w:rPr>
          <w:rFonts w:ascii="Arial" w:cs="Arial" w:eastAsia="Arial" w:hAnsi="Arial"/>
          <w:sz w:val="18"/>
          <w:szCs w:val="18"/>
          <w:color w:val="auto"/>
        </w:rPr>
      </w:pPr>
    </w:p>
    <w:p>
      <w:pPr>
        <w:ind w:left="460" w:hanging="452"/>
        <w:spacing w:after="0"/>
        <w:tabs>
          <w:tab w:leader="none" w:pos="460" w:val="left"/>
        </w:tabs>
        <w:numPr>
          <w:ilvl w:val="0"/>
          <w:numId w:val="49"/>
        </w:numPr>
        <w:rPr>
          <w:rFonts w:ascii="Arial" w:cs="Arial" w:eastAsia="Arial" w:hAnsi="Arial"/>
          <w:sz w:val="18"/>
          <w:szCs w:val="18"/>
          <w:b w:val="1"/>
          <w:bCs w:val="1"/>
          <w:color w:val="auto"/>
        </w:rPr>
      </w:pPr>
      <w:r>
        <w:rPr>
          <w:rFonts w:ascii="Arial" w:cs="Arial" w:eastAsia="Arial" w:hAnsi="Arial"/>
          <w:sz w:val="18"/>
          <w:szCs w:val="18"/>
          <w:b w:val="1"/>
          <w:bCs w:val="1"/>
          <w:color w:val="auto"/>
        </w:rPr>
        <w:t>Additional Limitations</w:t>
      </w:r>
    </w:p>
    <w:p>
      <w:pPr>
        <w:spacing w:after="0" w:line="96" w:lineRule="exact"/>
        <w:rPr>
          <w:rFonts w:ascii="Arial" w:cs="Arial" w:eastAsia="Arial" w:hAnsi="Arial"/>
          <w:sz w:val="18"/>
          <w:szCs w:val="18"/>
          <w:b w:val="1"/>
          <w:bCs w:val="1"/>
          <w:color w:val="auto"/>
        </w:rPr>
      </w:pPr>
    </w:p>
    <w:p>
      <w:pPr>
        <w:ind w:left="460" w:right="260"/>
        <w:spacing w:after="0" w:line="298" w:lineRule="auto"/>
        <w:rPr>
          <w:rFonts w:ascii="Arial" w:cs="Arial" w:eastAsia="Arial" w:hAnsi="Arial"/>
          <w:sz w:val="18"/>
          <w:szCs w:val="18"/>
          <w:b w:val="1"/>
          <w:bCs w:val="1"/>
          <w:color w:val="auto"/>
        </w:rPr>
      </w:pPr>
      <w:r>
        <w:rPr>
          <w:rFonts w:ascii="Arial" w:cs="Arial" w:eastAsia="Arial" w:hAnsi="Arial"/>
          <w:sz w:val="16"/>
          <w:szCs w:val="16"/>
          <w:color w:val="auto"/>
        </w:rPr>
        <w:t>Notwithstanding any other provision of the Plan, any Award which is granted to a Grantee and is intended to constitute qualified performance-based compensation under Section 162(m) of the Code will be subject to any additional limitations set forth in the Code (including any amendment to Section 162(m)) or any regulations and ruling issued thereunder that are requirements for qualification as qualified performance-based compensation as described in Section 162(m) of the Code, and the Plan will be deemed amended to the extent necessary to conform to such requirements.</w:t>
      </w:r>
    </w:p>
    <w:p>
      <w:pPr>
        <w:spacing w:after="0" w:line="228" w:lineRule="exact"/>
        <w:rPr>
          <w:rFonts w:ascii="Arial" w:cs="Arial" w:eastAsia="Arial" w:hAnsi="Arial"/>
          <w:sz w:val="18"/>
          <w:szCs w:val="18"/>
          <w:b w:val="1"/>
          <w:bCs w:val="1"/>
          <w:color w:val="auto"/>
        </w:rPr>
      </w:pPr>
    </w:p>
    <w:p>
      <w:pPr>
        <w:ind w:left="460" w:hanging="452"/>
        <w:spacing w:after="0"/>
        <w:tabs>
          <w:tab w:leader="none" w:pos="460" w:val="left"/>
        </w:tabs>
        <w:numPr>
          <w:ilvl w:val="0"/>
          <w:numId w:val="49"/>
        </w:numPr>
        <w:rPr>
          <w:rFonts w:ascii="Arial" w:cs="Arial" w:eastAsia="Arial" w:hAnsi="Arial"/>
          <w:sz w:val="18"/>
          <w:szCs w:val="18"/>
          <w:b w:val="1"/>
          <w:bCs w:val="1"/>
          <w:color w:val="auto"/>
        </w:rPr>
      </w:pPr>
      <w:r>
        <w:rPr>
          <w:rFonts w:ascii="Arial" w:cs="Arial" w:eastAsia="Arial" w:hAnsi="Arial"/>
          <w:sz w:val="18"/>
          <w:szCs w:val="18"/>
          <w:b w:val="1"/>
          <w:bCs w:val="1"/>
          <w:color w:val="auto"/>
        </w:rPr>
        <w:t>Determination of Amounts Earned</w:t>
      </w:r>
    </w:p>
    <w:p>
      <w:pPr>
        <w:spacing w:after="0" w:line="96" w:lineRule="exact"/>
        <w:rPr>
          <w:rFonts w:ascii="Arial" w:cs="Arial" w:eastAsia="Arial" w:hAnsi="Arial"/>
          <w:sz w:val="18"/>
          <w:szCs w:val="18"/>
          <w:b w:val="1"/>
          <w:bCs w:val="1"/>
          <w:color w:val="auto"/>
        </w:rPr>
      </w:pPr>
    </w:p>
    <w:p>
      <w:pPr>
        <w:ind w:left="460" w:right="20"/>
        <w:spacing w:after="0" w:line="323" w:lineRule="auto"/>
        <w:rPr>
          <w:rFonts w:ascii="Arial" w:cs="Arial" w:eastAsia="Arial" w:hAnsi="Arial"/>
          <w:sz w:val="18"/>
          <w:szCs w:val="18"/>
          <w:b w:val="1"/>
          <w:bCs w:val="1"/>
          <w:color w:val="auto"/>
        </w:rPr>
      </w:pPr>
      <w:r>
        <w:rPr>
          <w:rFonts w:ascii="Arial" w:cs="Arial" w:eastAsia="Arial" w:hAnsi="Arial"/>
          <w:sz w:val="15"/>
          <w:szCs w:val="15"/>
          <w:color w:val="auto"/>
        </w:rPr>
        <w:t>Following the completion of each Performance Period, the Administrator will certify in writing whether the applicable Performance Goals have been achieved for such Performance Period. A Grantee will be eligible to receive payment pursuant to an Award intended to qualify as “performance-based compensation” under Section 162(m) of the Code for a Performance Period only if the Performance Goals for such period are achieved. If the Performance Goals for a Performance Period are not achieved, a Grantee will not receive payment of any Award based on such Performance Goals and will not</w:t>
      </w:r>
    </w:p>
    <w:p>
      <w:pPr>
        <w:spacing w:after="0" w:line="84" w:lineRule="exact"/>
        <w:rPr>
          <w:sz w:val="20"/>
          <w:szCs w:val="20"/>
          <w:color w:val="auto"/>
        </w:rPr>
      </w:pPr>
    </w:p>
    <w:p>
      <w:pPr>
        <w:spacing w:after="0"/>
        <w:rPr>
          <w:sz w:val="20"/>
          <w:szCs w:val="20"/>
          <w:color w:val="auto"/>
        </w:rPr>
      </w:pPr>
      <w:r>
        <w:rPr>
          <w:rFonts w:ascii="Arial" w:cs="Arial" w:eastAsia="Arial" w:hAnsi="Arial"/>
          <w:sz w:val="18"/>
          <w:szCs w:val="18"/>
          <w:color w:val="auto"/>
        </w:rPr>
        <w:t>162(m) Appendix</w:t>
      </w:r>
    </w:p>
    <w:p>
      <w:pPr>
        <w:sectPr>
          <w:pgSz w:w="11900" w:h="16838" w:orient="portrait"/>
          <w:cols w:equalWidth="0" w:num="1">
            <w:col w:w="11380"/>
          </w:cols>
          <w:pgMar w:left="240" w:top="280" w:right="279" w:bottom="1440" w:gutter="0" w:footer="0" w:header="0"/>
        </w:sectPr>
      </w:pPr>
    </w:p>
    <w:bookmarkStart w:id="70" w:name="page71"/>
    <w:bookmarkEnd w:id="70"/>
    <w:p>
      <w:pPr>
        <w:ind w:left="460"/>
        <w:spacing w:after="0" w:line="309" w:lineRule="auto"/>
        <w:rPr>
          <w:sz w:val="20"/>
          <w:szCs w:val="20"/>
          <w:color w:val="auto"/>
        </w:rPr>
      </w:pPr>
      <w:r>
        <w:rPr>
          <w:rFonts w:ascii="Arial" w:cs="Arial" w:eastAsia="Arial" w:hAnsi="Arial"/>
          <w:sz w:val="15"/>
          <w:szCs w:val="15"/>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receive a grant of any make-up Award for such Performance Period or any other newly-granted Award for such Performance Period. In determining the amounts earned by a Grantee pursuant to an Award intended to qualified as “performance-based compensation” under Section 162(m) of the Code, the Administrator will have the right to (A) reduce or eliminate (but not to increase) the amount payable at a given level of performance to take into account additional factors that the Administrator may deem relevant to the assessment of individual or corporate performance for the Performance Period, but only to the extent such factors and their impact are determined when the Award is granted, (B) determine what actual Award, if any, will be paid in the event of a termination of employment as the result of a Grantee’s death or disability or upon a Change in Control or in the event of a termination of employment following a Change in Control prior to the end of the Performance Period, and (C) determine what actual Award, if any, will be paid in the event of a termination of employment other than as the result of a Grantee’s death or disability prior to a Change in Control and prior to the end of the Performance Period to the extent an actual Award would have otherwise been achieved had the Grantee remained employed through the end of the Performance Period.</w:t>
      </w:r>
    </w:p>
    <w:p>
      <w:pPr>
        <w:spacing w:after="0" w:line="224" w:lineRule="exact"/>
        <w:rPr>
          <w:sz w:val="20"/>
          <w:szCs w:val="20"/>
          <w:color w:val="auto"/>
        </w:rPr>
      </w:pPr>
    </w:p>
    <w:p>
      <w:pPr>
        <w:ind w:left="460" w:hanging="452"/>
        <w:spacing w:after="0"/>
        <w:tabs>
          <w:tab w:leader="none" w:pos="460" w:val="left"/>
        </w:tabs>
        <w:numPr>
          <w:ilvl w:val="0"/>
          <w:numId w:val="50"/>
        </w:numPr>
        <w:rPr>
          <w:rFonts w:ascii="Arial" w:cs="Arial" w:eastAsia="Arial" w:hAnsi="Arial"/>
          <w:sz w:val="18"/>
          <w:szCs w:val="18"/>
          <w:b w:val="1"/>
          <w:bCs w:val="1"/>
          <w:color w:val="auto"/>
        </w:rPr>
      </w:pPr>
      <w:r>
        <w:rPr>
          <w:rFonts w:ascii="Arial" w:cs="Arial" w:eastAsia="Arial" w:hAnsi="Arial"/>
          <w:sz w:val="18"/>
          <w:szCs w:val="18"/>
          <w:b w:val="1"/>
          <w:bCs w:val="1"/>
          <w:color w:val="auto"/>
        </w:rPr>
        <w:t>Duration of Appendix</w:t>
      </w:r>
    </w:p>
    <w:p>
      <w:pPr>
        <w:spacing w:after="0" w:line="96" w:lineRule="exact"/>
        <w:rPr>
          <w:rFonts w:ascii="Arial" w:cs="Arial" w:eastAsia="Arial" w:hAnsi="Arial"/>
          <w:sz w:val="18"/>
          <w:szCs w:val="18"/>
          <w:b w:val="1"/>
          <w:bCs w:val="1"/>
          <w:color w:val="auto"/>
        </w:rPr>
      </w:pPr>
    </w:p>
    <w:p>
      <w:pPr>
        <w:ind w:left="460" w:right="60"/>
        <w:spacing w:after="0" w:line="268" w:lineRule="auto"/>
        <w:rPr>
          <w:rFonts w:ascii="Arial" w:cs="Arial" w:eastAsia="Arial" w:hAnsi="Arial"/>
          <w:sz w:val="18"/>
          <w:szCs w:val="18"/>
          <w:b w:val="1"/>
          <w:bCs w:val="1"/>
          <w:color w:val="auto"/>
        </w:rPr>
      </w:pPr>
      <w:r>
        <w:rPr>
          <w:rFonts w:ascii="Arial" w:cs="Arial" w:eastAsia="Arial" w:hAnsi="Arial"/>
          <w:sz w:val="18"/>
          <w:szCs w:val="18"/>
          <w:color w:val="auto"/>
        </w:rPr>
        <w:t>This Appendix will continue in effect until the 2015 Annual General Meeting of Shareholders, subject to Board’s right to amend or terminate in Section 15 of the Plan.</w:t>
      </w:r>
    </w:p>
    <w:p>
      <w:pPr>
        <w:spacing w:after="0" w:line="118" w:lineRule="exact"/>
        <w:rPr>
          <w:sz w:val="20"/>
          <w:szCs w:val="20"/>
          <w:color w:val="auto"/>
        </w:rPr>
      </w:pPr>
    </w:p>
    <w:p>
      <w:pPr>
        <w:spacing w:after="0"/>
        <w:rPr>
          <w:sz w:val="20"/>
          <w:szCs w:val="20"/>
          <w:color w:val="auto"/>
        </w:rPr>
      </w:pPr>
      <w:r>
        <w:rPr>
          <w:rFonts w:ascii="Arial" w:cs="Arial" w:eastAsia="Arial" w:hAnsi="Arial"/>
          <w:sz w:val="18"/>
          <w:szCs w:val="18"/>
          <w:color w:val="auto"/>
        </w:rPr>
        <w:t>162(m) Appendix</w:t>
      </w:r>
    </w:p>
    <w:p>
      <w:pPr>
        <w:sectPr>
          <w:pgSz w:w="11900" w:h="16838" w:orient="portrait"/>
          <w:cols w:equalWidth="0" w:num="1">
            <w:col w:w="11400"/>
          </w:cols>
          <w:pgMar w:left="240" w:top="280" w:right="259" w:bottom="1440" w:gutter="0" w:footer="0" w:header="0"/>
        </w:sectPr>
      </w:pPr>
    </w:p>
    <w:bookmarkStart w:id="71" w:name="page72"/>
    <w:bookmarkEnd w:id="71"/>
    <w:p>
      <w:pPr>
        <w:jc w:val="right"/>
        <w:spacing w:after="0"/>
        <w:rPr>
          <w:sz w:val="20"/>
          <w:szCs w:val="20"/>
          <w:color w:val="auto"/>
        </w:rPr>
      </w:pPr>
      <w:r>
        <w:rPr>
          <w:rFonts w:ascii="Arial" w:cs="Arial" w:eastAsia="Arial" w:hAnsi="Arial"/>
          <w:sz w:val="18"/>
          <w:szCs w:val="18"/>
          <w:b w:val="1"/>
          <w:bCs w:val="1"/>
          <w:color w:val="auto"/>
        </w:rPr>
        <w:t>Exhibit 10.2</w:t>
      </w:r>
    </w:p>
    <w:p>
      <w:pPr>
        <w:spacing w:after="0" w:line="252"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2880" w:type="dxa"/>
            <w:vAlign w:val="bottom"/>
            <w:vMerge w:val="restart"/>
          </w:tcPr>
          <w:p>
            <w:pPr>
              <w:spacing w:after="0"/>
              <w:rPr>
                <w:sz w:val="20"/>
                <w:szCs w:val="20"/>
                <w:color w:val="auto"/>
              </w:rPr>
            </w:pPr>
            <w:r>
              <w:rPr>
                <w:rFonts w:ascii="Arial" w:cs="Arial" w:eastAsia="Arial" w:hAnsi="Arial"/>
                <w:sz w:val="18"/>
                <w:szCs w:val="18"/>
                <w:b w:val="1"/>
                <w:bCs w:val="1"/>
                <w:color w:val="auto"/>
              </w:rPr>
              <w:t>Notice of Grant of</w:t>
            </w:r>
          </w:p>
        </w:tc>
        <w:tc>
          <w:tcPr>
            <w:tcW w:w="3960" w:type="dxa"/>
            <w:vAlign w:val="bottom"/>
          </w:tcPr>
          <w:p>
            <w:pPr>
              <w:ind w:left="1140"/>
              <w:spacing w:after="0"/>
              <w:rPr>
                <w:sz w:val="20"/>
                <w:szCs w:val="20"/>
                <w:color w:val="auto"/>
              </w:rPr>
            </w:pPr>
            <w:r>
              <w:rPr>
                <w:rFonts w:ascii="Arial" w:cs="Arial" w:eastAsia="Arial" w:hAnsi="Arial"/>
                <w:sz w:val="18"/>
                <w:szCs w:val="18"/>
                <w:b w:val="1"/>
                <w:bCs w:val="1"/>
                <w:color w:val="auto"/>
              </w:rPr>
              <w:t>Marvell Technology Group Ltd.</w:t>
            </w:r>
          </w:p>
        </w:tc>
        <w:tc>
          <w:tcPr>
            <w:tcW w:w="11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2"/>
        </w:trPr>
        <w:tc>
          <w:tcPr>
            <w:tcW w:w="2880" w:type="dxa"/>
            <w:vAlign w:val="bottom"/>
            <w:vMerge w:val="continue"/>
          </w:tcPr>
          <w:p>
            <w:pPr>
              <w:spacing w:after="0"/>
              <w:rPr>
                <w:sz w:val="18"/>
                <w:szCs w:val="18"/>
                <w:color w:val="auto"/>
              </w:rPr>
            </w:pPr>
          </w:p>
        </w:tc>
        <w:tc>
          <w:tcPr>
            <w:tcW w:w="3960" w:type="dxa"/>
            <w:vAlign w:val="bottom"/>
          </w:tcPr>
          <w:p>
            <w:pPr>
              <w:ind w:left="1140"/>
              <w:spacing w:after="0"/>
              <w:rPr>
                <w:sz w:val="20"/>
                <w:szCs w:val="20"/>
                <w:color w:val="auto"/>
              </w:rPr>
            </w:pPr>
            <w:r>
              <w:rPr>
                <w:rFonts w:ascii="Arial" w:cs="Arial" w:eastAsia="Arial" w:hAnsi="Arial"/>
                <w:sz w:val="18"/>
                <w:szCs w:val="18"/>
                <w:color w:val="auto"/>
              </w:rPr>
              <w:t>ID: 77-0481679</w:t>
            </w:r>
          </w:p>
        </w:tc>
        <w:tc>
          <w:tcPr>
            <w:tcW w:w="1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880" w:type="dxa"/>
            <w:vAlign w:val="bottom"/>
          </w:tcPr>
          <w:p>
            <w:pPr>
              <w:spacing w:after="0"/>
              <w:rPr>
                <w:sz w:val="20"/>
                <w:szCs w:val="20"/>
                <w:color w:val="auto"/>
              </w:rPr>
            </w:pPr>
            <w:r>
              <w:rPr>
                <w:rFonts w:ascii="Arial" w:cs="Arial" w:eastAsia="Arial" w:hAnsi="Arial"/>
                <w:sz w:val="18"/>
                <w:szCs w:val="18"/>
                <w:b w:val="1"/>
                <w:bCs w:val="1"/>
                <w:color w:val="auto"/>
              </w:rPr>
              <w:t>Performance Award</w:t>
            </w:r>
          </w:p>
        </w:tc>
        <w:tc>
          <w:tcPr>
            <w:tcW w:w="3960" w:type="dxa"/>
            <w:vAlign w:val="bottom"/>
          </w:tcPr>
          <w:p>
            <w:pPr>
              <w:ind w:left="1140"/>
              <w:spacing w:after="0"/>
              <w:rPr>
                <w:sz w:val="20"/>
                <w:szCs w:val="20"/>
                <w:color w:val="auto"/>
              </w:rPr>
            </w:pPr>
            <w:r>
              <w:rPr>
                <w:rFonts w:ascii="Arial" w:cs="Arial" w:eastAsia="Arial" w:hAnsi="Arial"/>
                <w:sz w:val="18"/>
                <w:szCs w:val="18"/>
                <w:color w:val="auto"/>
              </w:rPr>
              <w:t>Canon’s Court, 22 Victoria Street</w:t>
            </w:r>
          </w:p>
        </w:tc>
        <w:tc>
          <w:tcPr>
            <w:tcW w:w="1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0"/>
        </w:trPr>
        <w:tc>
          <w:tcPr>
            <w:tcW w:w="2880" w:type="dxa"/>
            <w:vAlign w:val="bottom"/>
          </w:tcPr>
          <w:p>
            <w:pPr>
              <w:spacing w:after="0"/>
              <w:rPr>
                <w:sz w:val="20"/>
                <w:szCs w:val="20"/>
                <w:color w:val="auto"/>
              </w:rPr>
            </w:pPr>
            <w:r>
              <w:rPr>
                <w:rFonts w:ascii="Arial" w:cs="Arial" w:eastAsia="Arial" w:hAnsi="Arial"/>
                <w:sz w:val="18"/>
                <w:szCs w:val="18"/>
                <w:b w:val="1"/>
                <w:bCs w:val="1"/>
                <w:color w:val="auto"/>
              </w:rPr>
              <w:t>and Award Agreement</w:t>
            </w:r>
          </w:p>
        </w:tc>
        <w:tc>
          <w:tcPr>
            <w:tcW w:w="3960" w:type="dxa"/>
            <w:vAlign w:val="bottom"/>
          </w:tcPr>
          <w:p>
            <w:pPr>
              <w:ind w:left="1140"/>
              <w:spacing w:after="0"/>
              <w:rPr>
                <w:sz w:val="20"/>
                <w:szCs w:val="20"/>
                <w:color w:val="auto"/>
              </w:rPr>
            </w:pPr>
            <w:r>
              <w:rPr>
                <w:rFonts w:ascii="Arial" w:cs="Arial" w:eastAsia="Arial" w:hAnsi="Arial"/>
                <w:sz w:val="18"/>
                <w:szCs w:val="18"/>
                <w:color w:val="auto"/>
              </w:rPr>
              <w:t>P O Box HM 1179</w:t>
            </w:r>
          </w:p>
        </w:tc>
        <w:tc>
          <w:tcPr>
            <w:tcW w:w="11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2880" w:type="dxa"/>
            <w:vAlign w:val="bottom"/>
          </w:tcPr>
          <w:p>
            <w:pPr>
              <w:spacing w:after="0"/>
              <w:rPr>
                <w:sz w:val="20"/>
                <w:szCs w:val="20"/>
                <w:color w:val="auto"/>
              </w:rPr>
            </w:pPr>
          </w:p>
        </w:tc>
        <w:tc>
          <w:tcPr>
            <w:tcW w:w="3960" w:type="dxa"/>
            <w:vAlign w:val="bottom"/>
          </w:tcPr>
          <w:p>
            <w:pPr>
              <w:ind w:left="1140"/>
              <w:spacing w:after="0"/>
              <w:rPr>
                <w:sz w:val="20"/>
                <w:szCs w:val="20"/>
                <w:color w:val="auto"/>
              </w:rPr>
            </w:pPr>
            <w:r>
              <w:rPr>
                <w:rFonts w:ascii="Arial" w:cs="Arial" w:eastAsia="Arial" w:hAnsi="Arial"/>
                <w:sz w:val="18"/>
                <w:szCs w:val="18"/>
                <w:color w:val="auto"/>
              </w:rPr>
              <w:t>Hamilton HM EX, Bermuda</w:t>
            </w:r>
          </w:p>
        </w:tc>
        <w:tc>
          <w:tcPr>
            <w:tcW w:w="11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41"/>
        </w:trPr>
        <w:tc>
          <w:tcPr>
            <w:tcW w:w="2880" w:type="dxa"/>
            <w:vAlign w:val="bottom"/>
          </w:tcPr>
          <w:p>
            <w:pPr>
              <w:spacing w:after="0"/>
              <w:rPr>
                <w:sz w:val="20"/>
                <w:szCs w:val="20"/>
                <w:color w:val="auto"/>
              </w:rPr>
            </w:pPr>
            <w:r>
              <w:rPr>
                <w:rFonts w:ascii="Arial" w:cs="Arial" w:eastAsia="Arial" w:hAnsi="Arial"/>
                <w:sz w:val="18"/>
                <w:szCs w:val="18"/>
                <w:b w:val="1"/>
                <w:bCs w:val="1"/>
                <w:color w:val="auto"/>
              </w:rPr>
              <w:t>[NAME]</w:t>
            </w:r>
          </w:p>
        </w:tc>
        <w:tc>
          <w:tcPr>
            <w:tcW w:w="3960" w:type="dxa"/>
            <w:vAlign w:val="bottom"/>
          </w:tcPr>
          <w:p>
            <w:pPr>
              <w:ind w:left="2060"/>
              <w:spacing w:after="0"/>
              <w:rPr>
                <w:sz w:val="20"/>
                <w:szCs w:val="20"/>
                <w:color w:val="auto"/>
              </w:rPr>
            </w:pPr>
            <w:r>
              <w:rPr>
                <w:rFonts w:ascii="Arial" w:cs="Arial" w:eastAsia="Arial" w:hAnsi="Arial"/>
                <w:sz w:val="18"/>
                <w:szCs w:val="18"/>
                <w:b w:val="1"/>
                <w:bCs w:val="1"/>
                <w:color w:val="auto"/>
              </w:rPr>
              <w:t>Award Number:</w:t>
            </w:r>
          </w:p>
        </w:tc>
        <w:tc>
          <w:tcPr>
            <w:tcW w:w="1160" w:type="dxa"/>
            <w:vAlign w:val="bottom"/>
          </w:tcPr>
          <w:p>
            <w:pPr>
              <w:ind w:left="380"/>
              <w:spacing w:after="0"/>
              <w:rPr>
                <w:sz w:val="20"/>
                <w:szCs w:val="20"/>
                <w:color w:val="auto"/>
              </w:rPr>
            </w:pPr>
            <w:r>
              <w:rPr>
                <w:rFonts w:ascii="Arial" w:cs="Arial" w:eastAsia="Arial" w:hAnsi="Arial"/>
                <w:sz w:val="18"/>
                <w:szCs w:val="18"/>
                <w:b w:val="1"/>
                <w:bCs w:val="1"/>
                <w:color w:val="auto"/>
              </w:rPr>
              <w:t>XXXXXX</w:t>
            </w:r>
          </w:p>
        </w:tc>
        <w:tc>
          <w:tcPr>
            <w:tcW w:w="0" w:type="dxa"/>
            <w:vAlign w:val="bottom"/>
          </w:tcPr>
          <w:p>
            <w:pPr>
              <w:spacing w:after="0"/>
              <w:rPr>
                <w:sz w:val="1"/>
                <w:szCs w:val="1"/>
                <w:color w:val="auto"/>
              </w:rPr>
            </w:pPr>
          </w:p>
        </w:tc>
      </w:tr>
      <w:tr>
        <w:trPr>
          <w:trHeight w:val="216"/>
        </w:trPr>
        <w:tc>
          <w:tcPr>
            <w:tcW w:w="2880" w:type="dxa"/>
            <w:vAlign w:val="bottom"/>
          </w:tcPr>
          <w:p>
            <w:pPr>
              <w:spacing w:after="0"/>
              <w:rPr>
                <w:sz w:val="20"/>
                <w:szCs w:val="20"/>
                <w:color w:val="auto"/>
              </w:rPr>
            </w:pPr>
            <w:r>
              <w:rPr>
                <w:rFonts w:ascii="Arial" w:cs="Arial" w:eastAsia="Arial" w:hAnsi="Arial"/>
                <w:sz w:val="18"/>
                <w:szCs w:val="18"/>
                <w:b w:val="1"/>
                <w:bCs w:val="1"/>
                <w:color w:val="auto"/>
              </w:rPr>
              <w:t>[STREET ADDRESS]</w:t>
            </w:r>
          </w:p>
        </w:tc>
        <w:tc>
          <w:tcPr>
            <w:tcW w:w="3960" w:type="dxa"/>
            <w:vAlign w:val="bottom"/>
          </w:tcPr>
          <w:p>
            <w:pPr>
              <w:ind w:left="2060"/>
              <w:spacing w:after="0"/>
              <w:rPr>
                <w:sz w:val="20"/>
                <w:szCs w:val="20"/>
                <w:color w:val="auto"/>
              </w:rPr>
            </w:pPr>
            <w:r>
              <w:rPr>
                <w:rFonts w:ascii="Arial" w:cs="Arial" w:eastAsia="Arial" w:hAnsi="Arial"/>
                <w:sz w:val="18"/>
                <w:szCs w:val="18"/>
                <w:b w:val="1"/>
                <w:bCs w:val="1"/>
                <w:color w:val="auto"/>
              </w:rPr>
              <w:t>Plan:</w:t>
            </w:r>
          </w:p>
        </w:tc>
        <w:tc>
          <w:tcPr>
            <w:tcW w:w="1160" w:type="dxa"/>
            <w:vAlign w:val="bottom"/>
          </w:tcPr>
          <w:p>
            <w:pPr>
              <w:ind w:left="380"/>
              <w:spacing w:after="0"/>
              <w:rPr>
                <w:sz w:val="20"/>
                <w:szCs w:val="20"/>
                <w:color w:val="auto"/>
              </w:rPr>
            </w:pPr>
            <w:r>
              <w:rPr>
                <w:rFonts w:ascii="Arial" w:cs="Arial" w:eastAsia="Arial" w:hAnsi="Arial"/>
                <w:sz w:val="18"/>
                <w:szCs w:val="18"/>
                <w:b w:val="1"/>
                <w:bCs w:val="1"/>
                <w:color w:val="auto"/>
              </w:rPr>
              <w:t>1995</w:t>
            </w:r>
          </w:p>
        </w:tc>
        <w:tc>
          <w:tcPr>
            <w:tcW w:w="0" w:type="dxa"/>
            <w:vAlign w:val="bottom"/>
          </w:tcPr>
          <w:p>
            <w:pPr>
              <w:spacing w:after="0"/>
              <w:rPr>
                <w:sz w:val="1"/>
                <w:szCs w:val="1"/>
                <w:color w:val="auto"/>
              </w:rPr>
            </w:pPr>
          </w:p>
        </w:tc>
      </w:tr>
      <w:tr>
        <w:trPr>
          <w:trHeight w:val="234"/>
        </w:trPr>
        <w:tc>
          <w:tcPr>
            <w:tcW w:w="2880" w:type="dxa"/>
            <w:vAlign w:val="bottom"/>
          </w:tcPr>
          <w:p>
            <w:pPr>
              <w:spacing w:after="0"/>
              <w:rPr>
                <w:sz w:val="20"/>
                <w:szCs w:val="20"/>
                <w:color w:val="auto"/>
              </w:rPr>
            </w:pPr>
            <w:r>
              <w:rPr>
                <w:rFonts w:ascii="Arial" w:cs="Arial" w:eastAsia="Arial" w:hAnsi="Arial"/>
                <w:sz w:val="18"/>
                <w:szCs w:val="18"/>
                <w:b w:val="1"/>
                <w:bCs w:val="1"/>
                <w:color w:val="auto"/>
              </w:rPr>
              <w:t>[CITY, STATE, ZIP]</w:t>
            </w:r>
          </w:p>
        </w:tc>
        <w:tc>
          <w:tcPr>
            <w:tcW w:w="3960" w:type="dxa"/>
            <w:vAlign w:val="bottom"/>
          </w:tcPr>
          <w:p>
            <w:pPr>
              <w:ind w:left="2060"/>
              <w:spacing w:after="0"/>
              <w:rPr>
                <w:sz w:val="20"/>
                <w:szCs w:val="20"/>
                <w:color w:val="auto"/>
              </w:rPr>
            </w:pPr>
            <w:r>
              <w:rPr>
                <w:rFonts w:ascii="Arial" w:cs="Arial" w:eastAsia="Arial" w:hAnsi="Arial"/>
                <w:sz w:val="18"/>
                <w:szCs w:val="18"/>
                <w:b w:val="1"/>
                <w:bCs w:val="1"/>
                <w:color w:val="auto"/>
              </w:rPr>
              <w:t>ID:</w:t>
            </w:r>
          </w:p>
        </w:tc>
        <w:tc>
          <w:tcPr>
            <w:tcW w:w="11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 xml:space="preserve">Effective [DATE], you have been granted a performance award covering [NUMBER] shares (the “Performance Awards”), it being understood that [NUMBER] of such Performance Awards reflects your target award and the excess of such amount reflect the maximum number of Performance Awards that may be earned. These Performance Awards are restricted until they vest in accordance with the attached </w:t>
      </w:r>
      <w:r>
        <w:rPr>
          <w:rFonts w:ascii="Arial" w:cs="Arial" w:eastAsia="Arial" w:hAnsi="Arial"/>
          <w:sz w:val="18"/>
          <w:szCs w:val="18"/>
          <w:u w:val="single" w:color="auto"/>
          <w:color w:val="auto"/>
        </w:rPr>
        <w:t>Exhibit A</w:t>
      </w:r>
      <w:r>
        <w:rPr>
          <w:rFonts w:ascii="Arial" w:cs="Arial" w:eastAsia="Arial" w:hAnsi="Arial"/>
          <w:sz w:val="18"/>
          <w:szCs w:val="18"/>
          <w:color w:val="auto"/>
        </w:rPr>
        <w:t>, at which time you will receive shares of Marvell Technology Group Ltd. (the “Company”) common stock.</w:t>
      </w:r>
    </w:p>
    <w:p>
      <w:pPr>
        <w:spacing w:after="0" w:line="187" w:lineRule="exact"/>
        <w:rPr>
          <w:sz w:val="20"/>
          <w:szCs w:val="20"/>
          <w:color w:val="auto"/>
        </w:rPr>
      </w:pPr>
    </w:p>
    <w:p>
      <w:pPr>
        <w:ind w:right="80"/>
        <w:spacing w:after="0" w:line="312" w:lineRule="auto"/>
        <w:rPr>
          <w:sz w:val="20"/>
          <w:szCs w:val="20"/>
          <w:color w:val="auto"/>
        </w:rPr>
      </w:pPr>
      <w:r>
        <w:rPr>
          <w:rFonts w:ascii="Arial" w:cs="Arial" w:eastAsia="Arial" w:hAnsi="Arial"/>
          <w:sz w:val="16"/>
          <w:szCs w:val="16"/>
          <w:color w:val="auto"/>
        </w:rPr>
        <w:t>This Notice of Grant is subject to all of the terms and conditions set forth herein, as well as the Performance Award Agreement, the Appendix (which include the special provisions for participant’s country of residence if any), and the Amended and Restated 1995 Stock Option Plan (the “Plan”), all of which are incorporated herein by reference. Capitalized terms used in this Notice of Grant but not defined shall have the same meaning as provided in the Plan.</w:t>
      </w:r>
    </w:p>
    <w:p>
      <w:pPr>
        <w:spacing w:after="0" w:line="147" w:lineRule="exact"/>
        <w:rPr>
          <w:sz w:val="20"/>
          <w:szCs w:val="20"/>
          <w:color w:val="auto"/>
        </w:rPr>
      </w:pPr>
    </w:p>
    <w:p>
      <w:pPr>
        <w:ind w:right="60"/>
        <w:spacing w:after="0" w:line="270" w:lineRule="auto"/>
        <w:rPr>
          <w:sz w:val="20"/>
          <w:szCs w:val="20"/>
          <w:color w:val="auto"/>
        </w:rPr>
      </w:pPr>
      <w:r>
        <w:rPr>
          <w:rFonts w:ascii="Arial" w:cs="Arial" w:eastAsia="Arial" w:hAnsi="Arial"/>
          <w:sz w:val="17"/>
          <w:szCs w:val="17"/>
          <w:color w:val="auto"/>
        </w:rPr>
        <w:t>By signing this document, the participant acknowledges receipt of a copy of the Plan, and agrees that (a) these Performance Awards are granted under and governed by the terms and conditions of the Plan, the Performance Award Agreement, and the Appendix (the special provisions for participant’s country of residence, if any); (b) the participant has carefully read, fully understands and agrees to all of the terms and conditions described in the attached Performance Award Agreement, the Appendix, and the Plan; (c) the participant understands and agrees that the Performance Award Agreement and Appendix, including any cover sheet and attachments, constitute the entire understanding between the participant and the Company regarding this Performance Award, and that any prior agreements, commitments or negotiations concerning this Award are replaced and superseded; and (d) the participant has been given an opportunity to consult legal counsel with respect to all matters relating to this Award prior to signing this cover sheet and that the participant has either consulted such counsel or voluntarily declined to consult such counsel. The Performance Award Agreement, the Appendix and prospectus are available on the Company’s website at https://intranet/stockselfservice or by request from the Company’s Stock Administration Department. The participant hereby agrees that these documents are deemed to be delivered to him or her.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147955</wp:posOffset>
            </wp:positionV>
            <wp:extent cx="7246620" cy="88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52"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3820" w:type="dxa"/>
            <w:vAlign w:val="bottom"/>
          </w:tcPr>
          <w:p>
            <w:pPr>
              <w:spacing w:after="0"/>
              <w:rPr>
                <w:sz w:val="20"/>
                <w:szCs w:val="20"/>
                <w:color w:val="auto"/>
              </w:rPr>
            </w:pPr>
            <w:r>
              <w:rPr>
                <w:rFonts w:ascii="Arial" w:cs="Arial" w:eastAsia="Arial" w:hAnsi="Arial"/>
                <w:sz w:val="18"/>
                <w:szCs w:val="18"/>
                <w:color w:val="auto"/>
              </w:rPr>
              <w:t>Marvell Technology Group Ltd.</w:t>
            </w:r>
          </w:p>
        </w:tc>
        <w:tc>
          <w:tcPr>
            <w:tcW w:w="156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5020" w:type="dxa"/>
            <w:vAlign w:val="bottom"/>
          </w:tcPr>
          <w:p>
            <w:pPr>
              <w:spacing w:after="0"/>
              <w:rPr>
                <w:sz w:val="20"/>
                <w:szCs w:val="20"/>
                <w:color w:val="auto"/>
              </w:rPr>
            </w:pPr>
            <w:r>
              <w:rPr>
                <w:rFonts w:ascii="Arial" w:cs="Arial" w:eastAsia="Arial" w:hAnsi="Arial"/>
                <w:sz w:val="18"/>
                <w:szCs w:val="18"/>
                <w:color w:val="auto"/>
              </w:rPr>
              <w:t>Date</w:t>
            </w:r>
          </w:p>
        </w:tc>
      </w:tr>
      <w:tr>
        <w:trPr>
          <w:trHeight w:val="176"/>
        </w:trPr>
        <w:tc>
          <w:tcPr>
            <w:tcW w:w="3820" w:type="dxa"/>
            <w:vAlign w:val="bottom"/>
            <w:tcBorders>
              <w:bottom w:val="single" w:sz="8" w:color="auto"/>
            </w:tcBorders>
          </w:tcPr>
          <w:p>
            <w:pPr>
              <w:spacing w:after="0"/>
              <w:rPr>
                <w:sz w:val="15"/>
                <w:szCs w:val="15"/>
                <w:color w:val="auto"/>
              </w:rPr>
            </w:pPr>
          </w:p>
        </w:tc>
        <w:tc>
          <w:tcPr>
            <w:tcW w:w="1560" w:type="dxa"/>
            <w:vAlign w:val="bottom"/>
            <w:tcBorders>
              <w:bottom w:val="single" w:sz="8" w:color="auto"/>
            </w:tcBorders>
          </w:tcPr>
          <w:p>
            <w:pPr>
              <w:spacing w:after="0"/>
              <w:rPr>
                <w:sz w:val="15"/>
                <w:szCs w:val="15"/>
                <w:color w:val="auto"/>
              </w:rPr>
            </w:pPr>
          </w:p>
        </w:tc>
        <w:tc>
          <w:tcPr>
            <w:tcW w:w="1020" w:type="dxa"/>
            <w:vAlign w:val="bottom"/>
          </w:tcPr>
          <w:p>
            <w:pPr>
              <w:spacing w:after="0"/>
              <w:rPr>
                <w:sz w:val="15"/>
                <w:szCs w:val="15"/>
                <w:color w:val="auto"/>
              </w:rPr>
            </w:pPr>
          </w:p>
        </w:tc>
        <w:tc>
          <w:tcPr>
            <w:tcW w:w="5020" w:type="dxa"/>
            <w:vAlign w:val="bottom"/>
            <w:tcBorders>
              <w:bottom w:val="single" w:sz="8" w:color="auto"/>
            </w:tcBorders>
          </w:tcPr>
          <w:p>
            <w:pPr>
              <w:spacing w:after="0"/>
              <w:rPr>
                <w:sz w:val="15"/>
                <w:szCs w:val="15"/>
                <w:color w:val="auto"/>
              </w:rPr>
            </w:pPr>
          </w:p>
        </w:tc>
      </w:tr>
      <w:tr>
        <w:trPr>
          <w:trHeight w:val="250"/>
        </w:trPr>
        <w:tc>
          <w:tcPr>
            <w:tcW w:w="3820" w:type="dxa"/>
            <w:vAlign w:val="bottom"/>
          </w:tcPr>
          <w:p>
            <w:pPr>
              <w:spacing w:after="0"/>
              <w:rPr>
                <w:sz w:val="20"/>
                <w:szCs w:val="20"/>
                <w:color w:val="auto"/>
              </w:rPr>
            </w:pPr>
            <w:r>
              <w:rPr>
                <w:rFonts w:ascii="Arial" w:cs="Arial" w:eastAsia="Arial" w:hAnsi="Arial"/>
                <w:sz w:val="18"/>
                <w:szCs w:val="18"/>
                <w:color w:val="auto"/>
              </w:rPr>
              <w:t>[NAME]</w:t>
            </w:r>
          </w:p>
        </w:tc>
        <w:tc>
          <w:tcPr>
            <w:tcW w:w="1560" w:type="dxa"/>
            <w:vAlign w:val="bottom"/>
          </w:tcPr>
          <w:p>
            <w:pPr>
              <w:spacing w:after="0"/>
              <w:rPr>
                <w:sz w:val="21"/>
                <w:szCs w:val="21"/>
                <w:color w:val="auto"/>
              </w:rPr>
            </w:pPr>
          </w:p>
        </w:tc>
        <w:tc>
          <w:tcPr>
            <w:tcW w:w="1020" w:type="dxa"/>
            <w:vAlign w:val="bottom"/>
          </w:tcPr>
          <w:p>
            <w:pPr>
              <w:spacing w:after="0"/>
              <w:rPr>
                <w:sz w:val="21"/>
                <w:szCs w:val="21"/>
                <w:color w:val="auto"/>
              </w:rPr>
            </w:pPr>
          </w:p>
        </w:tc>
        <w:tc>
          <w:tcPr>
            <w:tcW w:w="5020" w:type="dxa"/>
            <w:vAlign w:val="bottom"/>
          </w:tcPr>
          <w:p>
            <w:pPr>
              <w:spacing w:after="0"/>
              <w:rPr>
                <w:sz w:val="20"/>
                <w:szCs w:val="20"/>
                <w:color w:val="auto"/>
              </w:rPr>
            </w:pPr>
            <w:r>
              <w:rPr>
                <w:rFonts w:ascii="Arial" w:cs="Arial" w:eastAsia="Arial" w:hAnsi="Arial"/>
                <w:sz w:val="18"/>
                <w:szCs w:val="18"/>
                <w:color w:val="auto"/>
              </w:rPr>
              <w:t>Date</w:t>
            </w:r>
          </w:p>
        </w:tc>
      </w:tr>
      <w:tr>
        <w:trPr>
          <w:trHeight w:val="378"/>
        </w:trPr>
        <w:tc>
          <w:tcPr>
            <w:tcW w:w="3820" w:type="dxa"/>
            <w:vAlign w:val="bottom"/>
          </w:tcPr>
          <w:p>
            <w:pPr>
              <w:spacing w:after="0"/>
              <w:rPr>
                <w:sz w:val="24"/>
                <w:szCs w:val="24"/>
                <w:color w:val="auto"/>
              </w:rPr>
            </w:pPr>
          </w:p>
        </w:tc>
        <w:tc>
          <w:tcPr>
            <w:tcW w:w="7600" w:type="dxa"/>
            <w:vAlign w:val="bottom"/>
            <w:gridSpan w:val="3"/>
          </w:tcPr>
          <w:p>
            <w:pPr>
              <w:ind w:left="1480"/>
              <w:spacing w:after="0"/>
              <w:rPr>
                <w:sz w:val="20"/>
                <w:szCs w:val="20"/>
                <w:color w:val="auto"/>
              </w:rPr>
            </w:pPr>
            <w:r>
              <w:rPr>
                <w:rFonts w:ascii="Arial" w:cs="Arial" w:eastAsia="Arial" w:hAnsi="Arial"/>
                <w:sz w:val="18"/>
                <w:szCs w:val="18"/>
                <w:color w:val="auto"/>
              </w:rPr>
              <w:t>Page 1 of 1</w:t>
            </w:r>
          </w:p>
        </w:tc>
      </w:tr>
    </w:tbl>
    <w:p>
      <w:pPr>
        <w:sectPr>
          <w:pgSz w:w="11900" w:h="16838" w:orient="portrait"/>
          <w:cols w:equalWidth="0" w:num="1">
            <w:col w:w="11420"/>
          </w:cols>
          <w:pgMar w:left="240" w:top="121" w:right="239" w:bottom="1440" w:gutter="0" w:footer="0" w:header="0"/>
        </w:sectPr>
      </w:pPr>
    </w:p>
    <w:bookmarkStart w:id="72" w:name="page73"/>
    <w:bookmarkEnd w:id="72"/>
    <w:p>
      <w:pPr>
        <w:jc w:val="center"/>
        <w:ind w:right="-20"/>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w:t>
      </w:r>
      <w:r>
        <w:rPr>
          <w:rFonts w:ascii="Arial" w:cs="Arial" w:eastAsia="Arial" w:hAnsi="Arial"/>
          <w:sz w:val="15"/>
          <w:szCs w:val="15"/>
          <w:b w:val="1"/>
          <w:bCs w:val="1"/>
          <w:u w:val="single" w:color="auto"/>
          <w:color w:val="auto"/>
        </w:rPr>
        <w:t>XHIBIT</w:t>
      </w:r>
      <w:r>
        <w:rPr>
          <w:rFonts w:ascii="Arial" w:cs="Arial" w:eastAsia="Arial" w:hAnsi="Arial"/>
          <w:sz w:val="18"/>
          <w:szCs w:val="18"/>
          <w:b w:val="1"/>
          <w:bCs w:val="1"/>
          <w:u w:val="single" w:color="auto"/>
          <w:color w:val="auto"/>
        </w:rPr>
        <w:t xml:space="preserve"> A</w:t>
      </w:r>
    </w:p>
    <w:p>
      <w:pPr>
        <w:sectPr>
          <w:pgSz w:w="11900" w:h="16838" w:orient="portrait"/>
          <w:cols w:equalWidth="0" w:num="1">
            <w:col w:w="9019"/>
          </w:cols>
          <w:pgMar w:left="1440" w:top="270" w:right="1440" w:bottom="1440" w:gutter="0" w:footer="0" w:header="0"/>
        </w:sectPr>
      </w:pPr>
    </w:p>
    <w:bookmarkStart w:id="73" w:name="page74"/>
    <w:bookmarkEnd w:id="73"/>
    <w:p>
      <w:pPr>
        <w:jc w:val="center"/>
        <w:ind w:right="-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MARVELL TECHNOLOGY GROUP LTD.</w:t>
      </w:r>
    </w:p>
    <w:p>
      <w:pPr>
        <w:spacing w:after="0" w:line="225" w:lineRule="exact"/>
        <w:rPr>
          <w:sz w:val="20"/>
          <w:szCs w:val="20"/>
          <w:color w:val="auto"/>
        </w:rPr>
      </w:pPr>
    </w:p>
    <w:p>
      <w:pPr>
        <w:ind w:left="4540"/>
        <w:spacing w:after="0"/>
        <w:rPr>
          <w:sz w:val="20"/>
          <w:szCs w:val="20"/>
          <w:color w:val="auto"/>
        </w:rPr>
      </w:pPr>
      <w:r>
        <w:rPr>
          <w:rFonts w:ascii="Arial" w:cs="Arial" w:eastAsia="Arial" w:hAnsi="Arial"/>
          <w:sz w:val="18"/>
          <w:szCs w:val="18"/>
          <w:b w:val="1"/>
          <w:bCs w:val="1"/>
          <w:color w:val="auto"/>
        </w:rPr>
        <w:t>AMENDED AND RESTATED</w:t>
      </w:r>
    </w:p>
    <w:p>
      <w:pPr>
        <w:spacing w:after="0" w:line="27" w:lineRule="exact"/>
        <w:rPr>
          <w:sz w:val="20"/>
          <w:szCs w:val="20"/>
          <w:color w:val="auto"/>
        </w:rPr>
      </w:pPr>
    </w:p>
    <w:p>
      <w:pPr>
        <w:ind w:left="4560"/>
        <w:spacing w:after="0"/>
        <w:rPr>
          <w:sz w:val="20"/>
          <w:szCs w:val="20"/>
          <w:color w:val="auto"/>
        </w:rPr>
      </w:pPr>
      <w:r>
        <w:rPr>
          <w:rFonts w:ascii="Arial" w:cs="Arial" w:eastAsia="Arial" w:hAnsi="Arial"/>
          <w:sz w:val="18"/>
          <w:szCs w:val="18"/>
          <w:b w:val="1"/>
          <w:bCs w:val="1"/>
          <w:color w:val="auto"/>
        </w:rPr>
        <w:t>1995 STOCK OPTION PLAN</w:t>
      </w:r>
    </w:p>
    <w:p>
      <w:pPr>
        <w:spacing w:after="0" w:line="20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PERFORMANCE AWARD AGREEMENT</w:t>
      </w:r>
    </w:p>
    <w:p>
      <w:pPr>
        <w:sectPr>
          <w:pgSz w:w="11900" w:h="16838" w:orient="portrait"/>
          <w:cols w:equalWidth="0" w:num="1">
            <w:col w:w="11400"/>
          </w:cols>
          <w:pgMar w:left="240" w:top="270" w:right="259" w:bottom="1440" w:gutter="0" w:footer="0" w:header="0"/>
        </w:sectPr>
      </w:pPr>
    </w:p>
    <w:p>
      <w:pPr>
        <w:spacing w:after="0" w:line="252" w:lineRule="exact"/>
        <w:rPr>
          <w:sz w:val="20"/>
          <w:szCs w:val="20"/>
          <w:color w:val="auto"/>
        </w:rPr>
      </w:pPr>
    </w:p>
    <w:p>
      <w:pPr>
        <w:ind w:right="840"/>
        <w:spacing w:after="0" w:line="347" w:lineRule="auto"/>
        <w:rPr>
          <w:sz w:val="20"/>
          <w:szCs w:val="20"/>
          <w:color w:val="auto"/>
        </w:rPr>
      </w:pPr>
      <w:r>
        <w:rPr>
          <w:rFonts w:ascii="Arial" w:cs="Arial" w:eastAsia="Arial" w:hAnsi="Arial"/>
          <w:sz w:val="16"/>
          <w:szCs w:val="16"/>
          <w:b w:val="1"/>
          <w:bCs w:val="1"/>
          <w:color w:val="auto"/>
        </w:rPr>
        <w:t>Payment for Performance Awards</w:t>
      </w:r>
    </w:p>
    <w:p>
      <w:pPr>
        <w:spacing w:after="0" w:line="20" w:lineRule="exact"/>
        <w:rPr>
          <w:sz w:val="20"/>
          <w:szCs w:val="20"/>
          <w:color w:val="auto"/>
        </w:rPr>
      </w:pPr>
      <w:r>
        <w:rPr>
          <w:sz w:val="20"/>
          <w:szCs w:val="20"/>
          <w:color w:val="auto"/>
        </w:rPr>
        <w:br w:type="column"/>
      </w:r>
    </w:p>
    <w:p>
      <w:pPr>
        <w:spacing w:after="0" w:line="236" w:lineRule="exact"/>
        <w:rPr>
          <w:sz w:val="20"/>
          <w:szCs w:val="20"/>
          <w:color w:val="auto"/>
        </w:rPr>
      </w:pPr>
    </w:p>
    <w:p>
      <w:pPr>
        <w:spacing w:after="0"/>
        <w:rPr>
          <w:sz w:val="20"/>
          <w:szCs w:val="20"/>
          <w:color w:val="auto"/>
        </w:rPr>
      </w:pPr>
      <w:r>
        <w:rPr>
          <w:rFonts w:ascii="Arial" w:cs="Arial" w:eastAsia="Arial" w:hAnsi="Arial"/>
          <w:sz w:val="16"/>
          <w:szCs w:val="16"/>
          <w:color w:val="auto"/>
        </w:rPr>
        <w:t>No payment is required for the Performance Awards you receive.</w:t>
      </w:r>
    </w:p>
    <w:p>
      <w:pPr>
        <w:spacing w:after="0" w:line="352" w:lineRule="exact"/>
        <w:rPr>
          <w:sz w:val="20"/>
          <w:szCs w:val="20"/>
          <w:color w:val="auto"/>
        </w:rPr>
      </w:pPr>
    </w:p>
    <w:p>
      <w:pPr>
        <w:sectPr>
          <w:pgSz w:w="11900" w:h="16838" w:orient="portrait"/>
          <w:cols w:equalWidth="0" w:num="2">
            <w:col w:w="2480" w:space="720"/>
            <w:col w:w="8200"/>
          </w:cols>
          <w:pgMar w:left="240" w:top="270" w:right="259" w:bottom="1440" w:gutter="0" w:footer="0" w:header="0"/>
          <w:type w:val="continuous"/>
        </w:sectPr>
      </w:pPr>
    </w:p>
    <w:p>
      <w:pPr>
        <w:spacing w:after="0"/>
        <w:rPr>
          <w:sz w:val="20"/>
          <w:szCs w:val="20"/>
          <w:color w:val="auto"/>
        </w:rPr>
      </w:pPr>
      <w:r>
        <w:rPr>
          <w:rFonts w:ascii="Arial" w:cs="Arial" w:eastAsia="Arial" w:hAnsi="Arial"/>
          <w:sz w:val="16"/>
          <w:szCs w:val="16"/>
          <w:b w:val="1"/>
          <w:bCs w:val="1"/>
          <w:color w:val="auto"/>
        </w:rPr>
        <w:t>Vesting</w:t>
      </w:r>
    </w:p>
    <w:p>
      <w:pPr>
        <w:spacing w:after="0" w:line="20" w:lineRule="exact"/>
        <w:rPr>
          <w:sz w:val="20"/>
          <w:szCs w:val="20"/>
          <w:color w:val="auto"/>
        </w:rPr>
      </w:pPr>
      <w:r>
        <w:rPr>
          <w:sz w:val="20"/>
          <w:szCs w:val="20"/>
          <w:color w:val="auto"/>
        </w:rPr>
        <w:br w:type="column"/>
      </w:r>
    </w:p>
    <w:p>
      <w:pPr>
        <w:jc w:val="both"/>
        <w:ind w:right="60"/>
        <w:spacing w:after="0" w:line="264" w:lineRule="auto"/>
        <w:rPr>
          <w:sz w:val="20"/>
          <w:szCs w:val="20"/>
          <w:color w:val="auto"/>
        </w:rPr>
      </w:pPr>
      <w:r>
        <w:rPr>
          <w:rFonts w:ascii="Arial" w:cs="Arial" w:eastAsia="Arial" w:hAnsi="Arial"/>
          <w:sz w:val="18"/>
          <w:szCs w:val="18"/>
          <w:color w:val="auto"/>
        </w:rPr>
        <w:t>Subject to the terms and conditions of the Plan and this Performance Award Agreement (the “Agreement”), your Performance Awards vest in accordance with the schedule set forth in the Notice of Grant of Performance Award (the “Notice of Grant”).</w:t>
      </w:r>
    </w:p>
    <w:p>
      <w:pPr>
        <w:spacing w:after="0" w:line="69" w:lineRule="exact"/>
        <w:rPr>
          <w:sz w:val="20"/>
          <w:szCs w:val="20"/>
          <w:color w:val="auto"/>
        </w:rPr>
      </w:pPr>
    </w:p>
    <w:p>
      <w:pPr>
        <w:sectPr>
          <w:pgSz w:w="11900" w:h="16838" w:orient="portrait"/>
          <w:cols w:equalWidth="0" w:num="2">
            <w:col w:w="2480" w:space="720"/>
            <w:col w:w="8200"/>
          </w:cols>
          <w:pgMar w:left="240" w:top="270" w:right="259" w:bottom="1440" w:gutter="0" w:footer="0" w:header="0"/>
          <w:type w:val="continuous"/>
        </w:sectPr>
      </w:pPr>
    </w:p>
    <w:p>
      <w:pPr>
        <w:spacing w:after="0"/>
        <w:rPr>
          <w:sz w:val="20"/>
          <w:szCs w:val="20"/>
          <w:color w:val="auto"/>
        </w:rPr>
      </w:pPr>
      <w:r>
        <w:rPr>
          <w:rFonts w:ascii="Arial" w:cs="Arial" w:eastAsia="Arial" w:hAnsi="Arial"/>
          <w:sz w:val="17"/>
          <w:szCs w:val="17"/>
          <w:b w:val="1"/>
          <w:bCs w:val="1"/>
          <w:color w:val="auto"/>
        </w:rPr>
        <w:t>Forfeiture</w:t>
      </w:r>
    </w:p>
    <w:p>
      <w:pPr>
        <w:spacing w:after="0" w:line="20" w:lineRule="exact"/>
        <w:rPr>
          <w:sz w:val="20"/>
          <w:szCs w:val="20"/>
          <w:color w:val="auto"/>
        </w:rPr>
      </w:pPr>
      <w:r>
        <w:rPr>
          <w:sz w:val="20"/>
          <w:szCs w:val="20"/>
          <w:color w:val="auto"/>
        </w:rPr>
        <w:br w:type="column"/>
      </w:r>
    </w:p>
    <w:p>
      <w:pPr>
        <w:jc w:val="both"/>
        <w:ind w:right="220"/>
        <w:spacing w:after="0" w:line="312" w:lineRule="auto"/>
        <w:rPr>
          <w:sz w:val="20"/>
          <w:szCs w:val="20"/>
          <w:color w:val="auto"/>
        </w:rPr>
      </w:pPr>
      <w:r>
        <w:rPr>
          <w:rFonts w:ascii="Arial" w:cs="Arial" w:eastAsia="Arial" w:hAnsi="Arial"/>
          <w:sz w:val="16"/>
          <w:szCs w:val="16"/>
          <w:color w:val="auto"/>
        </w:rPr>
        <w:t>When your common-law employment with the Company or a Subsidiary terminates for any reason, vesting of your Performance Awards subject to such Award immediately stops and such Award expires immediately as to the number of Performance Awards that are not vested as of the date such Continuous Service terminates.</w:t>
      </w:r>
    </w:p>
    <w:p>
      <w:pPr>
        <w:spacing w:after="0" w:line="39" w:lineRule="exact"/>
        <w:rPr>
          <w:sz w:val="20"/>
          <w:szCs w:val="20"/>
          <w:color w:val="auto"/>
        </w:rPr>
      </w:pPr>
    </w:p>
    <w:p>
      <w:pPr>
        <w:sectPr>
          <w:pgSz w:w="11900" w:h="16838" w:orient="portrait"/>
          <w:cols w:equalWidth="0" w:num="2">
            <w:col w:w="2480" w:space="720"/>
            <w:col w:w="8200"/>
          </w:cols>
          <w:pgMar w:left="240" w:top="270" w:right="259" w:bottom="1440" w:gutter="0" w:footer="0" w:header="0"/>
          <w:type w:val="continuous"/>
        </w:sectPr>
      </w:pPr>
    </w:p>
    <w:p>
      <w:pPr>
        <w:ind w:left="3200" w:right="240"/>
        <w:spacing w:after="0" w:line="277" w:lineRule="auto"/>
        <w:rPr>
          <w:sz w:val="20"/>
          <w:szCs w:val="20"/>
          <w:color w:val="auto"/>
        </w:rPr>
      </w:pPr>
      <w:r>
        <w:rPr>
          <w:rFonts w:ascii="Arial" w:cs="Arial" w:eastAsia="Arial" w:hAnsi="Arial"/>
          <w:sz w:val="18"/>
          <w:szCs w:val="18"/>
          <w:color w:val="auto"/>
        </w:rPr>
        <w:t>This means that the unvested Performance Awards will immediately be cancelled. You receive no payment for Performance Awards that are forfeited.</w:t>
      </w:r>
    </w:p>
    <w:p>
      <w:pPr>
        <w:spacing w:after="0" w:line="62" w:lineRule="exact"/>
        <w:rPr>
          <w:sz w:val="20"/>
          <w:szCs w:val="20"/>
          <w:color w:val="auto"/>
        </w:rPr>
      </w:pPr>
    </w:p>
    <w:p>
      <w:pPr>
        <w:ind w:left="3200" w:right="160"/>
        <w:spacing w:after="0" w:line="277" w:lineRule="auto"/>
        <w:rPr>
          <w:sz w:val="20"/>
          <w:szCs w:val="20"/>
          <w:color w:val="auto"/>
        </w:rPr>
      </w:pPr>
      <w:r>
        <w:rPr>
          <w:rFonts w:ascii="Arial" w:cs="Arial" w:eastAsia="Arial" w:hAnsi="Arial"/>
          <w:sz w:val="18"/>
          <w:szCs w:val="18"/>
          <w:color w:val="auto"/>
        </w:rPr>
        <w:t>The Company determines when your Continuous Service terminates for this purpose and all purposes under the Plan.</w:t>
      </w:r>
    </w:p>
    <w:p>
      <w:pPr>
        <w:spacing w:after="0" w:line="62" w:lineRule="exact"/>
        <w:rPr>
          <w:sz w:val="20"/>
          <w:szCs w:val="20"/>
          <w:color w:val="auto"/>
        </w:rPr>
      </w:pPr>
    </w:p>
    <w:p>
      <w:pPr>
        <w:ind w:left="3200" w:right="60"/>
        <w:spacing w:after="0" w:line="259" w:lineRule="auto"/>
        <w:rPr>
          <w:sz w:val="20"/>
          <w:szCs w:val="20"/>
          <w:color w:val="auto"/>
        </w:rPr>
      </w:pPr>
      <w:r>
        <w:rPr>
          <w:rFonts w:ascii="Arial" w:cs="Arial" w:eastAsia="Arial" w:hAnsi="Arial"/>
          <w:sz w:val="18"/>
          <w:szCs w:val="18"/>
          <w:color w:val="auto"/>
        </w:rPr>
        <w:t>If you go on a leave of absence for any reason, then unless otherwise adjusted in accordance with the Company’s leave of absence policy or the terms of your leave, the vesting schedule specified in the Notice of Grant will be adjusted to suspend vesting after the first 90 days of leave unless you return to work on or before the 91st day following commencement of the leave.</w:t>
      </w:r>
    </w:p>
    <w:p>
      <w:pPr>
        <w:sectPr>
          <w:pgSz w:w="11900" w:h="16838" w:orient="portrait"/>
          <w:cols w:equalWidth="0" w:num="1">
            <w:col w:w="11400"/>
          </w:cols>
          <w:pgMar w:left="240" w:top="270" w:right="259" w:bottom="1440" w:gutter="0" w:footer="0" w:header="0"/>
          <w:type w:val="continuous"/>
        </w:sectPr>
      </w:pPr>
    </w:p>
    <w:p>
      <w:pPr>
        <w:spacing w:after="0" w:line="75"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Nature of Performance Awards</w:t>
      </w:r>
    </w:p>
    <w:p>
      <w:pPr>
        <w:spacing w:after="0" w:line="20" w:lineRule="exact"/>
        <w:rPr>
          <w:sz w:val="20"/>
          <w:szCs w:val="20"/>
          <w:color w:val="auto"/>
        </w:rPr>
      </w:pPr>
      <w:r>
        <w:rPr>
          <w:sz w:val="20"/>
          <w:szCs w:val="20"/>
          <w:color w:val="auto"/>
        </w:rPr>
        <w:br w:type="column"/>
      </w:r>
    </w:p>
    <w:p>
      <w:pPr>
        <w:spacing w:after="0" w:line="59" w:lineRule="exact"/>
        <w:rPr>
          <w:sz w:val="20"/>
          <w:szCs w:val="20"/>
          <w:color w:val="auto"/>
        </w:rPr>
      </w:pPr>
    </w:p>
    <w:p>
      <w:pPr>
        <w:ind w:right="420"/>
        <w:spacing w:after="0" w:line="312" w:lineRule="auto"/>
        <w:rPr>
          <w:sz w:val="20"/>
          <w:szCs w:val="20"/>
          <w:color w:val="auto"/>
        </w:rPr>
      </w:pPr>
      <w:r>
        <w:rPr>
          <w:rFonts w:ascii="Arial" w:cs="Arial" w:eastAsia="Arial" w:hAnsi="Arial"/>
          <w:sz w:val="16"/>
          <w:szCs w:val="16"/>
          <w:color w:val="auto"/>
        </w:rPr>
        <w:t>Your Performance Awards are mere bookkeeping entries. They represent only the Company’s unfunded and unsecured promise to issue shares of Common Stock (or distribute cash) on a future date. As a holder of Performance Awards, you have no rights other than the rights of a general creditor of the Company.</w:t>
      </w:r>
    </w:p>
    <w:p>
      <w:pPr>
        <w:spacing w:after="0" w:line="35" w:lineRule="exact"/>
        <w:rPr>
          <w:sz w:val="20"/>
          <w:szCs w:val="20"/>
          <w:color w:val="auto"/>
        </w:rPr>
      </w:pPr>
    </w:p>
    <w:p>
      <w:pPr>
        <w:sectPr>
          <w:pgSz w:w="11900" w:h="16838" w:orient="portrait"/>
          <w:cols w:equalWidth="0" w:num="2">
            <w:col w:w="2480" w:space="720"/>
            <w:col w:w="8200"/>
          </w:cols>
          <w:pgMar w:left="240" w:top="270" w:right="259" w:bottom="1440" w:gutter="0" w:footer="0" w:header="0"/>
          <w:type w:val="continuous"/>
        </w:sectPr>
      </w:pPr>
    </w:p>
    <w:p>
      <w:pPr>
        <w:spacing w:after="0"/>
        <w:rPr>
          <w:sz w:val="20"/>
          <w:szCs w:val="20"/>
          <w:color w:val="auto"/>
        </w:rPr>
      </w:pPr>
      <w:r>
        <w:rPr>
          <w:rFonts w:ascii="Arial" w:cs="Arial" w:eastAsia="Arial" w:hAnsi="Arial"/>
          <w:sz w:val="16"/>
          <w:szCs w:val="16"/>
          <w:b w:val="1"/>
          <w:bCs w:val="1"/>
          <w:color w:val="auto"/>
        </w:rPr>
        <w:t>No Voting Rights or Dividends</w:t>
      </w:r>
    </w:p>
    <w:p>
      <w:pPr>
        <w:spacing w:after="0" w:line="20" w:lineRule="exact"/>
        <w:rPr>
          <w:sz w:val="20"/>
          <w:szCs w:val="20"/>
          <w:color w:val="auto"/>
        </w:rPr>
      </w:pPr>
      <w:r>
        <w:rPr>
          <w:sz w:val="20"/>
          <w:szCs w:val="20"/>
          <w:color w:val="auto"/>
        </w:rPr>
        <w:br w:type="column"/>
      </w:r>
    </w:p>
    <w:p>
      <w:pPr>
        <w:spacing w:after="0" w:line="279" w:lineRule="auto"/>
        <w:rPr>
          <w:sz w:val="20"/>
          <w:szCs w:val="20"/>
          <w:color w:val="auto"/>
        </w:rPr>
      </w:pPr>
      <w:r>
        <w:rPr>
          <w:rFonts w:ascii="Arial" w:cs="Arial" w:eastAsia="Arial" w:hAnsi="Arial"/>
          <w:sz w:val="17"/>
          <w:szCs w:val="17"/>
          <w:color w:val="auto"/>
        </w:rPr>
        <w:t>Your Performance Awards carry neither voting rights nor rights to dividends. You, or your estate or heirs, have no rights as a stockholder of the Company unless and until your Performance Awards are settled by issuing shares of the Company’s Common Stock. No adjustments will be made for dividends or other rights if the applicable record date occurs before your stock certificate is issued, except as described in the Plan.</w:t>
      </w:r>
    </w:p>
    <w:p>
      <w:pPr>
        <w:sectPr>
          <w:pgSz w:w="11900" w:h="16838" w:orient="portrait"/>
          <w:cols w:equalWidth="0" w:num="2">
            <w:col w:w="2480" w:space="720"/>
            <w:col w:w="8200"/>
          </w:cols>
          <w:pgMar w:left="240" w:top="270" w:right="259" w:bottom="1440" w:gutter="0" w:footer="0" w:header="0"/>
          <w:type w:val="continuous"/>
        </w:sectPr>
      </w:pPr>
    </w:p>
    <w:bookmarkStart w:id="74" w:name="page75"/>
    <w:bookmarkEnd w:id="74"/>
    <w:p>
      <w:pPr>
        <w:ind w:right="840"/>
        <w:spacing w:after="0" w:line="347" w:lineRule="auto"/>
        <w:rPr>
          <w:sz w:val="20"/>
          <w:szCs w:val="20"/>
          <w:color w:val="auto"/>
        </w:rPr>
      </w:pPr>
      <w:r>
        <w:rPr>
          <w:rFonts w:ascii="Arial" w:cs="Arial" w:eastAsia="Arial" w:hAnsi="Arial"/>
          <w:sz w:val="16"/>
          <w:szCs w:val="16"/>
          <w:b w:val="1"/>
          <w:bCs w:val="1"/>
          <w:color w:val="auto"/>
        </w:rPr>
        <w:t>Performance Awards Nontransferable</w:t>
      </w:r>
    </w:p>
    <w:p>
      <w:pPr>
        <w:spacing w:after="0" w:line="20" w:lineRule="exact"/>
        <w:rPr>
          <w:sz w:val="20"/>
          <w:szCs w:val="20"/>
          <w:color w:val="auto"/>
        </w:rPr>
      </w:pPr>
      <w:r>
        <w:rPr>
          <w:sz w:val="20"/>
          <w:szCs w:val="20"/>
          <w:color w:val="auto"/>
        </w:rPr>
        <w:br w:type="column"/>
      </w:r>
    </w:p>
    <w:p>
      <w:pPr>
        <w:ind w:right="320"/>
        <w:spacing w:after="0" w:line="277" w:lineRule="auto"/>
        <w:rPr>
          <w:sz w:val="20"/>
          <w:szCs w:val="20"/>
          <w:color w:val="auto"/>
        </w:rPr>
      </w:pPr>
      <w:r>
        <w:rPr>
          <w:rFonts w:ascii="Arial" w:cs="Arial" w:eastAsia="Arial" w:hAnsi="Arial"/>
          <w:sz w:val="18"/>
          <w:szCs w:val="18"/>
          <w:color w:val="auto"/>
        </w:rPr>
        <w:t>You may not sell, transfer, assign, pledge or otherwise dispose of any Performance Awards. For instance, you may not use your Performance Awards as security for a loan.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-2038985</wp:posOffset>
            </wp:positionH>
            <wp:positionV relativeFrom="paragraph">
              <wp:posOffset>-387985</wp:posOffset>
            </wp:positionV>
            <wp:extent cx="7289165" cy="3873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58" w:lineRule="exact"/>
        <w:rPr>
          <w:sz w:val="20"/>
          <w:szCs w:val="20"/>
          <w:color w:val="auto"/>
        </w:rPr>
      </w:pPr>
    </w:p>
    <w:p>
      <w:pPr>
        <w:sectPr>
          <w:pgSz w:w="11900" w:h="16838" w:orient="portrait"/>
          <w:cols w:equalWidth="0" w:num="2">
            <w:col w:w="2480" w:space="720"/>
            <w:col w:w="8200"/>
          </w:cols>
          <w:pgMar w:left="240" w:top="270" w:right="259" w:bottom="1440" w:gutter="0" w:footer="0" w:header="0"/>
        </w:sectPr>
      </w:pPr>
    </w:p>
    <w:p>
      <w:pPr>
        <w:spacing w:after="0"/>
        <w:rPr>
          <w:sz w:val="20"/>
          <w:szCs w:val="20"/>
          <w:color w:val="auto"/>
        </w:rPr>
      </w:pPr>
      <w:r>
        <w:rPr>
          <w:rFonts w:ascii="Arial" w:cs="Arial" w:eastAsia="Arial" w:hAnsi="Arial"/>
          <w:sz w:val="16"/>
          <w:szCs w:val="16"/>
          <w:b w:val="1"/>
          <w:bCs w:val="1"/>
          <w:color w:val="auto"/>
        </w:rPr>
        <w:t>Settlement of Performance Awards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Each of your Performance Awards will be settled when it vests.</w:t>
      </w:r>
    </w:p>
    <w:p>
      <w:pPr>
        <w:spacing w:after="0" w:line="200" w:lineRule="exact"/>
        <w:rPr>
          <w:sz w:val="20"/>
          <w:szCs w:val="20"/>
          <w:color w:val="auto"/>
        </w:rPr>
      </w:pPr>
    </w:p>
    <w:p>
      <w:pPr>
        <w:sectPr>
          <w:pgSz w:w="11900" w:h="16838" w:orient="portrait"/>
          <w:cols w:equalWidth="0" w:num="2">
            <w:col w:w="2700" w:space="500"/>
            <w:col w:w="8200"/>
          </w:cols>
          <w:pgMar w:left="240" w:top="270" w:right="259" w:bottom="1440" w:gutter="0" w:footer="0" w:header="0"/>
          <w:type w:val="continuous"/>
        </w:sectPr>
      </w:pPr>
    </w:p>
    <w:p>
      <w:pPr>
        <w:spacing w:after="0" w:line="75" w:lineRule="exact"/>
        <w:rPr>
          <w:sz w:val="20"/>
          <w:szCs w:val="20"/>
          <w:color w:val="auto"/>
        </w:rPr>
      </w:pPr>
    </w:p>
    <w:p>
      <w:pPr>
        <w:ind w:left="3200" w:right="60"/>
        <w:spacing w:after="0" w:line="302" w:lineRule="auto"/>
        <w:rPr>
          <w:sz w:val="20"/>
          <w:szCs w:val="20"/>
          <w:color w:val="auto"/>
        </w:rPr>
      </w:pPr>
      <w:r>
        <w:rPr>
          <w:rFonts w:ascii="Arial" w:cs="Arial" w:eastAsia="Arial" w:hAnsi="Arial"/>
          <w:sz w:val="16"/>
          <w:szCs w:val="16"/>
          <w:color w:val="auto"/>
        </w:rPr>
        <w:t>At the time of settlement, you will receive one share of the Company’s Common Stock for each vested Performance Award; provided, however, that no fractional Share will be issued or delivered pursuant to the Plan or this Agreement, and the Administrator will determine whether cash will be paid in lieu of any fractional Share or whether such fractional Share and any rights thereto will be canceled, terminated or otherwise eliminated.</w:t>
      </w:r>
    </w:p>
    <w:p>
      <w:pPr>
        <w:sectPr>
          <w:pgSz w:w="11900" w:h="16838" w:orient="portrait"/>
          <w:cols w:equalWidth="0" w:num="1">
            <w:col w:w="11400"/>
          </w:cols>
          <w:pgMar w:left="240" w:top="270" w:right="259" w:bottom="1440" w:gutter="0" w:footer="0" w:header="0"/>
          <w:type w:val="continuous"/>
        </w:sectPr>
      </w:pPr>
    </w:p>
    <w:p>
      <w:pPr>
        <w:spacing w:after="0" w:line="56" w:lineRule="exact"/>
        <w:rPr>
          <w:sz w:val="20"/>
          <w:szCs w:val="20"/>
          <w:color w:val="auto"/>
        </w:rPr>
      </w:pPr>
    </w:p>
    <w:p>
      <w:pPr>
        <w:ind w:right="220"/>
        <w:spacing w:after="0" w:line="282" w:lineRule="auto"/>
        <w:rPr>
          <w:sz w:val="20"/>
          <w:szCs w:val="20"/>
          <w:color w:val="auto"/>
        </w:rPr>
      </w:pPr>
      <w:r>
        <w:rPr>
          <w:rFonts w:ascii="Arial" w:cs="Arial" w:eastAsia="Arial" w:hAnsi="Arial"/>
          <w:sz w:val="18"/>
          <w:szCs w:val="18"/>
          <w:b w:val="1"/>
          <w:bCs w:val="1"/>
          <w:color w:val="auto"/>
        </w:rPr>
        <w:t>Withholding Taxes and Stock Withholding</w:t>
      </w:r>
    </w:p>
    <w:p>
      <w:pPr>
        <w:spacing w:after="0" w:line="20" w:lineRule="exact"/>
        <w:rPr>
          <w:sz w:val="20"/>
          <w:szCs w:val="20"/>
          <w:color w:val="auto"/>
        </w:rPr>
      </w:pPr>
      <w:r>
        <w:rPr>
          <w:sz w:val="20"/>
          <w:szCs w:val="20"/>
          <w:color w:val="auto"/>
        </w:rPr>
        <w:br w:type="column"/>
      </w:r>
    </w:p>
    <w:p>
      <w:pPr>
        <w:spacing w:after="0" w:line="40" w:lineRule="exact"/>
        <w:rPr>
          <w:sz w:val="20"/>
          <w:szCs w:val="20"/>
          <w:color w:val="auto"/>
        </w:rPr>
      </w:pPr>
    </w:p>
    <w:p>
      <w:pPr>
        <w:jc w:val="both"/>
        <w:spacing w:after="0" w:line="279" w:lineRule="auto"/>
        <w:rPr>
          <w:sz w:val="20"/>
          <w:szCs w:val="20"/>
          <w:color w:val="auto"/>
        </w:rPr>
      </w:pPr>
      <w:r>
        <w:rPr>
          <w:rFonts w:ascii="Arial" w:cs="Arial" w:eastAsia="Arial" w:hAnsi="Arial"/>
          <w:sz w:val="17"/>
          <w:szCs w:val="17"/>
          <w:color w:val="auto"/>
        </w:rPr>
        <w:t>Notwithstanding any contrary provision of this Agreement, no certificate representing the Shares will be issued to you unless and until satisfactory arrangements (as determined by the Company) will have been made by you with respect to the payment of income, employment and other taxes which the Company determines must be withheld with respect to such Shares so issuable (the “Withholding Taxes”).</w:t>
      </w:r>
    </w:p>
    <w:p>
      <w:pPr>
        <w:spacing w:after="0" w:line="63" w:lineRule="exact"/>
        <w:rPr>
          <w:sz w:val="20"/>
          <w:szCs w:val="20"/>
          <w:color w:val="auto"/>
        </w:rPr>
      </w:pPr>
    </w:p>
    <w:p>
      <w:pPr>
        <w:sectPr>
          <w:pgSz w:w="11900" w:h="16838" w:orient="portrait"/>
          <w:cols w:equalWidth="0" w:num="2">
            <w:col w:w="2480" w:space="720"/>
            <w:col w:w="8200"/>
          </w:cols>
          <w:pgMar w:left="240" w:top="270" w:right="259" w:bottom="1440" w:gutter="0" w:footer="0" w:header="0"/>
          <w:type w:val="continuous"/>
        </w:sectPr>
      </w:pPr>
    </w:p>
    <w:p>
      <w:pPr>
        <w:ind w:left="3200" w:right="20"/>
        <w:spacing w:after="0" w:line="255" w:lineRule="auto"/>
        <w:rPr>
          <w:sz w:val="20"/>
          <w:szCs w:val="20"/>
          <w:color w:val="auto"/>
        </w:rPr>
      </w:pPr>
      <w:r>
        <w:rPr>
          <w:rFonts w:ascii="Arial" w:cs="Arial" w:eastAsia="Arial" w:hAnsi="Arial"/>
          <w:sz w:val="18"/>
          <w:szCs w:val="18"/>
          <w:color w:val="auto"/>
        </w:rPr>
        <w:t>In its discretion, the Company may withhold otherwise deliverable Shares upon vesting of Performance Awards, according to the vesting schedule, having a Fair Market Value equal to the minimum amount required to be withheld for the payment of the Withholding Taxes pursuant to such procedures as the Company may specify from time to time. The Company will not retain fractional Shares to satisfy any portion of the Withholding Taxes. If the Company determines that the withholding of whole Shares results in an over-withholding to meet the minimum tax withholding requirements, a reimbursement will be made to you as soon as administratively possible.</w:t>
      </w:r>
    </w:p>
    <w:p>
      <w:pPr>
        <w:spacing w:after="0" w:line="81" w:lineRule="exact"/>
        <w:rPr>
          <w:sz w:val="20"/>
          <w:szCs w:val="20"/>
          <w:color w:val="auto"/>
        </w:rPr>
      </w:pPr>
    </w:p>
    <w:p>
      <w:pPr>
        <w:ind w:left="3200" w:right="640"/>
        <w:spacing w:after="0" w:line="277" w:lineRule="auto"/>
        <w:rPr>
          <w:sz w:val="20"/>
          <w:szCs w:val="20"/>
          <w:color w:val="auto"/>
        </w:rPr>
      </w:pPr>
      <w:r>
        <w:rPr>
          <w:rFonts w:ascii="Arial" w:cs="Arial" w:eastAsia="Arial" w:hAnsi="Arial"/>
          <w:sz w:val="18"/>
          <w:szCs w:val="18"/>
          <w:color w:val="auto"/>
        </w:rPr>
        <w:t>The Company may also provide for the payment of Withholding Taxes, in whole or in part, by one of the additional following alternatives:</w:t>
      </w:r>
    </w:p>
    <w:p>
      <w:pPr>
        <w:spacing w:after="0" w:line="62" w:lineRule="exact"/>
        <w:rPr>
          <w:sz w:val="20"/>
          <w:szCs w:val="20"/>
          <w:color w:val="auto"/>
        </w:rPr>
      </w:pPr>
    </w:p>
    <w:p>
      <w:pPr>
        <w:ind w:left="3200" w:right="20"/>
        <w:spacing w:after="0" w:line="308" w:lineRule="auto"/>
        <w:rPr>
          <w:sz w:val="20"/>
          <w:szCs w:val="20"/>
          <w:color w:val="auto"/>
        </w:rPr>
      </w:pPr>
      <w:r>
        <w:rPr>
          <w:rFonts w:ascii="Arial" w:cs="Arial" w:eastAsia="Arial" w:hAnsi="Arial"/>
          <w:sz w:val="17"/>
          <w:szCs w:val="17"/>
          <w:color w:val="auto"/>
        </w:rPr>
        <w:t>(a) you provide irrevocable instructions to a Company-designated broker to deliver cash to the Company (or your employer) from your previously established account with such broker equal to the Withholding Taxes; or</w:t>
      </w:r>
    </w:p>
    <w:p>
      <w:pPr>
        <w:spacing w:after="0" w:line="38" w:lineRule="exact"/>
        <w:rPr>
          <w:sz w:val="20"/>
          <w:szCs w:val="20"/>
          <w:color w:val="auto"/>
        </w:rPr>
      </w:pPr>
    </w:p>
    <w:p>
      <w:pPr>
        <w:ind w:left="3200" w:right="100"/>
        <w:spacing w:after="0" w:line="264" w:lineRule="auto"/>
        <w:rPr>
          <w:sz w:val="20"/>
          <w:szCs w:val="20"/>
          <w:color w:val="auto"/>
        </w:rPr>
      </w:pPr>
      <w:r>
        <w:rPr>
          <w:rFonts w:ascii="Arial" w:cs="Arial" w:eastAsia="Arial" w:hAnsi="Arial"/>
          <w:sz w:val="18"/>
          <w:szCs w:val="18"/>
          <w:color w:val="auto"/>
        </w:rPr>
        <w:t>(b) you provide irrevocable instructions to a Company-designated broker to sell a sufficient number of Shares otherwise deliverable to you having a Fair Market Value equal to the Withholding Taxes, provided that such sale does not violate Company policy or applicable laws.</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0" w:right="259" w:bottom="1440" w:gutter="0" w:footer="0" w:header="0"/>
          <w:type w:val="continuous"/>
        </w:sectPr>
      </w:pPr>
    </w:p>
    <w:bookmarkStart w:id="75" w:name="page76"/>
    <w:bookmarkEnd w:id="75"/>
    <w:p>
      <w:pPr>
        <w:ind w:left="3200" w:right="40"/>
        <w:spacing w:after="0" w:line="27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If you fail to make satisfactory arrangements for the payment of the Withholding Taxes hereunder at the time any applicable Performance Awards otherwise are scheduled to vest pursuant to the vesting schedule, you will permanently forfeit such Performance Awards and any Shares otherwise deliverable with respect thereto, and the Performance Awards will be returned to the Company at no cost to the Company.</w:t>
      </w:r>
    </w:p>
    <w:p>
      <w:pPr>
        <w:sectPr>
          <w:pgSz w:w="11900" w:h="16838" w:orient="portrait"/>
          <w:cols w:equalWidth="0" w:num="1">
            <w:col w:w="11400"/>
          </w:cols>
          <w:pgMar w:left="240" w:top="274" w:right="259" w:bottom="1440" w:gutter="0" w:footer="0" w:header="0"/>
        </w:sectPr>
      </w:pPr>
    </w:p>
    <w:p>
      <w:pPr>
        <w:spacing w:after="0" w:line="59"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Restrictions on Resale</w:t>
      </w:r>
    </w:p>
    <w:p>
      <w:pPr>
        <w:spacing w:after="0" w:line="20" w:lineRule="exact"/>
        <w:rPr>
          <w:sz w:val="20"/>
          <w:szCs w:val="20"/>
          <w:color w:val="auto"/>
        </w:rPr>
      </w:pPr>
      <w:r>
        <w:rPr>
          <w:sz w:val="20"/>
          <w:szCs w:val="20"/>
          <w:color w:val="auto"/>
        </w:rPr>
        <w:br w:type="column"/>
      </w:r>
    </w:p>
    <w:p>
      <w:pPr>
        <w:spacing w:after="0" w:line="43"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By signing this Agreement, you agree not to sell any shares of the Company’s Common Stock issued upon settlement of the Performance Awards at a time when applicable laws or Company policies prohibit a sale. This restriction will apply as long as you are an employee, consultant or director of the Company or a subsidiary of the Company.</w:t>
      </w:r>
    </w:p>
    <w:p>
      <w:pPr>
        <w:spacing w:after="0" w:line="75" w:lineRule="exact"/>
        <w:rPr>
          <w:sz w:val="20"/>
          <w:szCs w:val="20"/>
          <w:color w:val="auto"/>
        </w:rPr>
      </w:pPr>
    </w:p>
    <w:p>
      <w:pPr>
        <w:sectPr>
          <w:pgSz w:w="11900" w:h="16838" w:orient="portrait"/>
          <w:cols w:equalWidth="0" w:num="2">
            <w:col w:w="2480" w:space="720"/>
            <w:col w:w="8200"/>
          </w:cols>
          <w:pgMar w:left="240" w:top="274" w:right="259" w:bottom="1440" w:gutter="0" w:footer="0" w:header="0"/>
          <w:type w:val="continuous"/>
        </w:sectPr>
      </w:pPr>
    </w:p>
    <w:p>
      <w:pPr>
        <w:spacing w:after="0"/>
        <w:rPr>
          <w:sz w:val="20"/>
          <w:szCs w:val="20"/>
          <w:color w:val="auto"/>
        </w:rPr>
      </w:pPr>
      <w:r>
        <w:rPr>
          <w:rFonts w:ascii="Arial" w:cs="Arial" w:eastAsia="Arial" w:hAnsi="Arial"/>
          <w:sz w:val="16"/>
          <w:szCs w:val="16"/>
          <w:b w:val="1"/>
          <w:bCs w:val="1"/>
          <w:color w:val="auto"/>
        </w:rPr>
        <w:t>Adjustments</w:t>
      </w:r>
    </w:p>
    <w:p>
      <w:pPr>
        <w:spacing w:after="0" w:line="20" w:lineRule="exact"/>
        <w:rPr>
          <w:sz w:val="20"/>
          <w:szCs w:val="20"/>
          <w:color w:val="auto"/>
        </w:rPr>
      </w:pPr>
      <w:r>
        <w:rPr>
          <w:sz w:val="20"/>
          <w:szCs w:val="20"/>
          <w:color w:val="auto"/>
        </w:rPr>
        <w:br w:type="column"/>
      </w:r>
    </w:p>
    <w:p>
      <w:pPr>
        <w:ind w:right="140"/>
        <w:spacing w:after="0" w:line="277" w:lineRule="auto"/>
        <w:rPr>
          <w:sz w:val="20"/>
          <w:szCs w:val="20"/>
          <w:color w:val="auto"/>
        </w:rPr>
      </w:pPr>
      <w:r>
        <w:rPr>
          <w:rFonts w:ascii="Arial" w:cs="Arial" w:eastAsia="Arial" w:hAnsi="Arial"/>
          <w:sz w:val="18"/>
          <w:szCs w:val="18"/>
          <w:color w:val="auto"/>
        </w:rPr>
        <w:t>In the event of a stock split, a stock dividend or a similar change in Company stock, the number of Performance Awards covered by this Award may be adjusted pursuant to the Plan.</w:t>
      </w:r>
    </w:p>
    <w:p>
      <w:pPr>
        <w:spacing w:after="0" w:line="58" w:lineRule="exact"/>
        <w:rPr>
          <w:sz w:val="20"/>
          <w:szCs w:val="20"/>
          <w:color w:val="auto"/>
        </w:rPr>
      </w:pPr>
    </w:p>
    <w:p>
      <w:pPr>
        <w:sectPr>
          <w:pgSz w:w="11900" w:h="16838" w:orient="portrait"/>
          <w:cols w:equalWidth="0" w:num="2">
            <w:col w:w="2480" w:space="720"/>
            <w:col w:w="8200"/>
          </w:cols>
          <w:pgMar w:left="240" w:top="274" w:right="259" w:bottom="1440" w:gutter="0" w:footer="0" w:header="0"/>
          <w:type w:val="continuous"/>
        </w:sectPr>
      </w:pPr>
    </w:p>
    <w:p>
      <w:pPr>
        <w:spacing w:after="0"/>
        <w:rPr>
          <w:sz w:val="20"/>
          <w:szCs w:val="20"/>
          <w:color w:val="auto"/>
        </w:rPr>
      </w:pPr>
      <w:r>
        <w:rPr>
          <w:rFonts w:ascii="Arial" w:cs="Arial" w:eastAsia="Arial" w:hAnsi="Arial"/>
          <w:sz w:val="16"/>
          <w:szCs w:val="16"/>
          <w:b w:val="1"/>
          <w:bCs w:val="1"/>
          <w:color w:val="auto"/>
        </w:rPr>
        <w:t>Beneficiary Designation</w:t>
      </w:r>
    </w:p>
    <w:p>
      <w:pPr>
        <w:spacing w:after="0" w:line="20" w:lineRule="exact"/>
        <w:rPr>
          <w:sz w:val="20"/>
          <w:szCs w:val="20"/>
          <w:color w:val="auto"/>
        </w:rPr>
      </w:pPr>
      <w:r>
        <w:rPr>
          <w:sz w:val="20"/>
          <w:szCs w:val="20"/>
          <w:color w:val="auto"/>
        </w:rPr>
        <w:br w:type="column"/>
      </w:r>
    </w:p>
    <w:p>
      <w:pPr>
        <w:ind w:right="40"/>
        <w:spacing w:after="0" w:line="257" w:lineRule="auto"/>
        <w:rPr>
          <w:sz w:val="20"/>
          <w:szCs w:val="20"/>
          <w:color w:val="auto"/>
        </w:rPr>
      </w:pPr>
      <w:r>
        <w:rPr>
          <w:rFonts w:ascii="Arial" w:cs="Arial" w:eastAsia="Arial" w:hAnsi="Arial"/>
          <w:sz w:val="18"/>
          <w:szCs w:val="18"/>
          <w:color w:val="auto"/>
        </w:rPr>
        <w:t>You may dispose of your Performance Awards in a written beneficiary designation. A beneficiary designation must be filed with the Company on the proper form. It will be recognized only if it has been received at the Company’s headquarters before your death. If you file no beneficiary designation or if none of your designated beneficiaries survives you, then your estate will receive any vested Performance Awards that you hold at the time of your death.</w:t>
      </w:r>
    </w:p>
    <w:p>
      <w:pPr>
        <w:spacing w:after="0" w:line="76" w:lineRule="exact"/>
        <w:rPr>
          <w:sz w:val="20"/>
          <w:szCs w:val="20"/>
          <w:color w:val="auto"/>
        </w:rPr>
      </w:pPr>
    </w:p>
    <w:p>
      <w:pPr>
        <w:sectPr>
          <w:pgSz w:w="11900" w:h="16838" w:orient="portrait"/>
          <w:cols w:equalWidth="0" w:num="2">
            <w:col w:w="2480" w:space="720"/>
            <w:col w:w="8200"/>
          </w:cols>
          <w:pgMar w:left="240" w:top="274" w:right="259" w:bottom="1440" w:gutter="0" w:footer="0" w:header="0"/>
          <w:type w:val="continuous"/>
        </w:sectPr>
      </w:pPr>
    </w:p>
    <w:p>
      <w:pPr>
        <w:spacing w:after="0"/>
        <w:rPr>
          <w:sz w:val="20"/>
          <w:szCs w:val="20"/>
          <w:color w:val="auto"/>
        </w:rPr>
      </w:pPr>
      <w:r>
        <w:rPr>
          <w:rFonts w:ascii="Arial" w:cs="Arial" w:eastAsia="Arial" w:hAnsi="Arial"/>
          <w:sz w:val="16"/>
          <w:szCs w:val="16"/>
          <w:b w:val="1"/>
          <w:bCs w:val="1"/>
          <w:color w:val="auto"/>
        </w:rPr>
        <w:t>Entire Agreement;</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Governing Law</w:t>
      </w:r>
    </w:p>
    <w:p>
      <w:pPr>
        <w:spacing w:after="0" w:line="20" w:lineRule="exact"/>
        <w:rPr>
          <w:sz w:val="20"/>
          <w:szCs w:val="20"/>
          <w:color w:val="auto"/>
        </w:rPr>
      </w:pPr>
      <w:r>
        <w:rPr>
          <w:sz w:val="20"/>
          <w:szCs w:val="20"/>
          <w:color w:val="auto"/>
        </w:rPr>
        <w:br w:type="column"/>
      </w:r>
    </w:p>
    <w:p>
      <w:pPr>
        <w:ind w:right="40"/>
        <w:spacing w:after="0" w:line="290" w:lineRule="auto"/>
        <w:rPr>
          <w:sz w:val="20"/>
          <w:szCs w:val="20"/>
          <w:color w:val="auto"/>
        </w:rPr>
      </w:pPr>
      <w:r>
        <w:rPr>
          <w:rFonts w:ascii="Arial" w:cs="Arial" w:eastAsia="Arial" w:hAnsi="Arial"/>
          <w:sz w:val="16"/>
          <w:szCs w:val="16"/>
          <w:color w:val="auto"/>
        </w:rPr>
        <w:t>The Plan is incorporated herein by reference. The Plan, the Notice of Grant and this Agreement constitute the entire agreement of the parties with respect to the subject matter hereof and supersede in their entirety all prior undertakings and agreements and all contemporaneous oral undertakings and agreements of the Company and you with respect to the subject matter hereof, including but not limited to the grant or promise of any right or option to purchase shares of capital stock of the Company to you pursuant to any employment agreement or offer letter delivered by the Company to you or otherwise, and may not be modified to materially and adversely affect your interest except by means of a writing signed by the Company and you. This Agreement is governed by California law except for that body of law pertaining to its conflict of laws.</w:t>
      </w:r>
    </w:p>
    <w:p>
      <w:pPr>
        <w:spacing w:after="0" w:line="54" w:lineRule="exact"/>
        <w:rPr>
          <w:sz w:val="20"/>
          <w:szCs w:val="20"/>
          <w:color w:val="auto"/>
        </w:rPr>
      </w:pPr>
    </w:p>
    <w:p>
      <w:pPr>
        <w:sectPr>
          <w:pgSz w:w="11900" w:h="16838" w:orient="portrait"/>
          <w:cols w:equalWidth="0" w:num="2">
            <w:col w:w="2480" w:space="720"/>
            <w:col w:w="8200"/>
          </w:cols>
          <w:pgMar w:left="240" w:top="274" w:right="259" w:bottom="1440" w:gutter="0" w:footer="0" w:header="0"/>
          <w:type w:val="continuous"/>
        </w:sectPr>
      </w:pPr>
    </w:p>
    <w:p>
      <w:pPr>
        <w:spacing w:after="0"/>
        <w:rPr>
          <w:sz w:val="20"/>
          <w:szCs w:val="20"/>
          <w:color w:val="auto"/>
        </w:rPr>
      </w:pPr>
      <w:r>
        <w:rPr>
          <w:rFonts w:ascii="Arial" w:cs="Arial" w:eastAsia="Arial" w:hAnsi="Arial"/>
          <w:sz w:val="16"/>
          <w:szCs w:val="16"/>
          <w:b w:val="1"/>
          <w:bCs w:val="1"/>
          <w:color w:val="auto"/>
        </w:rPr>
        <w:t>Acknowledgments</w:t>
      </w:r>
    </w:p>
    <w:p>
      <w:pPr>
        <w:spacing w:after="0" w:line="20" w:lineRule="exact"/>
        <w:rPr>
          <w:sz w:val="20"/>
          <w:szCs w:val="20"/>
          <w:color w:val="auto"/>
        </w:rPr>
      </w:pPr>
      <w:r>
        <w:rPr>
          <w:sz w:val="20"/>
          <w:szCs w:val="20"/>
          <w:color w:val="auto"/>
        </w:rPr>
        <w:br w:type="column"/>
      </w:r>
    </w:p>
    <w:p>
      <w:pPr>
        <w:ind w:right="100"/>
        <w:spacing w:after="0" w:line="257" w:lineRule="auto"/>
        <w:rPr>
          <w:sz w:val="20"/>
          <w:szCs w:val="20"/>
          <w:color w:val="auto"/>
        </w:rPr>
      </w:pPr>
      <w:r>
        <w:rPr>
          <w:rFonts w:ascii="Arial" w:cs="Arial" w:eastAsia="Arial" w:hAnsi="Arial"/>
          <w:sz w:val="18"/>
          <w:szCs w:val="18"/>
          <w:color w:val="auto"/>
        </w:rPr>
        <w:t>YOU ACKNOWLEDGE AND AGREE THAT THE VESTING OF THE PERFORMANCE AWARDS SUBJECT TO THIS AWARD IS EARNED ONLY BY CONTINUING CONSULTANCY OR EMPLOYMENT AT THE WILL OF THE COMPANY (NOT THROUGH ANY OTHER MEANS, INCLUDING WITHOUT LIMITATION, THE ACT OF BEING HIRED, BEING GRANTED THIS AWARD OR ACQUIRING SHARES HEREUNDER). YOU</w:t>
      </w:r>
    </w:p>
    <w:p>
      <w:pPr>
        <w:spacing w:after="0" w:line="121" w:lineRule="exact"/>
        <w:rPr>
          <w:sz w:val="20"/>
          <w:szCs w:val="20"/>
          <w:color w:val="auto"/>
        </w:rPr>
      </w:pPr>
    </w:p>
    <w:p>
      <w:pPr>
        <w:sectPr>
          <w:pgSz w:w="11900" w:h="16838" w:orient="portrait"/>
          <w:cols w:equalWidth="0" w:num="2">
            <w:col w:w="2480" w:space="720"/>
            <w:col w:w="8200"/>
          </w:cols>
          <w:pgMar w:left="240" w:top="274" w:right="259" w:bottom="1440" w:gutter="0" w:footer="0" w:header="0"/>
          <w:type w:val="continuous"/>
        </w:sectPr>
      </w:pPr>
    </w:p>
    <w:p>
      <w:pPr>
        <w:jc w:val="center"/>
        <w:ind w:right="-19"/>
        <w:spacing w:after="0"/>
        <w:rPr>
          <w:sz w:val="20"/>
          <w:szCs w:val="20"/>
          <w:color w:val="auto"/>
        </w:rPr>
      </w:pPr>
      <w:r>
        <w:rPr>
          <w:rFonts w:ascii="Arial" w:cs="Arial" w:eastAsia="Arial" w:hAnsi="Arial"/>
          <w:sz w:val="17"/>
          <w:szCs w:val="17"/>
          <w:color w:val="auto"/>
        </w:rPr>
        <w:t>-3-</w:t>
      </w:r>
    </w:p>
    <w:p>
      <w:pPr>
        <w:sectPr>
          <w:pgSz w:w="11900" w:h="16838" w:orient="portrait"/>
          <w:cols w:equalWidth="0" w:num="1">
            <w:col w:w="11400"/>
          </w:cols>
          <w:pgMar w:left="240" w:top="274" w:right="259" w:bottom="1440" w:gutter="0" w:footer="0" w:header="0"/>
          <w:type w:val="continuous"/>
        </w:sectPr>
      </w:pPr>
    </w:p>
    <w:bookmarkStart w:id="76" w:name="page77"/>
    <w:bookmarkEnd w:id="76"/>
    <w:p>
      <w:pPr>
        <w:ind w:left="2000" w:right="60"/>
        <w:spacing w:after="0" w:line="27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FURTHER ACKNOWLEDGE AND AGREE THAT NOTHING IN THIS AGREEMENT, NOR IN THE PLAN WHICH IS INCORPORATED HEREIN BY REFERENCE, SHALL CONFER UPON YOU ANY RIGHT WITH RESPECT TO CONTINUATION OF EMPLOYMENT OR CONSULTANCY BY THE COMPANY, NOR SHALL IT INTERFERE IN ANY WAY WITH YOUR RIGHT OR THE COMPANY’S RIGHT TO TERMINATE YOUR EMPLOYMENT OR CONSULTANCY AT ANY TIME, WITH OR WITHOUT CAUSE.</w:t>
      </w:r>
    </w:p>
    <w:p>
      <w:pPr>
        <w:spacing w:after="0" w:line="64" w:lineRule="exact"/>
        <w:rPr>
          <w:sz w:val="20"/>
          <w:szCs w:val="20"/>
          <w:color w:val="auto"/>
        </w:rPr>
      </w:pPr>
    </w:p>
    <w:p>
      <w:pPr>
        <w:ind w:left="2000" w:right="60"/>
        <w:spacing w:after="0" w:line="259" w:lineRule="auto"/>
        <w:rPr>
          <w:sz w:val="20"/>
          <w:szCs w:val="20"/>
          <w:color w:val="auto"/>
        </w:rPr>
      </w:pPr>
      <w:r>
        <w:rPr>
          <w:rFonts w:ascii="Arial" w:cs="Arial" w:eastAsia="Arial" w:hAnsi="Arial"/>
          <w:sz w:val="18"/>
          <w:szCs w:val="18"/>
          <w:color w:val="auto"/>
        </w:rPr>
        <w:t>You hereby authorize and direct your employer to disclose to the Company or any subsidiary any information regarding your employment, the nature and amount of the your compensation and the fact and conditions of your participation in the Plan, as your employer deems necessary or appropriate to facilitate the administration of the Plan.</w:t>
      </w:r>
    </w:p>
    <w:p>
      <w:pPr>
        <w:spacing w:after="0" w:line="79" w:lineRule="exact"/>
        <w:rPr>
          <w:sz w:val="20"/>
          <w:szCs w:val="20"/>
          <w:color w:val="auto"/>
        </w:rPr>
      </w:pPr>
    </w:p>
    <w:p>
      <w:pPr>
        <w:ind w:left="2000"/>
        <w:spacing w:after="0" w:line="267" w:lineRule="auto"/>
        <w:rPr>
          <w:sz w:val="20"/>
          <w:szCs w:val="20"/>
          <w:color w:val="auto"/>
        </w:rPr>
      </w:pPr>
      <w:r>
        <w:rPr>
          <w:rFonts w:ascii="Arial" w:cs="Arial" w:eastAsia="Arial" w:hAnsi="Arial"/>
          <w:sz w:val="17"/>
          <w:szCs w:val="17"/>
          <w:color w:val="auto"/>
        </w:rPr>
        <w:t>You consent to the collection, use and transfer of personal data as described in this paragraph. You understand and acknowledge that the Company, your employer and the Company’s other subsidiaries hold certain personal information regarding you for the purpose of managing and administering the Plan, including (without limitation) your name, home address, telephone number, date of birth, social insurance number, salary, nationality, job title, any shares or directorships held in the Company and details of all options or any other entitlements to shares awarded, canceled, exercised, vested, unvested or outstanding in the your favor (the “Data”). You further understand and acknowledge that the Company and/or its subsidiaries will transfer Data among themselves as necessary for the purpose of implementation, administration and management of your participation in the Plan and that the Company and/or any subsidiary may each further transfer Data to any third party assisting the Company in the implementation, administration and management of the Plan. You understand and acknowledge that the recipients of Data may be located in the United States or elsewhere. You authorize such recipients to receive, possess, use, retain and transfer Data, in electronic or other form, for the purpose of administering your participation in the Plan, including a transfer to any broker or other third party with whom you deposit shares acquired under the Plan of such Data as may be required for the administration of the Plan and/or the subsequent holding of Shares on your behalf. You may, at any time, view the Data, require any necessary modifications of Data or withdraw the consents set forth in this paragraph by contacting the Human Resources Department of the Company in writing.</w:t>
      </w:r>
    </w:p>
    <w:p>
      <w:pPr>
        <w:spacing w:after="0" w:line="85" w:lineRule="exact"/>
        <w:rPr>
          <w:sz w:val="20"/>
          <w:szCs w:val="20"/>
          <w:color w:val="auto"/>
        </w:rPr>
      </w:pPr>
    </w:p>
    <w:p>
      <w:pPr>
        <w:ind w:left="2000" w:right="140"/>
        <w:spacing w:after="0" w:line="264" w:lineRule="auto"/>
        <w:rPr>
          <w:sz w:val="20"/>
          <w:szCs w:val="20"/>
          <w:color w:val="auto"/>
        </w:rPr>
      </w:pPr>
      <w:r>
        <w:rPr>
          <w:rFonts w:ascii="Arial" w:cs="Arial" w:eastAsia="Arial" w:hAnsi="Arial"/>
          <w:sz w:val="18"/>
          <w:szCs w:val="18"/>
          <w:color w:val="auto"/>
        </w:rPr>
        <w:t>You acknowledge receipt of a copy of the Plan and represent that you are familiar with the terms and provisions thereof, and hereby accept this award subject to all of the terms and provisions thereof. You have reviewed the Plan, this Agreement and the Notice of Grant in their</w:t>
      </w:r>
    </w:p>
    <w:p>
      <w:pPr>
        <w:spacing w:after="0" w:line="114" w:lineRule="exact"/>
        <w:rPr>
          <w:sz w:val="20"/>
          <w:szCs w:val="20"/>
          <w:color w:val="auto"/>
        </w:rPr>
      </w:pPr>
    </w:p>
    <w:p>
      <w:pPr>
        <w:ind w:left="4400"/>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200"/>
          </w:cols>
          <w:pgMar w:left="1440" w:top="274" w:right="259" w:bottom="1440" w:gutter="0" w:footer="0" w:header="0"/>
        </w:sectPr>
      </w:pPr>
    </w:p>
    <w:bookmarkStart w:id="77" w:name="page78"/>
    <w:bookmarkEnd w:id="77"/>
    <w:p>
      <w:pPr>
        <w:ind w:left="2000"/>
        <w:spacing w:after="0" w:line="26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entirety, have had an opportunity to obtain the advice of counsel prior to executing this award and fully understand all provisions of such documents. You hereby agree to accept as binding, conclusive and final all decisions or interpretations of the Administrator upon any questions arising under the Plan, the Notice of Grant or this Performance Award Agreement. Notwithstanding the foregoing, if any party brings any action, suit, counterclaim, cross-claim, appeal, arbitration, or mediation for any relief against the other to enforce the terms of or to declare rights under this Plan or the Performance Award Agreement, in addition to any damages and costs which the prevailing party otherwise would be entitled, the non-prevailing party shall pay to the prevailing party a reasonable sum for attorneys’ fees and costs incurred in bringing and prosecuting or defending such action or enforcing any judgment, order, ruling, or award. You agree to timely notify the Company upon any change in the residence address indicated below, and acknowledge that the Company may at its discretion deliver share certificates representing Shares issued pursuant to the settlement of this award to such address. You agree to provide the Company within 7 days of the execution of this Agreement the Consent of Spouse attached hereto if applicable, or within 7 days of any event that would cause such consent to be applicable. You acknowledge that the Company will rely on such agreement.</w:t>
      </w:r>
    </w:p>
    <w:p>
      <w:pPr>
        <w:spacing w:after="0" w:line="181" w:lineRule="exact"/>
        <w:rPr>
          <w:sz w:val="20"/>
          <w:szCs w:val="20"/>
          <w:color w:val="auto"/>
        </w:rPr>
      </w:pPr>
    </w:p>
    <w:p>
      <w:pPr>
        <w:ind w:left="2080"/>
        <w:spacing w:after="0"/>
        <w:rPr>
          <w:sz w:val="20"/>
          <w:szCs w:val="20"/>
          <w:color w:val="auto"/>
        </w:rPr>
      </w:pPr>
      <w:r>
        <w:rPr>
          <w:rFonts w:ascii="Arial" w:cs="Arial" w:eastAsia="Arial" w:hAnsi="Arial"/>
          <w:sz w:val="18"/>
          <w:szCs w:val="18"/>
          <w:b w:val="1"/>
          <w:bCs w:val="1"/>
          <w:color w:val="auto"/>
        </w:rPr>
        <w:t>BY SIGNING THE COVER SHEET OF THIS AGREEMENT,</w:t>
      </w:r>
    </w:p>
    <w:p>
      <w:pPr>
        <w:spacing w:after="0" w:line="225" w:lineRule="exact"/>
        <w:rPr>
          <w:sz w:val="20"/>
          <w:szCs w:val="20"/>
          <w:color w:val="auto"/>
        </w:rPr>
      </w:pPr>
    </w:p>
    <w:p>
      <w:pPr>
        <w:jc w:val="center"/>
        <w:ind w:right="1180"/>
        <w:spacing w:after="0"/>
        <w:rPr>
          <w:sz w:val="20"/>
          <w:szCs w:val="20"/>
          <w:color w:val="auto"/>
        </w:rPr>
      </w:pPr>
      <w:r>
        <w:rPr>
          <w:rFonts w:ascii="Arial" w:cs="Arial" w:eastAsia="Arial" w:hAnsi="Arial"/>
          <w:sz w:val="18"/>
          <w:szCs w:val="18"/>
          <w:b w:val="1"/>
          <w:bCs w:val="1"/>
          <w:color w:val="auto"/>
        </w:rPr>
        <w:t>YOU AGREE TO ALL OF THE TERMS AND CONDITIONS</w:t>
      </w:r>
    </w:p>
    <w:p>
      <w:pPr>
        <w:spacing w:after="0" w:line="225" w:lineRule="exact"/>
        <w:rPr>
          <w:sz w:val="20"/>
          <w:szCs w:val="20"/>
          <w:color w:val="auto"/>
        </w:rPr>
      </w:pPr>
    </w:p>
    <w:p>
      <w:pPr>
        <w:jc w:val="center"/>
        <w:ind w:right="1180"/>
        <w:spacing w:after="0"/>
        <w:rPr>
          <w:sz w:val="20"/>
          <w:szCs w:val="20"/>
          <w:color w:val="auto"/>
        </w:rPr>
      </w:pPr>
      <w:r>
        <w:rPr>
          <w:rFonts w:ascii="Arial" w:cs="Arial" w:eastAsia="Arial" w:hAnsi="Arial"/>
          <w:sz w:val="18"/>
          <w:szCs w:val="18"/>
          <w:b w:val="1"/>
          <w:bCs w:val="1"/>
          <w:color w:val="auto"/>
        </w:rPr>
        <w:t>DESCRIBED ABOVE AND IN THE PLAN.</w:t>
      </w:r>
    </w:p>
    <w:p>
      <w:pPr>
        <w:spacing w:after="0" w:line="162" w:lineRule="exact"/>
        <w:rPr>
          <w:sz w:val="20"/>
          <w:szCs w:val="20"/>
          <w:color w:val="auto"/>
        </w:rPr>
      </w:pPr>
    </w:p>
    <w:p>
      <w:pPr>
        <w:jc w:val="center"/>
        <w:ind w:right="118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0200"/>
          </w:cols>
          <w:pgMar w:left="1440" w:top="274" w:right="259" w:bottom="1440" w:gutter="0" w:footer="0" w:header="0"/>
        </w:sectPr>
      </w:pPr>
    </w:p>
    <w:bookmarkStart w:id="78" w:name="page79"/>
    <w:bookmarkEnd w:id="78"/>
    <w:p>
      <w:pPr>
        <w:jc w:val="center"/>
        <w:ind w:right="-219"/>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CONSENT OF SPOUSE</w:t>
      </w:r>
    </w:p>
    <w:p>
      <w:pPr>
        <w:spacing w:after="0" w:line="229" w:lineRule="exact"/>
        <w:rPr>
          <w:sz w:val="20"/>
          <w:szCs w:val="20"/>
          <w:color w:val="auto"/>
        </w:rPr>
      </w:pPr>
    </w:p>
    <w:p>
      <w:pPr>
        <w:ind w:firstLine="456"/>
        <w:spacing w:after="0" w:line="257" w:lineRule="auto"/>
        <w:rPr>
          <w:sz w:val="20"/>
          <w:szCs w:val="20"/>
          <w:color w:val="auto"/>
        </w:rPr>
      </w:pPr>
      <w:r>
        <w:rPr>
          <w:rFonts w:ascii="Arial" w:cs="Arial" w:eastAsia="Arial" w:hAnsi="Arial"/>
          <w:sz w:val="18"/>
          <w:szCs w:val="18"/>
          <w:color w:val="auto"/>
        </w:rPr>
        <w:t>The undersigned spouse of the award recipient has read and hereby approves the terms and conditions of the Plan, the Notice of Grant and this Agreement. In consideration of the Company’s granting his or her spouse the right to receive Shares as set forth in the Plan and this Agreement, the undersigned hereby agrees to be irrevocably bound by the terms and conditions of the Plan and this Agreement and further agrees that any community property interest shall be similarly bound. The undersigned hereby appoints the undersigned’s spouse as attorney-in-fact for the undersigned with respect to any amendment or exercise of rights under the Plan or this Agreement.</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color w:val="auto"/>
        </w:rPr>
        <w:t>Dated: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4138930</wp:posOffset>
            </wp:positionH>
            <wp:positionV relativeFrom="paragraph">
              <wp:posOffset>23495</wp:posOffset>
            </wp:positionV>
            <wp:extent cx="3112770" cy="889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3112770" cy="8890"/>
                    </a:xfrm>
                    <a:prstGeom prst="rect">
                      <a:avLst/>
                    </a:prstGeom>
                    <a:noFill/>
                  </pic:spPr>
                </pic:pic>
              </a:graphicData>
            </a:graphic>
          </wp:anchor>
        </w:drawing>
        <w:drawing>
          <wp:anchor simplePos="0" relativeHeight="251657728" behindDoc="1" locked="0" layoutInCell="0" allowOverlap="1">
            <wp:simplePos x="0" y="0"/>
            <wp:positionH relativeFrom="column">
              <wp:posOffset>338455</wp:posOffset>
            </wp:positionH>
            <wp:positionV relativeFrom="paragraph">
              <wp:posOffset>-10160</wp:posOffset>
            </wp:positionV>
            <wp:extent cx="1743075" cy="889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1743075" cy="8890"/>
                    </a:xfrm>
                    <a:prstGeom prst="rect">
                      <a:avLst/>
                    </a:prstGeom>
                    <a:noFill/>
                  </pic:spPr>
                </pic:pic>
              </a:graphicData>
            </a:graphic>
          </wp:anchor>
        </w:drawing>
      </w:r>
    </w:p>
    <w:p>
      <w:pPr>
        <w:spacing w:after="0" w:line="57" w:lineRule="exact"/>
        <w:rPr>
          <w:sz w:val="20"/>
          <w:szCs w:val="20"/>
          <w:color w:val="auto"/>
        </w:rPr>
      </w:pPr>
    </w:p>
    <w:p>
      <w:pPr>
        <w:ind w:left="6520"/>
        <w:spacing w:after="0"/>
        <w:rPr>
          <w:sz w:val="20"/>
          <w:szCs w:val="20"/>
          <w:color w:val="auto"/>
        </w:rPr>
      </w:pPr>
      <w:r>
        <w:rPr>
          <w:rFonts w:ascii="Arial" w:cs="Arial" w:eastAsia="Arial" w:hAnsi="Arial"/>
          <w:sz w:val="18"/>
          <w:szCs w:val="18"/>
          <w:color w:val="auto"/>
        </w:rPr>
        <w:t>Spouse of award recipient</w:t>
      </w:r>
    </w:p>
    <w:p>
      <w:pPr>
        <w:spacing w:after="0" w:line="171" w:lineRule="exact"/>
        <w:rPr>
          <w:sz w:val="20"/>
          <w:szCs w:val="20"/>
          <w:color w:val="auto"/>
        </w:rPr>
      </w:pPr>
    </w:p>
    <w:p>
      <w:pPr>
        <w:ind w:left="6520"/>
        <w:spacing w:after="0"/>
        <w:rPr>
          <w:sz w:val="20"/>
          <w:szCs w:val="20"/>
          <w:color w:val="auto"/>
        </w:rPr>
      </w:pPr>
      <w:r>
        <w:rPr>
          <w:rFonts w:ascii="Arial" w:cs="Arial" w:eastAsia="Arial" w:hAnsi="Arial"/>
          <w:sz w:val="18"/>
          <w:szCs w:val="18"/>
          <w:color w:val="auto"/>
        </w:rPr>
        <w:t>«Spouse_Name»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4138930</wp:posOffset>
            </wp:positionH>
            <wp:positionV relativeFrom="paragraph">
              <wp:posOffset>14605</wp:posOffset>
            </wp:positionV>
            <wp:extent cx="3112770" cy="889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3112770" cy="8890"/>
                    </a:xfrm>
                    <a:prstGeom prst="rect">
                      <a:avLst/>
                    </a:prstGeom>
                    <a:noFill/>
                  </pic:spPr>
                </pic:pic>
              </a:graphicData>
            </a:graphic>
          </wp:anchor>
        </w:drawing>
      </w:r>
    </w:p>
    <w:p>
      <w:pPr>
        <w:sectPr>
          <w:pgSz w:w="11900" w:h="16838" w:orient="portrait"/>
          <w:cols w:equalWidth="0" w:num="1">
            <w:col w:w="11220"/>
          </w:cols>
          <w:pgMar w:left="240" w:top="270" w:right="439" w:bottom="1440" w:gutter="0" w:footer="0" w:header="0"/>
        </w:sectPr>
      </w:pPr>
    </w:p>
    <w:bookmarkStart w:id="79" w:name="page80"/>
    <w:bookmarkEnd w:id="79"/>
    <w:p>
      <w:pPr>
        <w:jc w:val="right"/>
        <w:spacing w:after="0"/>
        <w:rPr>
          <w:sz w:val="20"/>
          <w:szCs w:val="20"/>
          <w:color w:val="auto"/>
        </w:rPr>
      </w:pPr>
      <w:r>
        <w:rPr>
          <w:rFonts w:ascii="Arial" w:cs="Arial" w:eastAsia="Arial" w:hAnsi="Arial"/>
          <w:sz w:val="18"/>
          <w:szCs w:val="18"/>
          <w:b w:val="1"/>
          <w:bCs w:val="1"/>
          <w:color w:val="auto"/>
        </w:rPr>
        <w:t>Exhibit 31.1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Dr. Sehat Sutardja, certify that:</w:t>
      </w:r>
    </w:p>
    <w:p>
      <w:pPr>
        <w:spacing w:after="0" w:line="131" w:lineRule="exact"/>
        <w:rPr>
          <w:sz w:val="20"/>
          <w:szCs w:val="20"/>
          <w:color w:val="auto"/>
        </w:rPr>
      </w:pPr>
    </w:p>
    <w:p>
      <w:pPr>
        <w:ind w:left="460" w:hanging="452"/>
        <w:spacing w:after="0"/>
        <w:tabs>
          <w:tab w:leader="none" w:pos="460" w:val="left"/>
        </w:tabs>
        <w:numPr>
          <w:ilvl w:val="0"/>
          <w:numId w:val="51"/>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130" w:lineRule="exact"/>
        <w:rPr>
          <w:rFonts w:ascii="Arial" w:cs="Arial" w:eastAsia="Arial" w:hAnsi="Arial"/>
          <w:sz w:val="18"/>
          <w:szCs w:val="18"/>
          <w:color w:val="auto"/>
        </w:rPr>
      </w:pPr>
    </w:p>
    <w:p>
      <w:pPr>
        <w:jc w:val="both"/>
        <w:ind w:left="460" w:right="500" w:hanging="452"/>
        <w:spacing w:after="0" w:line="264" w:lineRule="auto"/>
        <w:tabs>
          <w:tab w:leader="none" w:pos="460" w:val="left"/>
        </w:tabs>
        <w:numPr>
          <w:ilvl w:val="0"/>
          <w:numId w:val="51"/>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86" w:lineRule="exact"/>
        <w:rPr>
          <w:rFonts w:ascii="Arial" w:cs="Arial" w:eastAsia="Arial" w:hAnsi="Arial"/>
          <w:sz w:val="18"/>
          <w:szCs w:val="18"/>
          <w:color w:val="auto"/>
        </w:rPr>
      </w:pPr>
    </w:p>
    <w:p>
      <w:pPr>
        <w:ind w:left="460" w:right="460" w:hanging="452"/>
        <w:spacing w:after="0" w:line="308" w:lineRule="auto"/>
        <w:tabs>
          <w:tab w:leader="none" w:pos="460" w:val="left"/>
        </w:tabs>
        <w:numPr>
          <w:ilvl w:val="0"/>
          <w:numId w:val="51"/>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1" w:lineRule="exact"/>
        <w:rPr>
          <w:rFonts w:ascii="Arial" w:cs="Arial" w:eastAsia="Arial" w:hAnsi="Arial"/>
          <w:sz w:val="17"/>
          <w:szCs w:val="17"/>
          <w:color w:val="auto"/>
        </w:rPr>
      </w:pPr>
    </w:p>
    <w:p>
      <w:pPr>
        <w:ind w:left="460" w:right="80" w:hanging="452"/>
        <w:spacing w:after="0" w:line="264" w:lineRule="auto"/>
        <w:tabs>
          <w:tab w:leader="none" w:pos="460" w:val="left"/>
        </w:tabs>
        <w:numPr>
          <w:ilvl w:val="0"/>
          <w:numId w:val="51"/>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86" w:lineRule="exact"/>
        <w:rPr>
          <w:rFonts w:ascii="Arial" w:cs="Arial" w:eastAsia="Arial" w:hAnsi="Arial"/>
          <w:sz w:val="18"/>
          <w:szCs w:val="18"/>
          <w:color w:val="auto"/>
        </w:rPr>
      </w:pPr>
    </w:p>
    <w:p>
      <w:pPr>
        <w:ind w:left="900" w:right="300" w:hanging="446"/>
        <w:spacing w:after="0" w:line="264" w:lineRule="auto"/>
        <w:tabs>
          <w:tab w:leader="none" w:pos="900" w:val="left"/>
        </w:tabs>
        <w:numPr>
          <w:ilvl w:val="1"/>
          <w:numId w:val="51"/>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86" w:lineRule="exact"/>
        <w:rPr>
          <w:rFonts w:ascii="Arial" w:cs="Arial" w:eastAsia="Arial" w:hAnsi="Arial"/>
          <w:sz w:val="18"/>
          <w:szCs w:val="18"/>
          <w:color w:val="auto"/>
        </w:rPr>
      </w:pPr>
    </w:p>
    <w:p>
      <w:pPr>
        <w:ind w:left="900" w:right="620" w:hanging="446"/>
        <w:spacing w:after="0" w:line="264" w:lineRule="auto"/>
        <w:tabs>
          <w:tab w:leader="none" w:pos="900" w:val="left"/>
        </w:tabs>
        <w:numPr>
          <w:ilvl w:val="1"/>
          <w:numId w:val="51"/>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86" w:lineRule="exact"/>
        <w:rPr>
          <w:rFonts w:ascii="Arial" w:cs="Arial" w:eastAsia="Arial" w:hAnsi="Arial"/>
          <w:sz w:val="18"/>
          <w:szCs w:val="18"/>
          <w:color w:val="auto"/>
        </w:rPr>
      </w:pPr>
    </w:p>
    <w:p>
      <w:pPr>
        <w:jc w:val="both"/>
        <w:ind w:left="900" w:right="800" w:hanging="446"/>
        <w:spacing w:after="0" w:line="342" w:lineRule="auto"/>
        <w:tabs>
          <w:tab w:leader="none" w:pos="900" w:val="left"/>
        </w:tabs>
        <w:numPr>
          <w:ilvl w:val="1"/>
          <w:numId w:val="51"/>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29" w:lineRule="exact"/>
        <w:rPr>
          <w:rFonts w:ascii="Arial" w:cs="Arial" w:eastAsia="Arial" w:hAnsi="Arial"/>
          <w:sz w:val="16"/>
          <w:szCs w:val="16"/>
          <w:color w:val="auto"/>
        </w:rPr>
      </w:pPr>
    </w:p>
    <w:p>
      <w:pPr>
        <w:ind w:left="900" w:right="20" w:hanging="446"/>
        <w:spacing w:after="0" w:line="264" w:lineRule="auto"/>
        <w:tabs>
          <w:tab w:leader="none" w:pos="900" w:val="left"/>
        </w:tabs>
        <w:numPr>
          <w:ilvl w:val="1"/>
          <w:numId w:val="51"/>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86" w:lineRule="exact"/>
        <w:rPr>
          <w:rFonts w:ascii="Arial" w:cs="Arial" w:eastAsia="Arial" w:hAnsi="Arial"/>
          <w:sz w:val="18"/>
          <w:szCs w:val="18"/>
          <w:color w:val="auto"/>
        </w:rPr>
      </w:pPr>
    </w:p>
    <w:p>
      <w:pPr>
        <w:ind w:left="460" w:right="380" w:hanging="452"/>
        <w:spacing w:after="0" w:line="308" w:lineRule="auto"/>
        <w:tabs>
          <w:tab w:leader="none" w:pos="460" w:val="left"/>
        </w:tabs>
        <w:numPr>
          <w:ilvl w:val="0"/>
          <w:numId w:val="51"/>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51" w:lineRule="exact"/>
        <w:rPr>
          <w:rFonts w:ascii="Arial" w:cs="Arial" w:eastAsia="Arial" w:hAnsi="Arial"/>
          <w:sz w:val="17"/>
          <w:szCs w:val="17"/>
          <w:color w:val="auto"/>
        </w:rPr>
      </w:pPr>
    </w:p>
    <w:p>
      <w:pPr>
        <w:ind w:left="900" w:right="200" w:hanging="446"/>
        <w:spacing w:after="0" w:line="277" w:lineRule="auto"/>
        <w:tabs>
          <w:tab w:leader="none" w:pos="900" w:val="left"/>
        </w:tabs>
        <w:numPr>
          <w:ilvl w:val="1"/>
          <w:numId w:val="51"/>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75" w:lineRule="exact"/>
        <w:rPr>
          <w:rFonts w:ascii="Arial" w:cs="Arial" w:eastAsia="Arial" w:hAnsi="Arial"/>
          <w:sz w:val="18"/>
          <w:szCs w:val="18"/>
          <w:color w:val="auto"/>
        </w:rPr>
      </w:pPr>
    </w:p>
    <w:p>
      <w:pPr>
        <w:ind w:left="900" w:right="160" w:hanging="446"/>
        <w:spacing w:after="0" w:line="277" w:lineRule="auto"/>
        <w:tabs>
          <w:tab w:leader="none" w:pos="900" w:val="left"/>
        </w:tabs>
        <w:numPr>
          <w:ilvl w:val="1"/>
          <w:numId w:val="51"/>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97"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June 5, 2014</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Sehat Sutardja</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-130810</wp:posOffset>
            </wp:positionV>
            <wp:extent cx="3327400" cy="889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Chief Executive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420"/>
          </w:cols>
          <w:pgMar w:left="240" w:top="121" w:right="239" w:bottom="1440" w:gutter="0" w:footer="0" w:header="0"/>
        </w:sectPr>
      </w:pPr>
    </w:p>
    <w:bookmarkStart w:id="80" w:name="page81"/>
    <w:bookmarkEnd w:id="80"/>
    <w:p>
      <w:pPr>
        <w:jc w:val="right"/>
        <w:spacing w:after="0"/>
        <w:rPr>
          <w:sz w:val="20"/>
          <w:szCs w:val="20"/>
          <w:color w:val="auto"/>
        </w:rPr>
      </w:pPr>
      <w:r>
        <w:rPr>
          <w:rFonts w:ascii="Arial" w:cs="Arial" w:eastAsia="Arial" w:hAnsi="Arial"/>
          <w:sz w:val="18"/>
          <w:szCs w:val="18"/>
          <w:b w:val="1"/>
          <w:bCs w:val="1"/>
          <w:color w:val="auto"/>
        </w:rPr>
        <w:t>Exhibit 31.2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Michael Rashkin, certify that:</w:t>
      </w:r>
    </w:p>
    <w:p>
      <w:pPr>
        <w:spacing w:after="0" w:line="131" w:lineRule="exact"/>
        <w:rPr>
          <w:sz w:val="20"/>
          <w:szCs w:val="20"/>
          <w:color w:val="auto"/>
        </w:rPr>
      </w:pPr>
    </w:p>
    <w:p>
      <w:pPr>
        <w:ind w:left="460" w:hanging="452"/>
        <w:spacing w:after="0"/>
        <w:tabs>
          <w:tab w:leader="none" w:pos="460" w:val="left"/>
        </w:tabs>
        <w:numPr>
          <w:ilvl w:val="0"/>
          <w:numId w:val="52"/>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130" w:lineRule="exact"/>
        <w:rPr>
          <w:rFonts w:ascii="Arial" w:cs="Arial" w:eastAsia="Arial" w:hAnsi="Arial"/>
          <w:sz w:val="18"/>
          <w:szCs w:val="18"/>
          <w:color w:val="auto"/>
        </w:rPr>
      </w:pPr>
    </w:p>
    <w:p>
      <w:pPr>
        <w:jc w:val="both"/>
        <w:ind w:left="460" w:right="500" w:hanging="452"/>
        <w:spacing w:after="0" w:line="264" w:lineRule="auto"/>
        <w:tabs>
          <w:tab w:leader="none" w:pos="460" w:val="left"/>
        </w:tabs>
        <w:numPr>
          <w:ilvl w:val="0"/>
          <w:numId w:val="52"/>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86" w:lineRule="exact"/>
        <w:rPr>
          <w:rFonts w:ascii="Arial" w:cs="Arial" w:eastAsia="Arial" w:hAnsi="Arial"/>
          <w:sz w:val="18"/>
          <w:szCs w:val="18"/>
          <w:color w:val="auto"/>
        </w:rPr>
      </w:pPr>
    </w:p>
    <w:p>
      <w:pPr>
        <w:ind w:left="460" w:right="460" w:hanging="452"/>
        <w:spacing w:after="0" w:line="308" w:lineRule="auto"/>
        <w:tabs>
          <w:tab w:leader="none" w:pos="460" w:val="left"/>
        </w:tabs>
        <w:numPr>
          <w:ilvl w:val="0"/>
          <w:numId w:val="52"/>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1" w:lineRule="exact"/>
        <w:rPr>
          <w:rFonts w:ascii="Arial" w:cs="Arial" w:eastAsia="Arial" w:hAnsi="Arial"/>
          <w:sz w:val="17"/>
          <w:szCs w:val="17"/>
          <w:color w:val="auto"/>
        </w:rPr>
      </w:pPr>
    </w:p>
    <w:p>
      <w:pPr>
        <w:ind w:left="460" w:right="80" w:hanging="452"/>
        <w:spacing w:after="0" w:line="264" w:lineRule="auto"/>
        <w:tabs>
          <w:tab w:leader="none" w:pos="460" w:val="left"/>
        </w:tabs>
        <w:numPr>
          <w:ilvl w:val="0"/>
          <w:numId w:val="52"/>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86" w:lineRule="exact"/>
        <w:rPr>
          <w:rFonts w:ascii="Arial" w:cs="Arial" w:eastAsia="Arial" w:hAnsi="Arial"/>
          <w:sz w:val="18"/>
          <w:szCs w:val="18"/>
          <w:color w:val="auto"/>
        </w:rPr>
      </w:pPr>
    </w:p>
    <w:p>
      <w:pPr>
        <w:ind w:left="900" w:right="300" w:hanging="446"/>
        <w:spacing w:after="0" w:line="264" w:lineRule="auto"/>
        <w:tabs>
          <w:tab w:leader="none" w:pos="900" w:val="left"/>
        </w:tabs>
        <w:numPr>
          <w:ilvl w:val="1"/>
          <w:numId w:val="52"/>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86" w:lineRule="exact"/>
        <w:rPr>
          <w:rFonts w:ascii="Arial" w:cs="Arial" w:eastAsia="Arial" w:hAnsi="Arial"/>
          <w:sz w:val="18"/>
          <w:szCs w:val="18"/>
          <w:color w:val="auto"/>
        </w:rPr>
      </w:pPr>
    </w:p>
    <w:p>
      <w:pPr>
        <w:ind w:left="900" w:right="620" w:hanging="446"/>
        <w:spacing w:after="0" w:line="264" w:lineRule="auto"/>
        <w:tabs>
          <w:tab w:leader="none" w:pos="900" w:val="left"/>
        </w:tabs>
        <w:numPr>
          <w:ilvl w:val="1"/>
          <w:numId w:val="52"/>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86" w:lineRule="exact"/>
        <w:rPr>
          <w:rFonts w:ascii="Arial" w:cs="Arial" w:eastAsia="Arial" w:hAnsi="Arial"/>
          <w:sz w:val="18"/>
          <w:szCs w:val="18"/>
          <w:color w:val="auto"/>
        </w:rPr>
      </w:pPr>
    </w:p>
    <w:p>
      <w:pPr>
        <w:jc w:val="both"/>
        <w:ind w:left="900" w:right="800" w:hanging="446"/>
        <w:spacing w:after="0" w:line="342" w:lineRule="auto"/>
        <w:tabs>
          <w:tab w:leader="none" w:pos="900" w:val="left"/>
        </w:tabs>
        <w:numPr>
          <w:ilvl w:val="1"/>
          <w:numId w:val="52"/>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29" w:lineRule="exact"/>
        <w:rPr>
          <w:rFonts w:ascii="Arial" w:cs="Arial" w:eastAsia="Arial" w:hAnsi="Arial"/>
          <w:sz w:val="16"/>
          <w:szCs w:val="16"/>
          <w:color w:val="auto"/>
        </w:rPr>
      </w:pPr>
    </w:p>
    <w:p>
      <w:pPr>
        <w:ind w:left="900" w:right="20" w:hanging="446"/>
        <w:spacing w:after="0" w:line="264" w:lineRule="auto"/>
        <w:tabs>
          <w:tab w:leader="none" w:pos="900" w:val="left"/>
        </w:tabs>
        <w:numPr>
          <w:ilvl w:val="1"/>
          <w:numId w:val="52"/>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86" w:lineRule="exact"/>
        <w:rPr>
          <w:rFonts w:ascii="Arial" w:cs="Arial" w:eastAsia="Arial" w:hAnsi="Arial"/>
          <w:sz w:val="18"/>
          <w:szCs w:val="18"/>
          <w:color w:val="auto"/>
        </w:rPr>
      </w:pPr>
    </w:p>
    <w:p>
      <w:pPr>
        <w:ind w:left="460" w:right="380" w:hanging="452"/>
        <w:spacing w:after="0" w:line="308" w:lineRule="auto"/>
        <w:tabs>
          <w:tab w:leader="none" w:pos="460" w:val="left"/>
        </w:tabs>
        <w:numPr>
          <w:ilvl w:val="0"/>
          <w:numId w:val="52"/>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51" w:lineRule="exact"/>
        <w:rPr>
          <w:rFonts w:ascii="Arial" w:cs="Arial" w:eastAsia="Arial" w:hAnsi="Arial"/>
          <w:sz w:val="17"/>
          <w:szCs w:val="17"/>
          <w:color w:val="auto"/>
        </w:rPr>
      </w:pPr>
    </w:p>
    <w:p>
      <w:pPr>
        <w:ind w:left="900" w:right="200" w:hanging="446"/>
        <w:spacing w:after="0" w:line="277" w:lineRule="auto"/>
        <w:tabs>
          <w:tab w:leader="none" w:pos="900" w:val="left"/>
        </w:tabs>
        <w:numPr>
          <w:ilvl w:val="1"/>
          <w:numId w:val="52"/>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75" w:lineRule="exact"/>
        <w:rPr>
          <w:rFonts w:ascii="Arial" w:cs="Arial" w:eastAsia="Arial" w:hAnsi="Arial"/>
          <w:sz w:val="18"/>
          <w:szCs w:val="18"/>
          <w:color w:val="auto"/>
        </w:rPr>
      </w:pPr>
    </w:p>
    <w:p>
      <w:pPr>
        <w:ind w:left="900" w:right="160" w:hanging="446"/>
        <w:spacing w:after="0" w:line="277" w:lineRule="auto"/>
        <w:tabs>
          <w:tab w:leader="none" w:pos="900" w:val="left"/>
        </w:tabs>
        <w:numPr>
          <w:ilvl w:val="1"/>
          <w:numId w:val="52"/>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97"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June 5, 2014</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Michael Rashkin</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Michael Rashkin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-130810</wp:posOffset>
            </wp:positionV>
            <wp:extent cx="3327400" cy="889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Financial Officer)</w:t>
      </w:r>
    </w:p>
    <w:p>
      <w:pPr>
        <w:sectPr>
          <w:pgSz w:w="11900" w:h="16838" w:orient="portrait"/>
          <w:cols w:equalWidth="0" w:num="1">
            <w:col w:w="11420"/>
          </w:cols>
          <w:pgMar w:left="240" w:top="121" w:right="239" w:bottom="1440" w:gutter="0" w:footer="0" w:header="0"/>
        </w:sectPr>
      </w:pPr>
    </w:p>
    <w:bookmarkStart w:id="81" w:name="page82"/>
    <w:bookmarkEnd w:id="81"/>
    <w:p>
      <w:pPr>
        <w:jc w:val="right"/>
        <w:spacing w:after="0"/>
        <w:rPr>
          <w:sz w:val="20"/>
          <w:szCs w:val="20"/>
          <w:color w:val="auto"/>
        </w:rPr>
      </w:pPr>
      <w:r>
        <w:rPr>
          <w:rFonts w:ascii="Arial" w:cs="Arial" w:eastAsia="Arial" w:hAnsi="Arial"/>
          <w:sz w:val="18"/>
          <w:szCs w:val="18"/>
          <w:b w:val="1"/>
          <w:bCs w:val="1"/>
          <w:color w:val="auto"/>
        </w:rPr>
        <w:t>Exhibit 32.1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color w:val="auto"/>
        </w:rPr>
        <w:t>I, Dr. Sehat Sutardja, the Chief Executive Officer of Marvell Technology Group Ltd. (the “Company”),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900" w:right="980" w:hanging="446"/>
        <w:spacing w:after="0" w:line="277" w:lineRule="auto"/>
        <w:tabs>
          <w:tab w:leader="none" w:pos="900" w:val="left"/>
        </w:tabs>
        <w:numPr>
          <w:ilvl w:val="0"/>
          <w:numId w:val="53"/>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May 3, 2014 (the “Report”), fully complies with the requirements of Section 13(a) or 15(d) of the Securities Exchange Act of 1934, as amended; and</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53"/>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75"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June 5, 2014</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Sehat Sutardja</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-130810</wp:posOffset>
            </wp:positionV>
            <wp:extent cx="3327400" cy="889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Chief Executive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420"/>
          </w:cols>
          <w:pgMar w:left="240" w:top="121" w:right="239" w:bottom="1440" w:gutter="0" w:footer="0" w:header="0"/>
        </w:sectPr>
      </w:pPr>
    </w:p>
    <w:bookmarkStart w:id="82" w:name="page83"/>
    <w:bookmarkEnd w:id="82"/>
    <w:p>
      <w:pPr>
        <w:jc w:val="right"/>
        <w:spacing w:after="0"/>
        <w:rPr>
          <w:sz w:val="20"/>
          <w:szCs w:val="20"/>
          <w:color w:val="auto"/>
        </w:rPr>
      </w:pPr>
      <w:r>
        <w:rPr>
          <w:rFonts w:ascii="Arial" w:cs="Arial" w:eastAsia="Arial" w:hAnsi="Arial"/>
          <w:sz w:val="18"/>
          <w:szCs w:val="18"/>
          <w:b w:val="1"/>
          <w:bCs w:val="1"/>
          <w:color w:val="auto"/>
        </w:rPr>
        <w:t>Exhibit 32.2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color w:val="auto"/>
        </w:rPr>
        <w:t>I, Michael Rashkin, the Chief Financial Officer of Marvell Technology Group Ltd. (the “Company”),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900" w:right="980" w:hanging="446"/>
        <w:spacing w:after="0" w:line="277" w:lineRule="auto"/>
        <w:tabs>
          <w:tab w:leader="none" w:pos="900" w:val="left"/>
        </w:tabs>
        <w:numPr>
          <w:ilvl w:val="0"/>
          <w:numId w:val="54"/>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May 3, 2014 (the “Report”), fully complies with the requirements of Section 13(a) or 15(d) of the Securities Exchange Act of 1934, as amended; and</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54"/>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75"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June 5, 2014</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Michael Rashkin</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Michael Rashkin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-130810</wp:posOffset>
            </wp:positionV>
            <wp:extent cx="3327400" cy="889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Financial Officer)</w:t>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1F32454"/>
    <w:multiLevelType w:val="hybridMultilevel"/>
    <w:lvl w:ilvl="0">
      <w:lvlJc w:val="left"/>
      <w:lvlText w:val="☒"/>
      <w:numFmt w:val="bullet"/>
      <w:start w:val="1"/>
    </w:lvl>
  </w:abstractNum>
  <w:abstractNum w:abstractNumId="1">
    <w:nsid w:val="2CA88611"/>
    <w:multiLevelType w:val="hybridMultilevel"/>
    <w:lvl w:ilvl="0">
      <w:lvlJc w:val="left"/>
      <w:lvlText w:val="☐"/>
      <w:numFmt w:val="bullet"/>
      <w:start w:val="1"/>
    </w:lvl>
  </w:abstractNum>
  <w:abstractNum w:abstractNumId="2">
    <w:nsid w:val="836C40E"/>
    <w:multiLevelType w:val="hybridMultilevel"/>
    <w:lvl w:ilvl="0">
      <w:lvlJc w:val="left"/>
      <w:lvlText w:val="*"/>
      <w:numFmt w:val="bullet"/>
      <w:start w:val="1"/>
    </w:lvl>
  </w:abstractNum>
  <w:abstractNum w:abstractNumId="3">
    <w:nsid w:val="2901D82"/>
    <w:multiLevelType w:val="hybridMultilevel"/>
    <w:lvl w:ilvl="0">
      <w:lvlJc w:val="left"/>
      <w:lvlText w:val="•"/>
      <w:numFmt w:val="bullet"/>
      <w:start w:val="1"/>
    </w:lvl>
  </w:abstractNum>
  <w:abstractNum w:abstractNumId="4">
    <w:nsid w:val="3A95F874"/>
    <w:multiLevelType w:val="hybridMultilevel"/>
    <w:lvl w:ilvl="0">
      <w:lvlJc w:val="left"/>
      <w:lvlText w:val="•"/>
      <w:numFmt w:val="bullet"/>
      <w:start w:val="1"/>
    </w:lvl>
  </w:abstractNum>
  <w:abstractNum w:abstractNumId="5">
    <w:nsid w:val="8138641"/>
    <w:multiLevelType w:val="hybridMultilevel"/>
    <w:lvl w:ilvl="0">
      <w:lvlJc w:val="left"/>
      <w:lvlText w:val="•"/>
      <w:numFmt w:val="bullet"/>
      <w:start w:val="1"/>
    </w:lvl>
  </w:abstractNum>
  <w:abstractNum w:abstractNumId="6">
    <w:nsid w:val="1E7FF521"/>
    <w:multiLevelType w:val="hybridMultilevel"/>
    <w:lvl w:ilvl="0">
      <w:lvlJc w:val="left"/>
      <w:lvlText w:val="•"/>
      <w:numFmt w:val="bullet"/>
      <w:start w:val="1"/>
    </w:lvl>
  </w:abstractNum>
  <w:abstractNum w:abstractNumId="7">
    <w:nsid w:val="7C3DBD3D"/>
    <w:multiLevelType w:val="hybridMultilevel"/>
    <w:lvl w:ilvl="0">
      <w:lvlJc w:val="left"/>
      <w:lvlText w:val="•"/>
      <w:numFmt w:val="bullet"/>
      <w:start w:val="1"/>
    </w:lvl>
  </w:abstractNum>
  <w:abstractNum w:abstractNumId="8">
    <w:nsid w:val="737B8DDC"/>
    <w:multiLevelType w:val="hybridMultilevel"/>
    <w:lvl w:ilvl="0">
      <w:lvlJc w:val="left"/>
      <w:lvlText w:val="•"/>
      <w:numFmt w:val="bullet"/>
      <w:start w:val="1"/>
    </w:lvl>
  </w:abstractNum>
  <w:abstractNum w:abstractNumId="9">
    <w:nsid w:val="6CEAF087"/>
    <w:multiLevelType w:val="hybridMultilevel"/>
    <w:lvl w:ilvl="0">
      <w:lvlJc w:val="left"/>
      <w:lvlText w:val="•"/>
      <w:numFmt w:val="bullet"/>
      <w:start w:val="1"/>
    </w:lvl>
  </w:abstractNum>
  <w:abstractNum w:abstractNumId="10">
    <w:nsid w:val="22221A70"/>
    <w:multiLevelType w:val="hybridMultilevel"/>
    <w:lvl w:ilvl="0">
      <w:lvlJc w:val="left"/>
      <w:lvlText w:val="•"/>
      <w:numFmt w:val="bullet"/>
      <w:start w:val="1"/>
    </w:lvl>
  </w:abstractNum>
  <w:abstractNum w:abstractNumId="11">
    <w:nsid w:val="4516DDE9"/>
    <w:multiLevelType w:val="hybridMultilevel"/>
    <w:lvl w:ilvl="0">
      <w:lvlJc w:val="left"/>
      <w:lvlText w:val="*"/>
      <w:numFmt w:val="bullet"/>
      <w:start w:val="1"/>
    </w:lvl>
  </w:abstractNum>
  <w:abstractNum w:abstractNumId="12">
    <w:nsid w:val="3006C83E"/>
    <w:multiLevelType w:val="hybridMultilevel"/>
    <w:lvl w:ilvl="0">
      <w:lvlJc w:val="left"/>
      <w:lvlText w:val="%1."/>
      <w:numFmt w:val="decimal"/>
      <w:start w:val="1"/>
    </w:lvl>
  </w:abstractNum>
  <w:abstractNum w:abstractNumId="13">
    <w:nsid w:val="614FD4A1"/>
    <w:multiLevelType w:val="hybridMultilevel"/>
    <w:lvl w:ilvl="0">
      <w:lvlJc w:val="left"/>
      <w:lvlText w:val="(%1)"/>
      <w:numFmt w:val="lowerLetter"/>
      <w:start w:val="1"/>
    </w:lvl>
    <w:lvl w:ilvl="1">
      <w:lvlJc w:val="left"/>
      <w:lvlText w:val="(%2)"/>
      <w:numFmt w:val="lowerRoman"/>
      <w:start w:val="1"/>
    </w:lvl>
  </w:abstractNum>
  <w:abstractNum w:abstractNumId="14">
    <w:nsid w:val="419AC241"/>
    <w:multiLevelType w:val="hybridMultilevel"/>
    <w:lvl w:ilvl="0">
      <w:lvlJc w:val="left"/>
      <w:lvlText w:val="(%1)"/>
      <w:numFmt w:val="lowerLetter"/>
      <w:start w:val="3"/>
    </w:lvl>
    <w:lvl w:ilvl="1">
      <w:lvlJc w:val="left"/>
      <w:lvlText w:val="(%2)"/>
      <w:numFmt w:val="lowerRoman"/>
      <w:start w:val="1"/>
    </w:lvl>
  </w:abstractNum>
  <w:abstractNum w:abstractNumId="15">
    <w:nsid w:val="5577F8E1"/>
    <w:multiLevelType w:val="hybridMultilevel"/>
    <w:lvl w:ilvl="0">
      <w:lvlJc w:val="left"/>
      <w:lvlText w:val="%1."/>
      <w:numFmt w:val="decimal"/>
      <w:start w:val="5"/>
    </w:lvl>
  </w:abstractNum>
  <w:abstractNum w:abstractNumId="16">
    <w:nsid w:val="440BADFC"/>
    <w:multiLevelType w:val="hybridMultilevel"/>
    <w:lvl w:ilvl="0">
      <w:lvlJc w:val="left"/>
      <w:lvlText w:val="(%1)"/>
      <w:numFmt w:val="lowerLetter"/>
      <w:start w:val="1"/>
    </w:lvl>
  </w:abstractNum>
  <w:abstractNum w:abstractNumId="17">
    <w:nsid w:val="5072367"/>
    <w:multiLevelType w:val="hybridMultilevel"/>
    <w:lvl w:ilvl="0">
      <w:lvlJc w:val="left"/>
      <w:lvlText w:val="(%1)"/>
      <w:numFmt w:val="lowerLetter"/>
      <w:start w:val="2"/>
    </w:lvl>
    <w:lvl w:ilvl="1">
      <w:lvlJc w:val="left"/>
      <w:lvlText w:val="(%2)"/>
      <w:numFmt w:val="lowerRoman"/>
      <w:start w:val="1"/>
    </w:lvl>
  </w:abstractNum>
  <w:abstractNum w:abstractNumId="18">
    <w:nsid w:val="3804823E"/>
    <w:multiLevelType w:val="hybridMultilevel"/>
    <w:lvl w:ilvl="0">
      <w:lvlJc w:val="left"/>
      <w:lvlText w:val="%1."/>
      <w:numFmt w:val="decimal"/>
      <w:start w:val="6"/>
    </w:lvl>
  </w:abstractNum>
  <w:abstractNum w:abstractNumId="19">
    <w:nsid w:val="77465F01"/>
    <w:multiLevelType w:val="hybridMultilevel"/>
    <w:lvl w:ilvl="0">
      <w:lvlJc w:val="left"/>
      <w:lvlText w:val="(%1)"/>
      <w:numFmt w:val="lowerLetter"/>
      <w:start w:val="1"/>
    </w:lvl>
    <w:lvl w:ilvl="1">
      <w:lvlJc w:val="left"/>
      <w:lvlText w:val="(%2)"/>
      <w:numFmt w:val="lowerRoman"/>
      <w:start w:val="1"/>
    </w:lvl>
    <w:lvl w:ilvl="2">
      <w:lvlJc w:val="left"/>
      <w:lvlText w:val="(%3)"/>
      <w:numFmt w:val="upperLetter"/>
      <w:start w:val="1"/>
    </w:lvl>
  </w:abstractNum>
  <w:abstractNum w:abstractNumId="20">
    <w:nsid w:val="7724C67E"/>
    <w:multiLevelType w:val="hybridMultilevel"/>
    <w:lvl w:ilvl="0">
      <w:lvlJc w:val="left"/>
      <w:lvlText w:val="%1."/>
      <w:numFmt w:val="decimal"/>
      <w:start w:val="9"/>
    </w:lvl>
  </w:abstractNum>
  <w:abstractNum w:abstractNumId="21">
    <w:nsid w:val="5C482A97"/>
    <w:multiLevelType w:val="hybridMultilevel"/>
    <w:lvl w:ilvl="0">
      <w:lvlJc w:val="left"/>
      <w:lvlText w:val="%1"/>
      <w:numFmt w:val="lowerLetter"/>
      <w:start w:val="1"/>
    </w:lvl>
    <w:lvl w:ilvl="1">
      <w:lvlJc w:val="left"/>
      <w:lvlText w:val="(%2)"/>
      <w:numFmt w:val="lowerLetter"/>
      <w:start w:val="1"/>
    </w:lvl>
  </w:abstractNum>
  <w:abstractNum w:abstractNumId="22">
    <w:nsid w:val="2463B9EA"/>
    <w:multiLevelType w:val="hybridMultilevel"/>
    <w:lvl w:ilvl="0">
      <w:lvlJc w:val="left"/>
      <w:lvlText w:val="(%1)"/>
      <w:numFmt w:val="lowerLetter"/>
      <w:start w:val="35"/>
    </w:lvl>
    <w:lvl w:ilvl="1">
      <w:lvlJc w:val="left"/>
      <w:lvlText w:val="(%2)"/>
      <w:numFmt w:val="lowerLetter"/>
      <w:start w:val="5"/>
    </w:lvl>
  </w:abstractNum>
  <w:abstractNum w:abstractNumId="23">
    <w:nsid w:val="5E884ADC"/>
    <w:multiLevelType w:val="hybridMultilevel"/>
    <w:lvl w:ilvl="0">
      <w:lvlJc w:val="left"/>
      <w:lvlText w:val="(%1)"/>
      <w:numFmt w:val="lowerLetter"/>
      <w:start w:val="7"/>
    </w:lvl>
  </w:abstractNum>
  <w:abstractNum w:abstractNumId="24">
    <w:nsid w:val="51EAD36B"/>
    <w:multiLevelType w:val="hybridMultilevel"/>
    <w:lvl w:ilvl="0">
      <w:lvlJc w:val="left"/>
      <w:lvlText w:val="%1."/>
      <w:numFmt w:val="decimal"/>
      <w:start w:val="10"/>
    </w:lvl>
  </w:abstractNum>
  <w:abstractNum w:abstractNumId="25">
    <w:nsid w:val="2D517796"/>
    <w:multiLevelType w:val="hybridMultilevel"/>
    <w:lvl w:ilvl="0">
      <w:lvlJc w:val="left"/>
      <w:lvlText w:val="(%1)"/>
      <w:numFmt w:val="lowerLetter"/>
      <w:start w:val="1"/>
    </w:lvl>
  </w:abstractNum>
  <w:abstractNum w:abstractNumId="26">
    <w:nsid w:val="580BD78F"/>
    <w:multiLevelType w:val="hybridMultilevel"/>
    <w:lvl w:ilvl="0">
      <w:lvlJc w:val="left"/>
      <w:lvlText w:val="(%1)"/>
      <w:numFmt w:val="lowerLetter"/>
      <w:start w:val="3"/>
    </w:lvl>
  </w:abstractNum>
  <w:abstractNum w:abstractNumId="27">
    <w:nsid w:val="153EA438"/>
    <w:multiLevelType w:val="hybridMultilevel"/>
    <w:lvl w:ilvl="0">
      <w:lvlJc w:val="left"/>
      <w:lvlText w:val="%1."/>
      <w:numFmt w:val="decimal"/>
      <w:start w:val="14"/>
    </w:lvl>
  </w:abstractNum>
  <w:abstractNum w:abstractNumId="28">
    <w:nsid w:val="3855585C"/>
    <w:multiLevelType w:val="hybridMultilevel"/>
    <w:lvl w:ilvl="0">
      <w:lvlJc w:val="left"/>
      <w:lvlText w:val="(%1)"/>
      <w:numFmt w:val="lowerLetter"/>
      <w:start w:val="1"/>
    </w:lvl>
    <w:lvl w:ilvl="1">
      <w:lvlJc w:val="left"/>
      <w:lvlText w:val="(%2)"/>
      <w:numFmt w:val="lowerRoman"/>
      <w:start w:val="1"/>
    </w:lvl>
  </w:abstractNum>
  <w:abstractNum w:abstractNumId="29">
    <w:nsid w:val="70A64E2A"/>
    <w:multiLevelType w:val="hybridMultilevel"/>
    <w:lvl w:ilvl="0">
      <w:lvlJc w:val="left"/>
      <w:lvlText w:val="%1."/>
      <w:numFmt w:val="decimal"/>
      <w:start w:val="15"/>
    </w:lvl>
  </w:abstractNum>
  <w:abstractNum w:abstractNumId="30">
    <w:nsid w:val="6A2342EC"/>
    <w:multiLevelType w:val="hybridMultilevel"/>
    <w:lvl w:ilvl="0">
      <w:lvlJc w:val="left"/>
      <w:lvlText w:val="%1."/>
      <w:numFmt w:val="decimal"/>
      <w:start w:val="16"/>
    </w:lvl>
  </w:abstractNum>
  <w:abstractNum w:abstractNumId="31">
    <w:nsid w:val="2A487CB0"/>
    <w:multiLevelType w:val="hybridMultilevel"/>
    <w:lvl w:ilvl="0">
      <w:lvlJc w:val="left"/>
      <w:lvlText w:val="(%1)"/>
      <w:numFmt w:val="lowerLetter"/>
      <w:start w:val="1"/>
    </w:lvl>
  </w:abstractNum>
  <w:abstractNum w:abstractNumId="32">
    <w:nsid w:val="1D4ED43B"/>
    <w:multiLevelType w:val="hybridMultilevel"/>
    <w:lvl w:ilvl="0">
      <w:lvlJc w:val="left"/>
      <w:lvlText w:val="%1."/>
      <w:numFmt w:val="decimal"/>
      <w:start w:val="17"/>
    </w:lvl>
  </w:abstractNum>
  <w:abstractNum w:abstractNumId="33">
    <w:nsid w:val="725A06FB"/>
    <w:multiLevelType w:val="hybridMultilevel"/>
    <w:lvl w:ilvl="0">
      <w:lvlJc w:val="left"/>
      <w:lvlText w:val="(%1)"/>
      <w:numFmt w:val="lowerLetter"/>
      <w:start w:val="1"/>
    </w:lvl>
  </w:abstractNum>
  <w:abstractNum w:abstractNumId="34">
    <w:nsid w:val="2CD89A32"/>
    <w:multiLevelType w:val="hybridMultilevel"/>
    <w:lvl w:ilvl="0">
      <w:lvlJc w:val="left"/>
      <w:lvlText w:val="(%1)"/>
      <w:numFmt w:val="lowerLetter"/>
      <w:start w:val="3"/>
    </w:lvl>
    <w:lvl w:ilvl="1">
      <w:lvlJc w:val="left"/>
      <w:lvlText w:val="(%2)"/>
      <w:numFmt w:val="lowerRoman"/>
      <w:start w:val="1"/>
    </w:lvl>
  </w:abstractNum>
  <w:abstractNum w:abstractNumId="35">
    <w:nsid w:val="57E4CCAF"/>
    <w:multiLevelType w:val="hybridMultilevel"/>
    <w:lvl w:ilvl="0">
      <w:lvlJc w:val="left"/>
      <w:lvlText w:val="(%1)"/>
      <w:numFmt w:val="lowerLetter"/>
      <w:start w:val="11"/>
    </w:lvl>
    <w:lvl w:ilvl="1">
      <w:lvlJc w:val="left"/>
      <w:lvlText w:val="(%2)"/>
      <w:numFmt w:val="lowerRoman"/>
      <w:start w:val="1"/>
    </w:lvl>
  </w:abstractNum>
  <w:abstractNum w:abstractNumId="36">
    <w:nsid w:val="7A6D8D3C"/>
    <w:multiLevelType w:val="hybridMultilevel"/>
    <w:lvl w:ilvl="0">
      <w:lvlJc w:val="left"/>
      <w:lvlText w:val="(%1)"/>
      <w:numFmt w:val="lowerLetter"/>
      <w:start w:val="19"/>
    </w:lvl>
  </w:abstractNum>
  <w:abstractNum w:abstractNumId="37">
    <w:nsid w:val="4B588F54"/>
    <w:multiLevelType w:val="hybridMultilevel"/>
    <w:lvl w:ilvl="0">
      <w:lvlJc w:val="left"/>
      <w:lvlText w:val="%1."/>
      <w:numFmt w:val="decimal"/>
      <w:start w:val="1"/>
    </w:lvl>
    <w:lvl w:ilvl="1">
      <w:lvlJc w:val="left"/>
      <w:lvlText w:val="(%2)"/>
      <w:numFmt w:val="lowerLetter"/>
      <w:start w:val="1"/>
    </w:lvl>
  </w:abstractNum>
  <w:abstractNum w:abstractNumId="38">
    <w:nsid w:val="542289EC"/>
    <w:multiLevelType w:val="hybridMultilevel"/>
    <w:lvl w:ilvl="0">
      <w:lvlJc w:val="left"/>
      <w:lvlText w:val="%1"/>
      <w:numFmt w:val="decimal"/>
      <w:start w:val="1"/>
    </w:lvl>
    <w:lvl w:ilvl="1">
      <w:lvlJc w:val="left"/>
      <w:lvlText w:val="(%2)"/>
      <w:numFmt w:val="lowerLetter"/>
      <w:start w:val="3"/>
    </w:lvl>
  </w:abstractNum>
  <w:abstractNum w:abstractNumId="39">
    <w:nsid w:val="6DE91B18"/>
    <w:multiLevelType w:val="hybridMultilevel"/>
    <w:lvl w:ilvl="0">
      <w:lvlJc w:val="left"/>
      <w:lvlText w:val="%1."/>
      <w:numFmt w:val="decimal"/>
      <w:start w:val="3"/>
    </w:lvl>
    <w:lvl w:ilvl="1">
      <w:lvlJc w:val="left"/>
      <w:lvlText w:val="(%2)"/>
      <w:numFmt w:val="lowerLetter"/>
      <w:start w:val="1"/>
    </w:lvl>
  </w:abstractNum>
  <w:abstractNum w:abstractNumId="40">
    <w:nsid w:val="38437FDB"/>
    <w:multiLevelType w:val="hybridMultilevel"/>
    <w:lvl w:ilvl="0">
      <w:lvlJc w:val="left"/>
      <w:lvlText w:val="%1"/>
      <w:numFmt w:val="decimal"/>
      <w:start w:val="1"/>
    </w:lvl>
    <w:lvl w:ilvl="1">
      <w:lvlJc w:val="left"/>
      <w:lvlText w:val="(%2)"/>
      <w:numFmt w:val="lowerLetter"/>
      <w:start w:val="3"/>
    </w:lvl>
  </w:abstractNum>
  <w:abstractNum w:abstractNumId="41">
    <w:nsid w:val="7644A45C"/>
    <w:multiLevelType w:val="hybridMultilevel"/>
    <w:lvl w:ilvl="0">
      <w:lvlJc w:val="left"/>
      <w:lvlText w:val="%1."/>
      <w:numFmt w:val="decimal"/>
      <w:start w:val="6"/>
    </w:lvl>
    <w:lvl w:ilvl="1">
      <w:lvlJc w:val="left"/>
      <w:lvlText w:val="(%2)"/>
      <w:numFmt w:val="lowerLetter"/>
      <w:start w:val="1"/>
    </w:lvl>
  </w:abstractNum>
  <w:abstractNum w:abstractNumId="42">
    <w:nsid w:val="32FFF902"/>
    <w:multiLevelType w:val="hybridMultilevel"/>
    <w:lvl w:ilvl="0">
      <w:lvlJc w:val="left"/>
      <w:lvlText w:val="%1."/>
      <w:numFmt w:val="decimal"/>
      <w:start w:val="7"/>
    </w:lvl>
    <w:lvl w:ilvl="1">
      <w:lvlJc w:val="left"/>
      <w:lvlText w:val="(%2)"/>
      <w:numFmt w:val="lowerLetter"/>
      <w:start w:val="1"/>
    </w:lvl>
  </w:abstractNum>
  <w:abstractNum w:abstractNumId="43">
    <w:nsid w:val="684A481A"/>
    <w:multiLevelType w:val="hybridMultilevel"/>
    <w:lvl w:ilvl="0">
      <w:lvlJc w:val="left"/>
      <w:lvlText w:val="%1."/>
      <w:numFmt w:val="decimal"/>
      <w:start w:val="1"/>
    </w:lvl>
    <w:lvl w:ilvl="1">
      <w:lvlJc w:val="left"/>
      <w:lvlText w:val="(%2)"/>
      <w:numFmt w:val="lowerLetter"/>
      <w:start w:val="1"/>
    </w:lvl>
  </w:abstractNum>
  <w:abstractNum w:abstractNumId="44">
    <w:nsid w:val="579478FE"/>
    <w:multiLevelType w:val="hybridMultilevel"/>
    <w:lvl w:ilvl="0">
      <w:lvlJc w:val="left"/>
      <w:lvlText w:val="%1."/>
      <w:numFmt w:val="decimal"/>
      <w:start w:val="3"/>
    </w:lvl>
  </w:abstractNum>
  <w:abstractNum w:abstractNumId="45">
    <w:nsid w:val="749ABB43"/>
    <w:multiLevelType w:val="hybridMultilevel"/>
    <w:lvl w:ilvl="0">
      <w:lvlJc w:val="left"/>
      <w:lvlText w:val="%1."/>
      <w:numFmt w:val="decimal"/>
      <w:start w:val="4"/>
    </w:lvl>
  </w:abstractNum>
  <w:abstractNum w:abstractNumId="46">
    <w:nsid w:val="3DC240FB"/>
    <w:multiLevelType w:val="hybridMultilevel"/>
    <w:lvl w:ilvl="0">
      <w:lvlJc w:val="left"/>
      <w:lvlText w:val="%1."/>
      <w:numFmt w:val="decimal"/>
      <w:start w:val="5"/>
    </w:lvl>
    <w:lvl w:ilvl="1">
      <w:lvlJc w:val="left"/>
      <w:lvlText w:val="(%2)"/>
      <w:numFmt w:val="lowerLetter"/>
      <w:start w:val="1"/>
    </w:lvl>
  </w:abstractNum>
  <w:abstractNum w:abstractNumId="47">
    <w:nsid w:val="1BA026FA"/>
    <w:multiLevelType w:val="hybridMultilevel"/>
    <w:lvl w:ilvl="0">
      <w:lvlJc w:val="left"/>
      <w:lvlText w:val="%1"/>
      <w:numFmt w:val="decimal"/>
      <w:start w:val="1"/>
    </w:lvl>
    <w:lvl w:ilvl="1">
      <w:lvlJc w:val="left"/>
      <w:lvlText w:val="(%2)"/>
      <w:numFmt w:val="lowerLetter"/>
      <w:start w:val="3"/>
    </w:lvl>
  </w:abstractNum>
  <w:abstractNum w:abstractNumId="48">
    <w:nsid w:val="79A1DEAA"/>
    <w:multiLevelType w:val="hybridMultilevel"/>
    <w:lvl w:ilvl="0">
      <w:lvlJc w:val="left"/>
      <w:lvlText w:val="%1."/>
      <w:numFmt w:val="decimal"/>
      <w:start w:val="7"/>
    </w:lvl>
    <w:lvl w:ilvl="1">
      <w:lvlJc w:val="left"/>
      <w:lvlText w:val="%2"/>
      <w:numFmt w:val="lowerLetter"/>
      <w:start w:val="1"/>
    </w:lvl>
  </w:abstractNum>
  <w:abstractNum w:abstractNumId="49">
    <w:nsid w:val="75C6C33A"/>
    <w:multiLevelType w:val="hybridMultilevel"/>
    <w:lvl w:ilvl="0">
      <w:lvlJc w:val="left"/>
      <w:lvlText w:val="%1."/>
      <w:numFmt w:val="decimal"/>
      <w:start w:val="9"/>
    </w:lvl>
  </w:abstractNum>
  <w:abstractNum w:abstractNumId="50">
    <w:nsid w:val="12E685FB"/>
    <w:multiLevelType w:val="hybridMultilevel"/>
    <w:lvl w:ilvl="0">
      <w:lvlJc w:val="left"/>
      <w:lvlText w:val="%1."/>
      <w:numFmt w:val="decimal"/>
      <w:start w:val="1"/>
    </w:lvl>
    <w:lvl w:ilvl="1">
      <w:lvlJc w:val="left"/>
      <w:lvlText w:val="%2)"/>
      <w:numFmt w:val="lowerLetter"/>
      <w:start w:val="1"/>
    </w:lvl>
  </w:abstractNum>
  <w:abstractNum w:abstractNumId="51">
    <w:nsid w:val="70C6A529"/>
    <w:multiLevelType w:val="hybridMultilevel"/>
    <w:lvl w:ilvl="0">
      <w:lvlJc w:val="left"/>
      <w:lvlText w:val="%1."/>
      <w:numFmt w:val="decimal"/>
      <w:start w:val="1"/>
    </w:lvl>
    <w:lvl w:ilvl="1">
      <w:lvlJc w:val="left"/>
      <w:lvlText w:val="%2)"/>
      <w:numFmt w:val="lowerLetter"/>
      <w:start w:val="1"/>
    </w:lvl>
  </w:abstractNum>
  <w:abstractNum w:abstractNumId="52">
    <w:nsid w:val="520EEDD1"/>
    <w:multiLevelType w:val="hybridMultilevel"/>
    <w:lvl w:ilvl="0">
      <w:lvlJc w:val="left"/>
      <w:lvlText w:val="(%1)"/>
      <w:numFmt w:val="lowerRoman"/>
      <w:start w:val="1"/>
    </w:lvl>
  </w:abstractNum>
  <w:abstractNum w:abstractNumId="53">
    <w:nsid w:val="374A3FE6"/>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2019-12-06T19:20:44Z</dcterms:created>
  <dcterms:modified xsi:type="dcterms:W3CDTF">2019-12-06T19:20:44Z</dcterms:modified>
</cp:coreProperties>
</file>