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79"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14A</w:t>
      </w:r>
    </w:p>
    <w:p>
      <w:pPr>
        <w:spacing w:after="0" w:line="43"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(Rule 14a-101)</w:t>
      </w:r>
    </w:p>
    <w:p>
      <w:pPr>
        <w:spacing w:after="0" w:line="13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SCHEDULE 14A INFORMATION</w:t>
      </w:r>
    </w:p>
    <w:p>
      <w:pPr>
        <w:spacing w:after="0" w:line="128"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92" w:lineRule="exact"/>
        <w:rPr>
          <w:sz w:val="24"/>
          <w:szCs w:val="24"/>
          <w:color w:val="auto"/>
        </w:rPr>
      </w:pPr>
    </w:p>
    <w:p>
      <w:pPr>
        <w:spacing w:after="0" w:line="207" w:lineRule="exact"/>
        <w:tabs>
          <w:tab w:leader="none" w:pos="316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90"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3"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3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2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line="268"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78"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600" w:hanging="472"/>
        <w:spacing w:after="0" w:line="332" w:lineRule="auto"/>
        <w:tabs>
          <w:tab w:leader="none" w:pos="48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7" w:lineRule="exact"/>
        <w:rPr>
          <w:rFonts w:ascii="MS PGothic" w:cs="MS PGothic" w:eastAsia="MS PGothic" w:hAnsi="MS PGothic"/>
          <w:sz w:val="16"/>
          <w:szCs w:val="16"/>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5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-3409950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-2989580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-2432685</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-2012315</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-1591945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-142875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276860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340"/>
          </w:cols>
          <w:pgMar w:left="240" w:top="230" w:right="319" w:bottom="215"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6"/>
          <w:szCs w:val="16"/>
          <w:color w:val="auto"/>
        </w:rPr>
      </w:pPr>
      <w:r>
        <w:rPr>
          <w:rFonts w:ascii="Arial" w:cs="Arial" w:eastAsia="Arial" w:hAnsi="Arial"/>
          <w:sz w:val="16"/>
          <w:szCs w:val="16"/>
          <w:color w:val="auto"/>
        </w:rPr>
        <w:t>Filing Party:</w:t>
      </w:r>
    </w:p>
    <w:p>
      <w:pPr>
        <w:spacing w:after="0" w:line="200" w:lineRule="exact"/>
        <w:rPr>
          <w:rFonts w:ascii="Arial" w:cs="Arial" w:eastAsia="Arial" w:hAnsi="Arial"/>
          <w:sz w:val="16"/>
          <w:szCs w:val="16"/>
          <w:color w:val="auto"/>
        </w:rPr>
      </w:pPr>
    </w:p>
    <w:p>
      <w:pPr>
        <w:spacing w:after="0" w:line="277" w:lineRule="exact"/>
        <w:rPr>
          <w:rFonts w:ascii="Arial" w:cs="Arial" w:eastAsia="Arial" w:hAnsi="Arial"/>
          <w:sz w:val="16"/>
          <w:szCs w:val="16"/>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-142875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276860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422910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448310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131"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May 19, 2014</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You are cordially invited to attend the 2014 annual general meeting of shareholders of Marvell Technology Group Ltd., a Bermuda company, scheduled to be held at the Hyatt Regency Hotel, 5101 Great America Parkway, Santa Clara, California 95054, on Tuesday, July 1, 2014 at 4:00 p.m. Pacific time.</w:t>
      </w:r>
    </w:p>
    <w:p>
      <w:pPr>
        <w:spacing w:after="0" w:line="85"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As described in the accompanying notice of annual general meeting of shareholders and proxy statement, shareholders will be asked to (1) vote on the election of five directors, each for a term of one year or until their respective successors are duly elected; (2) conduct an advisory (non-binding) vote to approve named executive officer compensation; and (3)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31, 2015. Our chairman of the board and chief executive officer, other executive officers and representatives of PricewaterhouseCoopers are expected to be present at the annual general meeting to respond to any questions that our shareholders may have regarding the business to be transacted.</w:t>
      </w:r>
    </w:p>
    <w:p>
      <w:pPr>
        <w:spacing w:after="0" w:line="118"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In accordance with rules adopted by the U.S. Securities and Exchange Commission, we are pleased to furnish our proxy materials to shareholders over the Internet rather than in paper form. We believe these rules allow us to provide our shareholders with expedited and convenient access to the information they need, while helping to conserve natural resources and lower the costs of printing and our carbon footprint.</w:t>
      </w:r>
    </w:p>
    <w:p>
      <w:pPr>
        <w:spacing w:after="0" w:line="101" w:lineRule="exact"/>
        <w:rPr>
          <w:sz w:val="20"/>
          <w:szCs w:val="20"/>
          <w:color w:val="auto"/>
        </w:rPr>
      </w:pPr>
    </w:p>
    <w:p>
      <w:pPr>
        <w:ind w:right="60" w:firstLine="456"/>
        <w:spacing w:after="0" w:line="293" w:lineRule="auto"/>
        <w:rPr>
          <w:sz w:val="20"/>
          <w:szCs w:val="20"/>
          <w:color w:val="auto"/>
        </w:rPr>
      </w:pPr>
      <w:r>
        <w:rPr>
          <w:rFonts w:ascii="Arial" w:cs="Arial" w:eastAsia="Arial" w:hAnsi="Arial"/>
          <w:sz w:val="16"/>
          <w:szCs w:val="16"/>
          <w:b w:val="1"/>
          <w:bCs w:val="1"/>
          <w:color w:val="auto"/>
        </w:rPr>
        <w:t>Your vote is very important, regardless of the number of shares you own</w:t>
      </w:r>
      <w:r>
        <w:rPr>
          <w:rFonts w:ascii="Arial" w:cs="Arial" w:eastAsia="Arial" w:hAnsi="Arial"/>
          <w:sz w:val="16"/>
          <w:szCs w:val="16"/>
          <w:color w:val="auto"/>
        </w:rPr>
        <w:t>. Whether or not you plan to attend the annual general meeting, please submit</w:t>
      </w:r>
      <w:r>
        <w:rPr>
          <w:rFonts w:ascii="Arial" w:cs="Arial" w:eastAsia="Arial" w:hAnsi="Arial"/>
          <w:sz w:val="16"/>
          <w:szCs w:val="16"/>
          <w:b w:val="1"/>
          <w:bCs w:val="1"/>
          <w:color w:val="auto"/>
        </w:rPr>
        <w:t xml:space="preserve"> </w:t>
      </w:r>
      <w:r>
        <w:rPr>
          <w:rFonts w:ascii="Arial" w:cs="Arial" w:eastAsia="Arial" w:hAnsi="Arial"/>
          <w:sz w:val="16"/>
          <w:szCs w:val="16"/>
          <w:color w:val="auto"/>
        </w:rPr>
        <w:t>your proxy as soon as possible. On or about May 20, 2014, we expect to mail our shareholders a notice containing instructions on how to access our proxy materials and submit their proxy electronically over the Internet. The notice includes instructions on how you can request and receive a paper copy of the proxy materials, including the notice of the annual general meeting, proxy statement and proxy card, and the annual report on form 10-K. If you receive proxy materials by mail, the notice of the annual general meeting, proxy statement and proxy card, and the annual report on form 10-K from our board of directors will be enclosed. If you receive proxy materials by e-mail, the e-mail will contain voting instructions and links to our proxy materials on the Internet.</w:t>
      </w:r>
    </w:p>
    <w:p>
      <w:pPr>
        <w:spacing w:after="0" w:line="117" w:lineRule="exact"/>
        <w:rPr>
          <w:sz w:val="20"/>
          <w:szCs w:val="20"/>
          <w:color w:val="auto"/>
        </w:rPr>
      </w:pPr>
    </w:p>
    <w:p>
      <w:pPr>
        <w:ind w:right="280" w:firstLine="456"/>
        <w:spacing w:after="0" w:line="255" w:lineRule="auto"/>
        <w:rPr>
          <w:sz w:val="20"/>
          <w:szCs w:val="20"/>
          <w:color w:val="auto"/>
        </w:rPr>
      </w:pPr>
      <w:r>
        <w:rPr>
          <w:rFonts w:ascii="Arial" w:cs="Arial" w:eastAsia="Arial" w:hAnsi="Arial"/>
          <w:sz w:val="18"/>
          <w:szCs w:val="18"/>
          <w:color w:val="auto"/>
        </w:rPr>
        <w:t>All shareholders of record on May 2, 2014 are invited to attend the annual general meeting. Only shareholders and persons holding proxies from shareholders may attend the meeting.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374"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9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and Chief Executive Officer</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15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July 1, 2014</w:t>
      </w:r>
    </w:p>
    <w:p>
      <w:pPr>
        <w:spacing w:after="0" w:line="165"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2014 annual general meeting of shareholders of Marvell Technology Group Ltd., a Bermuda company, is scheduled to be held on July 1, 2014, at 4:00 p.m. Pacific time. The annual general meeting of shareholders (the “annual general meeting”) will take place at the Hyatt Regency Hotel, 5101 Great America Parkway, Santa Clara, California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right="20" w:firstLine="464"/>
        <w:spacing w:after="0" w:line="268"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elect five directors, who will hold office for a one-year term until the 2015 annual general meeting of shareholders or until their respective successors are duly elected;</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conduct an advisory (non-binding) vote to approve named executive officer compensation; and</w:t>
      </w:r>
    </w:p>
    <w:p>
      <w:pPr>
        <w:spacing w:after="0" w:line="171" w:lineRule="exact"/>
        <w:rPr>
          <w:rFonts w:ascii="Arial" w:cs="Arial" w:eastAsia="Arial" w:hAnsi="Arial"/>
          <w:sz w:val="18"/>
          <w:szCs w:val="18"/>
          <w:color w:val="auto"/>
        </w:rPr>
      </w:pPr>
    </w:p>
    <w:p>
      <w:pPr>
        <w:ind w:firstLine="464"/>
        <w:spacing w:after="0" w:line="259"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31, 2015.</w:t>
      </w:r>
    </w:p>
    <w:p>
      <w:pPr>
        <w:spacing w:after="0" w:line="140"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In addition, shareholders may be asked to consider and vote upon such other business as may properly come before the meeting or any adjournment or postponement thereof. If any other matters properly come before the annual general meeting or any adjournment or postponement thereof, the persons named in the proxy card will vote the shares represented by all properly executed proxies in their discretion.</w:t>
      </w:r>
    </w:p>
    <w:p>
      <w:pPr>
        <w:spacing w:after="0" w:line="10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will also lay before the meeting our audited financial statements for the fiscal year ended February 1, 2014 pursuant to the provisions of the Companies Act 1981 of Bermuda, as amended, and our Third Amended and Restated Bye-Laws.</w:t>
      </w:r>
    </w:p>
    <w:p>
      <w:pPr>
        <w:spacing w:after="0" w:line="132"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 None of the proposals requires the approval of any other proposal to become effective.</w:t>
      </w:r>
    </w:p>
    <w:p>
      <w:pPr>
        <w:spacing w:after="0" w:line="132"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have established the close of business on May 2, 2014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annual general meeting and vote in person, your proxy will not be used.</w:t>
      </w:r>
    </w:p>
    <w:p>
      <w:pPr>
        <w:spacing w:after="0" w:line="116"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 xml:space="preserve">Your board of directors recommends that you vote </w:t>
      </w:r>
      <w:r>
        <w:rPr>
          <w:rFonts w:ascii="Arial" w:cs="Arial" w:eastAsia="Arial" w:hAnsi="Arial"/>
          <w:sz w:val="16"/>
          <w:szCs w:val="16"/>
          <w:b w:val="1"/>
          <w:bCs w:val="1"/>
          <w:i w:val="1"/>
          <w:iCs w:val="1"/>
          <w:color w:val="auto"/>
        </w:rPr>
        <w:t>FOR</w:t>
      </w:r>
      <w:r>
        <w:rPr>
          <w:rFonts w:ascii="Arial" w:cs="Arial" w:eastAsia="Arial" w:hAnsi="Arial"/>
          <w:sz w:val="16"/>
          <w:szCs w:val="16"/>
          <w:color w:val="auto"/>
        </w:rPr>
        <w:t xml:space="preserve"> the board’s nominees for directors, </w:t>
      </w:r>
      <w:r>
        <w:rPr>
          <w:rFonts w:ascii="Arial" w:cs="Arial" w:eastAsia="Arial" w:hAnsi="Arial"/>
          <w:sz w:val="16"/>
          <w:szCs w:val="16"/>
          <w:b w:val="1"/>
          <w:bCs w:val="1"/>
          <w:i w:val="1"/>
          <w:iCs w:val="1"/>
          <w:color w:val="auto"/>
        </w:rPr>
        <w:t>FOR</w:t>
      </w:r>
      <w:r>
        <w:rPr>
          <w:rFonts w:ascii="Arial" w:cs="Arial" w:eastAsia="Arial" w:hAnsi="Arial"/>
          <w:sz w:val="16"/>
          <w:szCs w:val="16"/>
          <w:color w:val="auto"/>
        </w:rPr>
        <w:t xml:space="preserve"> the approval of our named executive officer compensation and </w:t>
      </w:r>
      <w:r>
        <w:rPr>
          <w:rFonts w:ascii="Arial" w:cs="Arial" w:eastAsia="Arial" w:hAnsi="Arial"/>
          <w:sz w:val="16"/>
          <w:szCs w:val="16"/>
          <w:b w:val="1"/>
          <w:bCs w:val="1"/>
          <w:i w:val="1"/>
          <w:iCs w:val="1"/>
          <w:color w:val="auto"/>
        </w:rPr>
        <w:t>FOR</w:t>
      </w:r>
      <w:r>
        <w:rPr>
          <w:rFonts w:ascii="Arial" w:cs="Arial" w:eastAsia="Arial" w:hAnsi="Arial"/>
          <w:sz w:val="16"/>
          <w:szCs w:val="16"/>
          <w:color w:val="auto"/>
        </w:rPr>
        <w:t xml:space="preserve"> the approval of our auditors and independent registered public accounting firm, and authorize the audit committee, acting on behalf of our board of directors, to fix the remuneration of the auditors and independent registered public accounting firm.</w:t>
      </w:r>
    </w:p>
    <w:p>
      <w:pPr>
        <w:spacing w:after="0" w:line="101" w:lineRule="exact"/>
        <w:rPr>
          <w:sz w:val="20"/>
          <w:szCs w:val="20"/>
          <w:color w:val="auto"/>
        </w:rPr>
      </w:pPr>
    </w:p>
    <w:p>
      <w:pPr>
        <w:ind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10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notice incorporates the accompanying proxy statement.</w:t>
      </w:r>
    </w:p>
    <w:p>
      <w:pPr>
        <w:spacing w:after="0" w:line="165"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38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9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19, 2014</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260" w:type="dxa"/>
            <w:vAlign w:val="bottom"/>
            <w:gridSpan w:val="7"/>
          </w:tcPr>
          <w:p>
            <w:pPr>
              <w:spacing w:after="0"/>
              <w:rPr>
                <w:sz w:val="20"/>
                <w:szCs w:val="20"/>
                <w:color w:val="auto"/>
              </w:rPr>
            </w:pPr>
            <w:r>
              <w:rPr>
                <w:rFonts w:ascii="Arial" w:cs="Arial" w:eastAsia="Arial" w:hAnsi="Arial"/>
                <w:sz w:val="18"/>
                <w:szCs w:val="18"/>
                <w:b w:val="1"/>
                <w:bCs w:val="1"/>
                <w:color w:val="auto"/>
              </w:rPr>
              <w:t>TABLE OF CONTENTS</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6">
              <w:r>
                <w:rPr>
                  <w:rFonts w:ascii="Arial" w:cs="Arial" w:eastAsia="Arial" w:hAnsi="Arial"/>
                  <w:sz w:val="18"/>
                  <w:szCs w:val="18"/>
                  <w:color w:val="0000EE"/>
                  <w:w w:val="91"/>
                </w:rPr>
                <w:t>Introduction</w:t>
              </w:r>
            </w:hyperlink>
          </w:p>
        </w:tc>
        <w:tc>
          <w:tcPr>
            <w:tcW w:w="10160" w:type="dxa"/>
            <w:vAlign w:val="bottom"/>
            <w:gridSpan w:val="20"/>
            <w:vMerge w:val="restart"/>
          </w:tcPr>
          <w:p>
            <w:pPr>
              <w:spacing w:after="0"/>
              <w:rPr>
                <w:sz w:val="24"/>
                <w:szCs w:val="24"/>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1"/>
        </w:trPr>
        <w:tc>
          <w:tcPr>
            <w:tcW w:w="880" w:type="dxa"/>
            <w:vAlign w:val="bottom"/>
            <w:tcBorders>
              <w:bottom w:val="single" w:sz="8" w:color="0000EE"/>
            </w:tcBorders>
            <w:gridSpan w:val="2"/>
            <w:vMerge w:val="continue"/>
          </w:tcPr>
          <w:p>
            <w:pPr>
              <w:spacing w:after="0"/>
              <w:rPr>
                <w:sz w:val="13"/>
                <w:szCs w:val="13"/>
                <w:color w:val="auto"/>
              </w:rPr>
            </w:pPr>
          </w:p>
        </w:tc>
        <w:tc>
          <w:tcPr>
            <w:tcW w:w="10160" w:type="dxa"/>
            <w:vAlign w:val="bottom"/>
            <w:gridSpan w:val="20"/>
            <w:vMerge w:val="continue"/>
          </w:tcPr>
          <w:p>
            <w:pPr>
              <w:spacing w:after="0"/>
              <w:rPr>
                <w:sz w:val="13"/>
                <w:szCs w:val="13"/>
                <w:color w:val="auto"/>
              </w:rPr>
            </w:pPr>
          </w:p>
        </w:tc>
        <w:tc>
          <w:tcPr>
            <w:tcW w:w="280" w:type="dxa"/>
            <w:vAlign w:val="bottom"/>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277"/>
        </w:trPr>
        <w:tc>
          <w:tcPr>
            <w:tcW w:w="11040" w:type="dxa"/>
            <w:vAlign w:val="bottom"/>
            <w:gridSpan w:val="22"/>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Information Regarding the Annual General Meeting</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220" w:type="dxa"/>
            <w:vAlign w:val="bottom"/>
            <w:tcBorders>
              <w:bottom w:val="single" w:sz="8" w:color="0000EE"/>
            </w:tcBorders>
            <w:gridSpan w:val="14"/>
          </w:tcPr>
          <w:p>
            <w:pPr>
              <w:spacing w:after="0"/>
              <w:rPr>
                <w:rFonts w:ascii="Arial" w:cs="Arial" w:eastAsia="Arial" w:hAnsi="Arial"/>
                <w:sz w:val="18"/>
                <w:szCs w:val="18"/>
                <w:color w:val="0000EE"/>
                <w:w w:val="88"/>
              </w:rPr>
            </w:pPr>
            <w:hyperlink w:anchor="page7">
              <w:r>
                <w:rPr>
                  <w:rFonts w:ascii="Arial" w:cs="Arial" w:eastAsia="Arial" w:hAnsi="Arial"/>
                  <w:sz w:val="18"/>
                  <w:szCs w:val="18"/>
                  <w:color w:val="0000EE"/>
                  <w:w w:val="88"/>
                </w:rPr>
                <w:t>Questions and Answers About our Annual General Meeting</w:t>
              </w:r>
            </w:hyperlink>
          </w:p>
        </w:tc>
        <w:tc>
          <w:tcPr>
            <w:tcW w:w="6820" w:type="dxa"/>
            <w:vAlign w:val="bottom"/>
            <w:gridSpan w:val="8"/>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9"/>
          </w:tcPr>
          <w:p>
            <w:pPr>
              <w:spacing w:after="0"/>
              <w:rPr>
                <w:rFonts w:ascii="Arial" w:cs="Arial" w:eastAsia="Arial" w:hAnsi="Arial"/>
                <w:sz w:val="18"/>
                <w:szCs w:val="18"/>
                <w:color w:val="0000EE"/>
                <w:w w:val="87"/>
              </w:rPr>
            </w:pPr>
            <w:hyperlink w:anchor="page12">
              <w:r>
                <w:rPr>
                  <w:rFonts w:ascii="Arial" w:cs="Arial" w:eastAsia="Arial" w:hAnsi="Arial"/>
                  <w:sz w:val="18"/>
                  <w:szCs w:val="18"/>
                  <w:color w:val="0000EE"/>
                  <w:w w:val="87"/>
                </w:rPr>
                <w:t>Presentation of Financial Statements</w:t>
              </w:r>
            </w:hyperlink>
          </w:p>
        </w:tc>
        <w:tc>
          <w:tcPr>
            <w:tcW w:w="8460" w:type="dxa"/>
            <w:vAlign w:val="bottom"/>
            <w:gridSpan w:val="13"/>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64"/>
        </w:trPr>
        <w:tc>
          <w:tcPr>
            <w:tcW w:w="11040" w:type="dxa"/>
            <w:vAlign w:val="bottom"/>
            <w:gridSpan w:val="22"/>
          </w:tcPr>
          <w:p>
            <w:pPr>
              <w:spacing w:after="0"/>
              <w:rPr>
                <w:rFonts w:ascii="Arial" w:cs="Arial" w:eastAsia="Arial" w:hAnsi="Arial"/>
                <w:sz w:val="18"/>
                <w:szCs w:val="18"/>
                <w:color w:val="0000EE"/>
              </w:rPr>
            </w:pPr>
            <w:hyperlink w:anchor="page13">
              <w:r>
                <w:rPr>
                  <w:rFonts w:ascii="Arial" w:cs="Arial" w:eastAsia="Arial" w:hAnsi="Arial"/>
                  <w:sz w:val="18"/>
                  <w:szCs w:val="18"/>
                  <w:color w:val="0000EE"/>
                </w:rPr>
                <w:t>Proposal No. 1: Election of Directors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44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14">
              <w:r>
                <w:rPr>
                  <w:rFonts w:ascii="Arial" w:cs="Arial" w:eastAsia="Arial" w:hAnsi="Arial"/>
                  <w:sz w:val="18"/>
                  <w:szCs w:val="18"/>
                  <w:color w:val="0000EE"/>
                  <w:w w:val="89"/>
                </w:rPr>
                <w:t>Board of Directors and Committees of the Board</w:t>
              </w:r>
            </w:hyperlink>
          </w:p>
        </w:tc>
        <w:tc>
          <w:tcPr>
            <w:tcW w:w="7600" w:type="dxa"/>
            <w:vAlign w:val="bottom"/>
            <w:gridSpan w:val="11"/>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4"/>
        </w:trPr>
        <w:tc>
          <w:tcPr>
            <w:tcW w:w="11040" w:type="dxa"/>
            <w:vAlign w:val="bottom"/>
            <w:gridSpan w:val="22"/>
          </w:tcPr>
          <w:p>
            <w:pPr>
              <w:spacing w:after="0"/>
              <w:rPr>
                <w:rFonts w:ascii="Arial" w:cs="Arial" w:eastAsia="Arial" w:hAnsi="Arial"/>
                <w:sz w:val="18"/>
                <w:szCs w:val="18"/>
                <w:color w:val="0000EE"/>
              </w:rPr>
            </w:pPr>
            <w:hyperlink w:anchor="page25">
              <w:r>
                <w:rPr>
                  <w:rFonts w:ascii="Arial" w:cs="Arial" w:eastAsia="Arial" w:hAnsi="Arial"/>
                  <w:sz w:val="18"/>
                  <w:szCs w:val="18"/>
                  <w:color w:val="0000EE"/>
                </w:rPr>
                <w:t>Executive Compensation Committee Interlocks and Insider Participation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64"/>
        </w:trPr>
        <w:tc>
          <w:tcPr>
            <w:tcW w:w="5100" w:type="dxa"/>
            <w:vAlign w:val="bottom"/>
            <w:tcBorders>
              <w:top w:val="single" w:sz="8" w:color="0000EE"/>
            </w:tcBorders>
            <w:gridSpan w:val="16"/>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Executive Compensation</w:t>
              </w:r>
            </w:hyperlink>
          </w:p>
        </w:tc>
        <w:tc>
          <w:tcPr>
            <w:tcW w:w="5940" w:type="dxa"/>
            <w:vAlign w:val="bottom"/>
            <w:gridSpan w:val="6"/>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60" w:type="dxa"/>
            <w:vAlign w:val="bottom"/>
            <w:gridSpan w:val="5"/>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780" w:type="dxa"/>
            <w:vAlign w:val="bottom"/>
            <w:tcBorders>
              <w:bottom w:val="single" w:sz="8" w:color="0000EE"/>
            </w:tcBorders>
            <w:gridSpan w:val="15"/>
          </w:tcPr>
          <w:p>
            <w:pPr>
              <w:spacing w:after="0"/>
              <w:rPr>
                <w:rFonts w:ascii="Arial" w:cs="Arial" w:eastAsia="Arial" w:hAnsi="Arial"/>
                <w:sz w:val="18"/>
                <w:szCs w:val="18"/>
                <w:color w:val="0000EE"/>
                <w:w w:val="89"/>
              </w:rPr>
            </w:pPr>
            <w:hyperlink w:anchor="page49">
              <w:r>
                <w:rPr>
                  <w:rFonts w:ascii="Arial" w:cs="Arial" w:eastAsia="Arial" w:hAnsi="Arial"/>
                  <w:sz w:val="18"/>
                  <w:szCs w:val="18"/>
                  <w:color w:val="0000EE"/>
                  <w:w w:val="89"/>
                </w:rPr>
                <w:t>Security Ownership of Certain Beneficial Owners and Management</w:t>
              </w:r>
            </w:hyperlink>
          </w:p>
        </w:tc>
        <w:tc>
          <w:tcPr>
            <w:tcW w:w="6260" w:type="dxa"/>
            <w:vAlign w:val="bottom"/>
            <w:gridSpan w:val="7"/>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1900" w:type="dxa"/>
            <w:vAlign w:val="bottom"/>
            <w:tcBorders>
              <w:bottom w:val="single" w:sz="8" w:color="0000EE"/>
            </w:tcBorders>
            <w:gridSpan w:val="6"/>
          </w:tcPr>
          <w:p>
            <w:pPr>
              <w:spacing w:after="0"/>
              <w:rPr>
                <w:rFonts w:ascii="Arial" w:cs="Arial" w:eastAsia="Arial" w:hAnsi="Arial"/>
                <w:sz w:val="18"/>
                <w:szCs w:val="18"/>
                <w:color w:val="0000EE"/>
                <w:w w:val="86"/>
              </w:rPr>
            </w:pPr>
            <w:hyperlink w:anchor="page52">
              <w:r>
                <w:rPr>
                  <w:rFonts w:ascii="Arial" w:cs="Arial" w:eastAsia="Arial" w:hAnsi="Arial"/>
                  <w:sz w:val="18"/>
                  <w:szCs w:val="18"/>
                  <w:color w:val="0000EE"/>
                  <w:w w:val="86"/>
                </w:rPr>
                <w:t>Related Party Transactions</w:t>
              </w:r>
            </w:hyperlink>
          </w:p>
        </w:tc>
        <w:tc>
          <w:tcPr>
            <w:tcW w:w="9140" w:type="dxa"/>
            <w:vAlign w:val="bottom"/>
            <w:gridSpan w:val="16"/>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64"/>
        </w:trPr>
        <w:tc>
          <w:tcPr>
            <w:tcW w:w="11040" w:type="dxa"/>
            <w:vAlign w:val="bottom"/>
            <w:gridSpan w:val="22"/>
          </w:tcPr>
          <w:p>
            <w:pPr>
              <w:spacing w:after="0"/>
              <w:rPr>
                <w:rFonts w:ascii="Arial" w:cs="Arial" w:eastAsia="Arial" w:hAnsi="Arial"/>
                <w:sz w:val="18"/>
                <w:szCs w:val="18"/>
                <w:color w:val="0000EE"/>
              </w:rPr>
            </w:pPr>
            <w:hyperlink w:anchor="page54">
              <w:r>
                <w:rPr>
                  <w:rFonts w:ascii="Arial" w:cs="Arial" w:eastAsia="Arial" w:hAnsi="Arial"/>
                  <w:sz w:val="18"/>
                  <w:szCs w:val="18"/>
                  <w:color w:val="0000EE"/>
                </w:rPr>
                <w:t>Report of the Audit Committee</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960" w:type="dxa"/>
            <w:vAlign w:val="bottom"/>
            <w:gridSpan w:val="5"/>
          </w:tcPr>
          <w:p>
            <w:pPr>
              <w:spacing w:after="0" w:line="20" w:lineRule="exact"/>
              <w:rPr>
                <w:sz w:val="1"/>
                <w:szCs w:val="1"/>
                <w:color w:val="auto"/>
              </w:rPr>
            </w:pPr>
          </w:p>
        </w:tc>
        <w:tc>
          <w:tcPr>
            <w:tcW w:w="100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40" w:type="dxa"/>
            <w:vAlign w:val="bottom"/>
            <w:gridSpan w:val="22"/>
          </w:tcPr>
          <w:p>
            <w:pPr>
              <w:spacing w:after="0"/>
              <w:rPr>
                <w:rFonts w:ascii="Arial" w:cs="Arial" w:eastAsia="Arial" w:hAnsi="Arial"/>
                <w:sz w:val="18"/>
                <w:szCs w:val="18"/>
                <w:color w:val="0000EE"/>
              </w:rPr>
            </w:pPr>
            <w:hyperlink w:anchor="page55">
              <w:r>
                <w:rPr>
                  <w:rFonts w:ascii="Arial" w:cs="Arial" w:eastAsia="Arial" w:hAnsi="Arial"/>
                  <w:sz w:val="18"/>
                  <w:szCs w:val="18"/>
                  <w:color w:val="0000EE"/>
                </w:rPr>
                <w:t>Proposal No. 2: Advisory Vote to Approve Named Executive Officer Compensation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2060" w:type="dxa"/>
            <w:vAlign w:val="bottom"/>
            <w:gridSpan w:val="6"/>
            <w:shd w:val="clear" w:color="auto" w:fill="0000EE"/>
          </w:tcPr>
          <w:p>
            <w:pPr>
              <w:spacing w:after="0" w:line="20" w:lineRule="exact"/>
              <w:rPr>
                <w:sz w:val="1"/>
                <w:szCs w:val="1"/>
                <w:color w:val="auto"/>
              </w:rPr>
            </w:pPr>
          </w:p>
        </w:tc>
        <w:tc>
          <w:tcPr>
            <w:tcW w:w="100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40" w:type="dxa"/>
            <w:vAlign w:val="bottom"/>
            <w:gridSpan w:val="22"/>
          </w:tcPr>
          <w:p>
            <w:pPr>
              <w:spacing w:after="0"/>
              <w:rPr>
                <w:rFonts w:ascii="Arial" w:cs="Arial" w:eastAsia="Arial" w:hAnsi="Arial"/>
                <w:sz w:val="18"/>
                <w:szCs w:val="18"/>
                <w:color w:val="0000EE"/>
                <w:w w:val="95"/>
              </w:rPr>
            </w:pPr>
            <w:hyperlink w:anchor="page57">
              <w:r>
                <w:rPr>
                  <w:rFonts w:ascii="Arial" w:cs="Arial" w:eastAsia="Arial" w:hAnsi="Arial"/>
                  <w:sz w:val="18"/>
                  <w:szCs w:val="18"/>
                  <w:color w:val="0000EE"/>
                  <w:w w:val="95"/>
                </w:rPr>
                <w:t>Proposal No. 3: Re-Appointment of Auditors and Independent Registered Public Accounting Firm, and Authorization of the Audit Committee to Fix</w:t>
              </w:r>
            </w:hyperlink>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100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6"/>
              </w:rPr>
            </w:pPr>
            <w:hyperlink w:anchor="page57">
              <w:r>
                <w:rPr>
                  <w:rFonts w:ascii="Arial" w:cs="Arial" w:eastAsia="Arial" w:hAnsi="Arial"/>
                  <w:sz w:val="18"/>
                  <w:szCs w:val="18"/>
                  <w:color w:val="0000EE"/>
                  <w:w w:val="86"/>
                </w:rPr>
                <w:t>Remuneration</w:t>
              </w:r>
            </w:hyperlink>
          </w:p>
        </w:tc>
        <w:tc>
          <w:tcPr>
            <w:tcW w:w="9280" w:type="dxa"/>
            <w:vAlign w:val="bottom"/>
            <w:tcBorders>
              <w:top w:val="single" w:sz="8" w:color="0000EE"/>
            </w:tcBorders>
            <w:gridSpan w:val="17"/>
          </w:tcPr>
          <w:p>
            <w:pPr>
              <w:spacing w:after="0"/>
              <w:rPr>
                <w:sz w:val="17"/>
                <w:szCs w:val="17"/>
                <w:color w:val="auto"/>
              </w:rPr>
            </w:pPr>
          </w:p>
        </w:tc>
        <w:tc>
          <w:tcPr>
            <w:tcW w:w="54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17"/>
          </w:tcPr>
          <w:p>
            <w:pPr>
              <w:spacing w:after="0"/>
              <w:rPr>
                <w:rFonts w:ascii="Arial" w:cs="Arial" w:eastAsia="Arial" w:hAnsi="Arial"/>
                <w:sz w:val="18"/>
                <w:szCs w:val="18"/>
                <w:color w:val="0000EE"/>
                <w:w w:val="89"/>
              </w:rPr>
            </w:pPr>
            <w:hyperlink w:anchor="page57">
              <w:r>
                <w:rPr>
                  <w:rFonts w:ascii="Arial" w:cs="Arial" w:eastAsia="Arial" w:hAnsi="Arial"/>
                  <w:sz w:val="18"/>
                  <w:szCs w:val="18"/>
                  <w:color w:val="0000EE"/>
                  <w:w w:val="89"/>
                </w:rPr>
                <w:t>Information Concerning Independent Registered Public Accounting Firm</w:t>
              </w:r>
            </w:hyperlink>
          </w:p>
        </w:tc>
        <w:tc>
          <w:tcPr>
            <w:tcW w:w="5880" w:type="dxa"/>
            <w:vAlign w:val="bottom"/>
            <w:gridSpan w:val="5"/>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64"/>
        </w:trPr>
        <w:tc>
          <w:tcPr>
            <w:tcW w:w="11040" w:type="dxa"/>
            <w:vAlign w:val="bottom"/>
            <w:gridSpan w:val="22"/>
          </w:tcPr>
          <w:p>
            <w:pPr>
              <w:spacing w:after="0"/>
              <w:rPr>
                <w:rFonts w:ascii="Arial" w:cs="Arial" w:eastAsia="Arial" w:hAnsi="Arial"/>
                <w:sz w:val="18"/>
                <w:szCs w:val="18"/>
                <w:color w:val="0000EE"/>
              </w:rPr>
            </w:pPr>
            <w:hyperlink w:anchor="page59">
              <w:r>
                <w:rPr>
                  <w:rFonts w:ascii="Arial" w:cs="Arial" w:eastAsia="Arial" w:hAnsi="Arial"/>
                  <w:sz w:val="18"/>
                  <w:szCs w:val="18"/>
                  <w:color w:val="0000EE"/>
                </w:rPr>
                <w:t>Future Shareholder Proposals and Nominations for the 2015 Annual General Meeting</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64"/>
        </w:trPr>
        <w:tc>
          <w:tcPr>
            <w:tcW w:w="6020" w:type="dxa"/>
            <w:vAlign w:val="bottom"/>
            <w:tcBorders>
              <w:top w:val="single" w:sz="8" w:color="0000EE"/>
            </w:tcBorders>
            <w:gridSpan w:val="20"/>
          </w:tcPr>
          <w:p>
            <w:pPr>
              <w:spacing w:after="0"/>
              <w:rPr>
                <w:rFonts w:ascii="Arial" w:cs="Arial" w:eastAsia="Arial" w:hAnsi="Arial"/>
                <w:sz w:val="18"/>
                <w:szCs w:val="18"/>
                <w:color w:val="0000EE"/>
              </w:rPr>
            </w:pPr>
            <w:hyperlink w:anchor="page59">
              <w:r>
                <w:rPr>
                  <w:rFonts w:ascii="Arial" w:cs="Arial" w:eastAsia="Arial" w:hAnsi="Arial"/>
                  <w:sz w:val="18"/>
                  <w:szCs w:val="18"/>
                  <w:color w:val="0000EE"/>
                </w:rPr>
                <w:t>Section 16(a) Beneficial Ownership Reporting Compliance</w:t>
              </w:r>
            </w:hyperlink>
          </w:p>
        </w:tc>
        <w:tc>
          <w:tcPr>
            <w:tcW w:w="5020" w:type="dxa"/>
            <w:vAlign w:val="bottom"/>
            <w:gridSpan w:val="2"/>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shd w:val="clear" w:color="auto" w:fill="0000EE"/>
          </w:tcPr>
          <w:p>
            <w:pPr>
              <w:spacing w:after="0" w:line="20" w:lineRule="exact"/>
              <w:rPr>
                <w:sz w:val="1"/>
                <w:szCs w:val="1"/>
                <w:color w:val="auto"/>
              </w:rPr>
            </w:pPr>
          </w:p>
        </w:tc>
        <w:tc>
          <w:tcPr>
            <w:tcW w:w="2060" w:type="dxa"/>
            <w:vAlign w:val="bottom"/>
            <w:gridSpan w:val="6"/>
            <w:shd w:val="clear" w:color="auto" w:fill="0000EE"/>
          </w:tcPr>
          <w:p>
            <w:pPr>
              <w:spacing w:after="0" w:line="20" w:lineRule="exact"/>
              <w:rPr>
                <w:sz w:val="1"/>
                <w:szCs w:val="1"/>
                <w:color w:val="auto"/>
              </w:rPr>
            </w:pPr>
          </w:p>
        </w:tc>
        <w:tc>
          <w:tcPr>
            <w:tcW w:w="1020" w:type="dxa"/>
            <w:vAlign w:val="bottom"/>
            <w:gridSpan w:val="5"/>
          </w:tcPr>
          <w:p>
            <w:pPr>
              <w:spacing w:after="0" w:line="20" w:lineRule="exact"/>
              <w:rPr>
                <w:sz w:val="1"/>
                <w:szCs w:val="1"/>
                <w:color w:val="auto"/>
              </w:rPr>
            </w:pPr>
          </w:p>
        </w:tc>
        <w:tc>
          <w:tcPr>
            <w:tcW w:w="5860" w:type="dxa"/>
            <w:vAlign w:val="bottom"/>
            <w:gridSpan w:val="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40" w:type="dxa"/>
            <w:vAlign w:val="bottom"/>
            <w:gridSpan w:val="22"/>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Householding — Shareholders Sharing the Same Last Name and Address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64"/>
        </w:trPr>
        <w:tc>
          <w:tcPr>
            <w:tcW w:w="5180" w:type="dxa"/>
            <w:vAlign w:val="bottom"/>
            <w:tcBorders>
              <w:top w:val="single" w:sz="8" w:color="0000EE"/>
            </w:tcBorders>
            <w:gridSpan w:val="18"/>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Other Matters</w:t>
              </w:r>
            </w:hyperlink>
          </w:p>
        </w:tc>
        <w:tc>
          <w:tcPr>
            <w:tcW w:w="5860" w:type="dxa"/>
            <w:vAlign w:val="bottom"/>
            <w:gridSpan w:val="4"/>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tcPr>
          <w:p>
            <w:pPr>
              <w:spacing w:after="0" w:line="20" w:lineRule="exact"/>
              <w:rPr>
                <w:sz w:val="1"/>
                <w:szCs w:val="1"/>
                <w:color w:val="auto"/>
              </w:rPr>
            </w:pPr>
          </w:p>
        </w:tc>
        <w:tc>
          <w:tcPr>
            <w:tcW w:w="8940" w:type="dxa"/>
            <w:vAlign w:val="bottom"/>
            <w:gridSpan w:val="15"/>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61">
              <w:r>
                <w:rPr>
                  <w:rFonts w:ascii="Arial" w:cs="Arial" w:eastAsia="Arial" w:hAnsi="Arial"/>
                  <w:sz w:val="18"/>
                  <w:szCs w:val="18"/>
                  <w:color w:val="0000EE"/>
                  <w:w w:val="90"/>
                </w:rPr>
                <w:t>Annual Report on Form 10-K</w:t>
              </w:r>
            </w:hyperlink>
          </w:p>
        </w:tc>
        <w:tc>
          <w:tcPr>
            <w:tcW w:w="8940" w:type="dxa"/>
            <w:vAlign w:val="bottom"/>
            <w:gridSpan w:val="15"/>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July 1, 2014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This proxy statement and the accompanying proxy materials are being furnished in connection with the solicitation by the board of directors of Marvell Technology Group Ltd., a Bermuda company, of proxies for use at our 2014 annual general meeting of shareholders (referred to herein as the “annual general meeting” or the “meeting”) scheduled to be held at 4:00 p.m. Pacific time on July 1, 2014 at the Hyatt Regency Hotel, 5101 Great America Parkway, Santa Clara, California 95054.</w:t>
      </w:r>
    </w:p>
    <w:p>
      <w:pPr>
        <w:spacing w:after="0" w:line="2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This proxy statement has information about the meeting and was prepared by our management at the direction of the board of directors of Marvell Technology Group Ltd. This proxy statement is being made available on or about May 20, 2014. Each member of our board of directors supports each action for which your vote is solicited.</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Your board of directors asks you to appoint Sehat Sutardja, Ph.D., our Chairman and Chief Executive Officer, and Michael Rashkin, our Chief Financial Officer, as your proxy holders to vote your shares at the meeting. You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20"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We maintain our registered and business office in Bermuda at Canon’s Court, 22 Victoria Street, Hamilton HM 12, Bermuda. Our telephone number in Bermuda is (441) 296-6395.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The record date for the annual general meeting has been set as the close of business on May 2, 2014. Only shareholders of record as of such date will be entitled to notice of and to vote at the meeting. On the record date, there were 507,845,126 issued common shares, par value $0.002 per share (“common shares” or “shares”). In accordance with our Bye-Laws, each issued common share is entitled to one vote on a poll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43"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this proxy statement, we sometimes refer to our group holding company, Marvell Technology Group Ltd., as “we,” “us,” “our” or “Marvell.” In this proxy statement, we refer to the fiscal year ended January 31, 2009 as fiscal 2009, the fiscal year ended January 30, 2010 as fiscal 2010, the fiscal year ended January 29, 2011 as fiscal 2011, the fiscal year ended January 28, 2012 as fiscal 2012, the fiscal year ended February 2, 2013 as fiscal 2013, the fiscal year ending February 1, 2014 as fiscal 2014 and the fiscal year ending January 31, 2015 as fiscal 2015.</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6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Why am I receiving these proxy materials?</w:t>
      </w:r>
    </w:p>
    <w:p>
      <w:pPr>
        <w:spacing w:after="0" w:line="2" w:lineRule="exact"/>
        <w:rPr>
          <w:sz w:val="20"/>
          <w:szCs w:val="20"/>
          <w:color w:val="auto"/>
        </w:rPr>
      </w:pPr>
    </w:p>
    <w:p>
      <w:pPr>
        <w:ind w:right="80" w:firstLine="8"/>
        <w:spacing w:after="0" w:line="256" w:lineRule="auto"/>
        <w:tabs>
          <w:tab w:leader="none" w:pos="22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2014 annual general meeting of shareholders to be held at 4:00 p.m. Pacific time on July 1, 2014. These materials were first sent or given to shareholders on or about May 20, 2014. You are invited to attend the annual general meeting and are requested to vote on the proposals described in this proxy statement.</w:t>
      </w:r>
    </w:p>
    <w:p>
      <w:pPr>
        <w:spacing w:after="0" w:line="218" w:lineRule="exact"/>
        <w:rPr>
          <w:sz w:val="20"/>
          <w:szCs w:val="20"/>
          <w:color w:val="auto"/>
        </w:rPr>
      </w:pPr>
    </w:p>
    <w:p>
      <w:pPr>
        <w:ind w:left="240" w:hanging="232"/>
        <w:spacing w:after="0"/>
        <w:tabs>
          <w:tab w:leader="none" w:pos="240"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What is included in these proxy materials?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 Shareholder Letter from our Chairman</w:t>
      </w:r>
    </w:p>
    <w:p>
      <w:pPr>
        <w:spacing w:after="0" w:line="90" w:lineRule="exact"/>
        <w:rPr>
          <w:rFonts w:ascii="Arial" w:cs="Arial" w:eastAsia="Arial" w:hAnsi="Arial"/>
          <w:sz w:val="18"/>
          <w:szCs w:val="18"/>
          <w:color w:val="auto"/>
        </w:rPr>
      </w:pPr>
    </w:p>
    <w:p>
      <w:pPr>
        <w:ind w:left="900" w:right="300" w:hanging="325"/>
        <w:spacing w:after="0" w:line="268"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Our Annual Report on Form 10-K for the year ended February 1, 2014, dated March 27, 2014 and as filed with the U.S. Securities and Exchange Commission (“SEC”)</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96" w:lineRule="exact"/>
        <w:rPr>
          <w:sz w:val="20"/>
          <w:szCs w:val="20"/>
          <w:color w:val="auto"/>
        </w:rPr>
      </w:pPr>
    </w:p>
    <w:p>
      <w:pPr>
        <w:ind w:right="20" w:firstLine="8"/>
        <w:spacing w:after="0" w:line="289" w:lineRule="auto"/>
        <w:tabs>
          <w:tab w:leader="none" w:pos="2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specific proposals to be considered and acted upon at the annual general meeting are summarized in the accompanying Notice of Annual General Meeting of Shareholders and include (1) the election of five directors, who will hold office for a one-year term until the 2015 annual general meeting of shareholders or until their successors are duly elected (see “Proposal No. 1: Election of Directors” at page 8 of this proxy statement); (2) an advisory (non-binding) vote to approve compensation of our named executive officers (see “Proposal No. 2: Advisory Vote to Approve Named Executive Officer Compensation” at page 50 of this proxy statement); and (3)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31, 2015 (see “Proposal No. 3: Re-appointment of Auditors and Independent Registered Public Accounting Firm, and Authorization of the Audit Committee to Fix Remuneration” at page 52 of this proxy statement).</w:t>
      </w:r>
    </w:p>
    <w:p>
      <w:pPr>
        <w:spacing w:after="0" w:line="118"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Third Amended and Restated Bye-Laws (the “Bye-Laws”), our audited financial statements for the fiscal year ended February 1, 2014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our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unanimously recommends our shareholders vote:</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FOR the election of five director nominees listed in Proposal No. 1, who will hold office for a one-year term until the 2015 annual general meeting of shareholders or until their respective successors are duly elected (see Proposal No. 1);</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00" w:right="120" w:hanging="446"/>
        <w:spacing w:after="0" w:line="259"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FOR the approval, on an advisory and non-binding basis, of named executive officer compensation, as disclosed in this proxy statement pursuant to Item 402 of Regulation S-K, including the Compensation Discussion and Analysis, the compensation tables and narrative disclosures (see Proposal No. 2); and</w:t>
      </w:r>
    </w:p>
    <w:p>
      <w:pPr>
        <w:spacing w:after="0" w:line="59" w:lineRule="exact"/>
        <w:rPr>
          <w:rFonts w:ascii="Arial" w:cs="Arial" w:eastAsia="Arial" w:hAnsi="Arial"/>
          <w:sz w:val="18"/>
          <w:szCs w:val="18"/>
          <w:color w:val="auto"/>
        </w:rPr>
      </w:pPr>
    </w:p>
    <w:p>
      <w:pPr>
        <w:ind w:left="900" w:hanging="446"/>
        <w:spacing w:after="0" w:line="259"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31, 2015 (see Proposal No. 3).</w:t>
      </w:r>
    </w:p>
    <w:p>
      <w:pPr>
        <w:spacing w:after="0" w:line="14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Why did I receive a one-page notice in the mail regarding Internet availability of proxy materials instead of a paper copy of proxy materials?</w:t>
      </w:r>
    </w:p>
    <w:p>
      <w:pPr>
        <w:spacing w:after="0" w:line="119" w:lineRule="exact"/>
        <w:rPr>
          <w:sz w:val="20"/>
          <w:szCs w:val="20"/>
          <w:color w:val="auto"/>
        </w:rPr>
      </w:pPr>
    </w:p>
    <w:p>
      <w:pPr>
        <w:ind w:right="100" w:firstLine="8"/>
        <w:spacing w:after="0" w:line="314" w:lineRule="auto"/>
        <w:tabs>
          <w:tab w:leader="none" w:pos="220" w:val="left"/>
        </w:tabs>
        <w:numPr>
          <w:ilvl w:val="0"/>
          <w:numId w:val="14"/>
        </w:numPr>
        <w:rPr>
          <w:rFonts w:ascii="Arial" w:cs="Arial" w:eastAsia="Arial" w:hAnsi="Arial"/>
          <w:sz w:val="15"/>
          <w:szCs w:val="15"/>
          <w:color w:val="auto"/>
        </w:rPr>
      </w:pPr>
      <w:r>
        <w:rPr>
          <w:rFonts w:ascii="Arial" w:cs="Arial" w:eastAsia="Arial" w:hAnsi="Arial"/>
          <w:sz w:val="15"/>
          <w:szCs w:val="15"/>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request to receive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on how to submit your proxy electronically over the Internet or by mail.</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96" w:lineRule="exact"/>
        <w:rPr>
          <w:sz w:val="20"/>
          <w:szCs w:val="20"/>
          <w:color w:val="auto"/>
        </w:rPr>
      </w:pPr>
    </w:p>
    <w:p>
      <w:pPr>
        <w:ind w:left="220" w:hanging="212"/>
        <w:spacing w:after="0"/>
        <w:tabs>
          <w:tab w:leader="none" w:pos="2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171" w:lineRule="exact"/>
        <w:rPr>
          <w:sz w:val="20"/>
          <w:szCs w:val="20"/>
          <w:color w:val="auto"/>
        </w:rPr>
      </w:pPr>
    </w:p>
    <w:p>
      <w:pPr>
        <w:ind w:right="1560" w:firstLine="456"/>
        <w:spacing w:after="0" w:line="268" w:lineRule="auto"/>
        <w:rPr>
          <w:sz w:val="20"/>
          <w:szCs w:val="20"/>
          <w:color w:val="auto"/>
        </w:rPr>
      </w:pPr>
      <w:r>
        <w:rPr>
          <w:rFonts w:ascii="Arial" w:cs="Arial" w:eastAsia="Arial" w:hAnsi="Arial"/>
          <w:sz w:val="18"/>
          <w:szCs w:val="18"/>
          <w:color w:val="auto"/>
        </w:rPr>
        <w:t xml:space="preserve">Our proxy materials are also available on our website at the investor relations page of our website at </w:t>
      </w:r>
      <w:r>
        <w:rPr>
          <w:rFonts w:ascii="Arial" w:cs="Arial" w:eastAsia="Arial" w:hAnsi="Arial"/>
          <w:sz w:val="18"/>
          <w:szCs w:val="18"/>
          <w:i w:val="1"/>
          <w:iCs w:val="1"/>
          <w:color w:val="auto"/>
        </w:rPr>
        <w:t>www.marvell.com</w:t>
      </w:r>
      <w:r>
        <w:rPr>
          <w:rFonts w:ascii="Arial" w:cs="Arial" w:eastAsia="Arial" w:hAnsi="Arial"/>
          <w:sz w:val="18"/>
          <w:szCs w:val="18"/>
          <w:color w:val="auto"/>
        </w:rPr>
        <w:t xml:space="preserve"> or by going to </w:t>
      </w:r>
      <w:r>
        <w:rPr>
          <w:rFonts w:ascii="Arial" w:cs="Arial" w:eastAsia="Arial" w:hAnsi="Arial"/>
          <w:sz w:val="18"/>
          <w:szCs w:val="18"/>
          <w:i w:val="1"/>
          <w:iCs w:val="1"/>
          <w:color w:val="auto"/>
        </w:rPr>
        <w:t>www.marvellproxy.com</w:t>
      </w:r>
      <w:r>
        <w:rPr>
          <w:rFonts w:ascii="Arial" w:cs="Arial" w:eastAsia="Arial" w:hAnsi="Arial"/>
          <w:sz w:val="18"/>
          <w:szCs w:val="18"/>
          <w:color w:val="auto"/>
        </w:rPr>
        <w:t>.</w:t>
      </w:r>
    </w:p>
    <w:p>
      <w:pPr>
        <w:spacing w:after="0" w:line="132"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20" w:firstLine="8"/>
        <w:spacing w:after="0" w:line="323" w:lineRule="auto"/>
        <w:tabs>
          <w:tab w:leader="none" w:pos="22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record date for the annual general meeting has been set as the close of business on May 2, 2014. Only shareholders of record as of such date will be entitled to notice of and to vote at the meeting. On the record date, there were 507,845,126 common shares outstanding. Each share outstanding is entitled to one vote on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right="300" w:firstLine="8"/>
        <w:spacing w:after="0" w:line="268" w:lineRule="auto"/>
        <w:tabs>
          <w:tab w:leader="none" w:pos="2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You may vote your shares either by voting in person at the meeting or by submitting a completed proxy via the Internet, telephone or by mail. The meeting will take place on July 1, 2014. After carefully reading and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considering the information contained in this proxy statement, please follow the instructions as summarized below depending on whether you hold shares directly in your name as shareholder of record or you are the beneficial owner of shares held in “street name.” Most of our shareholders hold their shares through a broker, bank or other nominee in “street name” rather than directly in their own name. As summarized below, there are some distinctions between the procedures for voting shares held of record and those owned beneficially.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600" w:firstLine="8"/>
        <w:spacing w:after="0" w:line="332" w:lineRule="auto"/>
        <w:tabs>
          <w:tab w:leader="none" w:pos="2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If your shares are registered directly in your name with our transfer agent, American Stock Transfer &amp; Trust Company (the “Transfer Agent”), you are considered the shareholder of record with respect to those shares and the Notice was sent directly to you. There are four ways to vote:</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1"/>
          <w:numId w:val="18"/>
        </w:numPr>
        <w:rPr>
          <w:rFonts w:ascii="Arial" w:cs="Arial" w:eastAsia="Arial" w:hAnsi="Arial"/>
          <w:sz w:val="16"/>
          <w:szCs w:val="16"/>
          <w:color w:val="auto"/>
        </w:rPr>
      </w:pPr>
      <w:r>
        <w:rPr>
          <w:rFonts w:ascii="Arial" w:cs="Arial" w:eastAsia="Arial" w:hAnsi="Arial"/>
          <w:sz w:val="16"/>
          <w:szCs w:val="16"/>
          <w:i w:val="1"/>
          <w:iCs w:val="1"/>
          <w:color w:val="auto"/>
        </w:rPr>
        <w:t>In person</w:t>
      </w:r>
      <w:r>
        <w:rPr>
          <w:rFonts w:ascii="Arial" w:cs="Arial" w:eastAsia="Arial" w:hAnsi="Arial"/>
          <w:sz w:val="16"/>
          <w:szCs w:val="16"/>
          <w:color w:val="auto"/>
        </w:rPr>
        <w:t>. If you are a shareholder of record, you may vote in person at the annual general meeting. We will provide you a ballot when you arrive.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found on the proxy card.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 it back in</w:t>
      </w:r>
      <w:r>
        <w:rPr>
          <w:rFonts w:ascii="Arial" w:cs="Arial" w:eastAsia="Arial" w:hAnsi="Arial"/>
          <w:sz w:val="18"/>
          <w:szCs w:val="18"/>
          <w:i w:val="1"/>
          <w:iCs w:val="1"/>
          <w:color w:val="auto"/>
        </w:rPr>
        <w:t xml:space="preserve"> </w:t>
      </w:r>
      <w:r>
        <w:rPr>
          <w:rFonts w:ascii="Arial" w:cs="Arial" w:eastAsia="Arial" w:hAnsi="Arial"/>
          <w:sz w:val="18"/>
          <w:szCs w:val="18"/>
          <w:color w:val="auto"/>
        </w:rPr>
        <w:t>the envelope provided.</w:t>
      </w:r>
    </w:p>
    <w:p>
      <w:pPr>
        <w:spacing w:after="0" w:line="132"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96" w:lineRule="exact"/>
        <w:rPr>
          <w:sz w:val="20"/>
          <w:szCs w:val="20"/>
          <w:color w:val="auto"/>
        </w:rPr>
      </w:pPr>
    </w:p>
    <w:p>
      <w:pPr>
        <w:ind w:firstLine="8"/>
        <w:spacing w:after="0" w:line="291" w:lineRule="auto"/>
        <w:tabs>
          <w:tab w:leader="none" w:pos="220" w:val="left"/>
        </w:tabs>
        <w:numPr>
          <w:ilvl w:val="0"/>
          <w:numId w:val="19"/>
        </w:numPr>
        <w:rPr>
          <w:rFonts w:ascii="Arial" w:cs="Arial" w:eastAsia="Arial" w:hAnsi="Arial"/>
          <w:sz w:val="16"/>
          <w:szCs w:val="16"/>
          <w:color w:val="auto"/>
        </w:rPr>
      </w:pPr>
      <w:r>
        <w:rPr>
          <w:rFonts w:ascii="Arial" w:cs="Arial" w:eastAsia="Arial" w:hAnsi="Arial"/>
          <w:sz w:val="16"/>
          <w:szCs w:val="16"/>
          <w:color w:val="auto"/>
        </w:rPr>
        <w:t>If your shares are held in a stock brokerage account or by a bank or other nominee, you are considered the beneficial owner of the shares held in “street name,” and the Notice will, subject to the terms made between you and the shareholder of record,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In order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a voting instruction form.</w:t>
      </w:r>
    </w:p>
    <w:p>
      <w:pPr>
        <w:spacing w:after="0" w:line="12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If your shares are held in street name, you may also vote your shares in person at the annual meeting. You must bring an account statement or letter from your brokerage firm or bank showing that you are the beneficial owner of the shares as of the record date in order to be admitted to the annual meeting. To be able to vote your shares held in street name at the annual meeting, you will need to obtain a proxy from the shareholder of record.</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40" w:firstLine="8"/>
        <w:spacing w:after="0" w:line="268"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Shareholders of record </w:t>
      </w:r>
      <w:r>
        <w:rPr>
          <w:rFonts w:ascii="Arial" w:cs="Arial" w:eastAsia="Arial" w:hAnsi="Arial"/>
          <w:sz w:val="18"/>
          <w:szCs w:val="18"/>
          <w:color w:val="auto"/>
        </w:rPr>
        <w:t>— If you are a shareholder of record and you do not cast your vote or submit a proxy, no votes will be cast on your behalf on any of</w:t>
      </w:r>
      <w:r>
        <w:rPr>
          <w:rFonts w:ascii="Arial" w:cs="Arial" w:eastAsia="Arial" w:hAnsi="Arial"/>
          <w:sz w:val="18"/>
          <w:szCs w:val="18"/>
          <w:i w:val="1"/>
          <w:iCs w:val="1"/>
          <w:color w:val="auto"/>
        </w:rPr>
        <w:t xml:space="preserve"> </w:t>
      </w:r>
      <w:r>
        <w:rPr>
          <w:rFonts w:ascii="Arial" w:cs="Arial" w:eastAsia="Arial" w:hAnsi="Arial"/>
          <w:sz w:val="18"/>
          <w:szCs w:val="18"/>
          <w:color w:val="auto"/>
        </w:rPr>
        <w:t>the items of business at the annual general meeting. However, if you sign and return the proxy card with no further instructions, the proxy holders will vote your shares in the manner recommended by our board of directors on all matters presented in this proxy statement and as the proxy holders may determine in their discretion with respect to any other matters properly presented for a</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vote at the annual general meeting. A shareholder may also abstain from voting on any proposal. An “abstention” occurs when a shareholder sends in a proxy with explicit instructions to decline to vote regarding a particular matter. Abstention votes have the same effect as an “against” vote with respect to the election of directors (Proposal No. 1). Abstentions will have no effect on the outcome of the vote for all other proposals.</w:t>
      </w:r>
    </w:p>
    <w:p>
      <w:pPr>
        <w:spacing w:after="0" w:line="14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Beneficial owners </w:t>
      </w:r>
      <w:r>
        <w:rPr>
          <w:rFonts w:ascii="Arial" w:cs="Arial" w:eastAsia="Arial" w:hAnsi="Arial"/>
          <w:sz w:val="16"/>
          <w:szCs w:val="16"/>
          <w:color w:val="auto"/>
        </w:rPr>
        <w:t>— If you hold your shares in “street name” it is critical that you instruct your broker, bank or other nominee to cast your vote if you want</w:t>
      </w:r>
      <w:r>
        <w:rPr>
          <w:rFonts w:ascii="Arial" w:cs="Arial" w:eastAsia="Arial" w:hAnsi="Arial"/>
          <w:sz w:val="16"/>
          <w:szCs w:val="16"/>
          <w:i w:val="1"/>
          <w:iCs w:val="1"/>
          <w:color w:val="auto"/>
        </w:rPr>
        <w:t xml:space="preserve"> </w:t>
      </w:r>
      <w:r>
        <w:rPr>
          <w:rFonts w:ascii="Arial" w:cs="Arial" w:eastAsia="Arial" w:hAnsi="Arial"/>
          <w:sz w:val="16"/>
          <w:szCs w:val="16"/>
          <w:color w:val="auto"/>
        </w:rPr>
        <w:t>it to count in the election of directors (Proposal No. 1) and approval of named executive officer compensation (Proposal No. 2). The term “broker non-vote” refers to shares held by a broker or other nominee (for the benefit of its client) that are represented at the meeting, but with respect to which such broker or nominee is not instructed to vote on a particular proposal and does not have discretionary authority to vote on that proposal. Brokers and nominees do not have discretionary voting authority on non-routine matters (including Proposal Nos. 1 and 2) and accordingly may not vote on such matters absent instructions from the beneficial holder. Thus, if you hold your shares in “street name” and you do not instruct your broker, bank or other nominee on how to vote in the election of directors (Proposal No. 1) or with respect to votes related to named executive officer compensation (Proposal No. 2), no votes will be cast on your behalf.</w:t>
      </w:r>
    </w:p>
    <w:p>
      <w:pPr>
        <w:spacing w:after="0" w:line="118"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The proposal at the annual general meeting to appoint PricewaterhouseCoopers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31, 2015 (Proposal No. 3) is considered a routine matter for which brokerage firms may vote uninstructed shares. The election of directors (Proposal No. 1) and the proposal to approve on an advisory basis named executive officer compensation (Proposal No. 2) are not considered routine matters for which brokerage firms may vote uninstructed shares and it is important to us that you affirmatively vote for Proposal No. 1 and Proposal No. 2.</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ind w:right="180" w:firstLine="8"/>
        <w:spacing w:after="0" w:line="306" w:lineRule="auto"/>
        <w:tabs>
          <w:tab w:leader="none" w:pos="220" w:val="left"/>
        </w:tabs>
        <w:numPr>
          <w:ilvl w:val="0"/>
          <w:numId w:val="21"/>
        </w:numPr>
        <w:rPr>
          <w:rFonts w:ascii="Arial" w:cs="Arial" w:eastAsia="Arial" w:hAnsi="Arial"/>
          <w:sz w:val="16"/>
          <w:szCs w:val="16"/>
          <w:color w:val="auto"/>
        </w:rPr>
      </w:pPr>
      <w:r>
        <w:rPr>
          <w:rFonts w:ascii="Arial" w:cs="Arial" w:eastAsia="Arial" w:hAnsi="Arial"/>
          <w:sz w:val="16"/>
          <w:szCs w:val="16"/>
          <w:color w:val="auto"/>
        </w:rPr>
        <w:t>Each share held by a Member as of the record date will be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 Voting at the meeting will be taken on a poll in accordance with our Bye-Laws.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80" w:firstLine="8"/>
        <w:spacing w:after="0" w:line="298" w:lineRule="auto"/>
        <w:tabs>
          <w:tab w:leader="none" w:pos="220" w:val="left"/>
        </w:tabs>
        <w:numPr>
          <w:ilvl w:val="0"/>
          <w:numId w:val="22"/>
        </w:numPr>
        <w:rPr>
          <w:rFonts w:ascii="Arial" w:cs="Arial" w:eastAsia="Arial" w:hAnsi="Arial"/>
          <w:sz w:val="16"/>
          <w:szCs w:val="16"/>
          <w:color w:val="auto"/>
        </w:rPr>
      </w:pPr>
      <w:r>
        <w:rPr>
          <w:rFonts w:ascii="Arial" w:cs="Arial" w:eastAsia="Arial" w:hAnsi="Arial"/>
          <w:sz w:val="16"/>
          <w:szCs w:val="16"/>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or revoke my proxy or my voting instruction after I have submitted a proxy or voting instruction?</w:t>
      </w:r>
    </w:p>
    <w:p>
      <w:pPr>
        <w:spacing w:after="0" w:line="96" w:lineRule="exact"/>
        <w:rPr>
          <w:sz w:val="20"/>
          <w:szCs w:val="20"/>
          <w:color w:val="auto"/>
        </w:rPr>
      </w:pPr>
    </w:p>
    <w:p>
      <w:pPr>
        <w:ind w:right="180" w:firstLine="8"/>
        <w:spacing w:after="0" w:line="294" w:lineRule="auto"/>
        <w:tabs>
          <w:tab w:leader="none" w:pos="220" w:val="left"/>
        </w:tabs>
        <w:numPr>
          <w:ilvl w:val="0"/>
          <w:numId w:val="23"/>
        </w:numPr>
        <w:rPr>
          <w:rFonts w:ascii="Arial" w:cs="Arial" w:eastAsia="Arial" w:hAnsi="Arial"/>
          <w:sz w:val="16"/>
          <w:szCs w:val="16"/>
          <w:color w:val="auto"/>
        </w:rPr>
      </w:pPr>
      <w:r>
        <w:rPr>
          <w:rFonts w:ascii="Arial" w:cs="Arial" w:eastAsia="Arial" w:hAnsi="Arial"/>
          <w:sz w:val="16"/>
          <w:szCs w:val="16"/>
          <w:color w:val="auto"/>
        </w:rPr>
        <w:t>Subject to any rules your broker, bank or other nominee may have, you may change or revoke your proxy or your voting instruction at any time before it is voted at the annual general meeting by (1) delivering to our registered office at Canon’s Court, 22 Victoria Street, Hamilton HM 12, Bermuda, a written notice stating that the proxy is revoked, (2) submitting another proxy or voting instruction on a later date via the Internet or by telephone (only your latest Internet or telephone proxy submitted prior to the annual general meeting will be counted), (3) signing and returning a new proxy card or vote instruction form with a later date, or (4) attending the annual general meeting and voting in person.</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320" w:firstLine="8"/>
        <w:spacing w:after="0" w:line="259" w:lineRule="auto"/>
        <w:tabs>
          <w:tab w:leader="none" w:pos="22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of that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40" w:firstLine="8"/>
        <w:spacing w:after="0" w:line="255" w:lineRule="auto"/>
        <w:tabs>
          <w:tab w:leader="none" w:pos="2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in excess of 50% of the total issued voting shares of Marvell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the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60" w:firstLine="8"/>
        <w:spacing w:after="0" w:line="256" w:lineRule="auto"/>
        <w:tabs>
          <w:tab w:leader="none" w:pos="2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Proposal No. 1: The nominees for director receiving the affirmative vote of a simple majority of the votes cast in person or by proxy at the annual general meeting will be elected as directors to serve until the next annual general meeting of shareholders or until their successors are duly elected. Abstention votes have the same effect as an “against” vote with respect to the election of directors and broker non-votes will be entirely excluded from the vote and will have no effect on the outcome of this proposal.</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Proposal No. 2: Our shareholders will have an advisory (non-binding) vote on named executive officer compensation as described in this proxy statement, which requires the affirmative vote of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our board of directors and the executive compensation committee (the “ECC”) will consider the result of the vote when making future decisions regarding our executive compensation policies and practices.</w:t>
      </w:r>
    </w:p>
    <w:p>
      <w:pPr>
        <w:spacing w:after="0" w:line="116" w:lineRule="exact"/>
        <w:rPr>
          <w:sz w:val="20"/>
          <w:szCs w:val="20"/>
          <w:color w:val="auto"/>
        </w:rPr>
      </w:pPr>
    </w:p>
    <w:p>
      <w:pPr>
        <w:jc w:val="both"/>
        <w:ind w:right="60" w:firstLine="456"/>
        <w:spacing w:after="0" w:line="323" w:lineRule="auto"/>
        <w:rPr>
          <w:sz w:val="20"/>
          <w:szCs w:val="20"/>
          <w:color w:val="auto"/>
        </w:rPr>
      </w:pPr>
      <w:r>
        <w:rPr>
          <w:rFonts w:ascii="Arial" w:cs="Arial" w:eastAsia="Arial" w:hAnsi="Arial"/>
          <w:sz w:val="15"/>
          <w:szCs w:val="15"/>
          <w:color w:val="auto"/>
        </w:rPr>
        <w:t>Proposal No. 3: 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31, 2015,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73" w:lineRule="exact"/>
        <w:rPr>
          <w:sz w:val="20"/>
          <w:szCs w:val="20"/>
          <w:color w:val="auto"/>
        </w:rPr>
      </w:pPr>
    </w:p>
    <w:p>
      <w:pPr>
        <w:ind w:left="240" w:hanging="232"/>
        <w:spacing w:after="0"/>
        <w:tabs>
          <w:tab w:leader="none" w:pos="240" w:val="left"/>
        </w:tabs>
        <w:numPr>
          <w:ilvl w:val="0"/>
          <w:numId w:val="27"/>
        </w:numPr>
        <w:rPr>
          <w:rFonts w:ascii="Arial" w:cs="Arial" w:eastAsia="Arial" w:hAnsi="Arial"/>
          <w:sz w:val="18"/>
          <w:szCs w:val="18"/>
          <w:b w:val="1"/>
          <w:bCs w:val="1"/>
          <w:color w:val="auto"/>
        </w:rPr>
      </w:pPr>
      <w:r>
        <w:rPr>
          <w:rFonts w:ascii="Arial" w:cs="Arial" w:eastAsia="Arial" w:hAnsi="Arial"/>
          <w:sz w:val="18"/>
          <w:szCs w:val="18"/>
          <w:b w:val="1"/>
          <w:bCs w:val="1"/>
          <w:color w:val="auto"/>
        </w:rPr>
        <w:t>Does any shareholder own a majority of our shares?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28"/>
        </w:numPr>
        <w:rPr>
          <w:rFonts w:ascii="Arial" w:cs="Arial" w:eastAsia="Arial" w:hAnsi="Arial"/>
          <w:sz w:val="18"/>
          <w:szCs w:val="18"/>
          <w:color w:val="auto"/>
        </w:rPr>
      </w:pPr>
      <w:r>
        <w:rPr>
          <w:rFonts w:ascii="Arial" w:cs="Arial" w:eastAsia="Arial" w:hAnsi="Arial"/>
          <w:sz w:val="18"/>
          <w:szCs w:val="18"/>
          <w:color w:val="auto"/>
        </w:rPr>
        <w:t>No.</w:t>
      </w:r>
    </w:p>
    <w:p>
      <w:pPr>
        <w:spacing w:after="0" w:line="246" w:lineRule="exact"/>
        <w:rPr>
          <w:sz w:val="20"/>
          <w:szCs w:val="20"/>
          <w:color w:val="auto"/>
        </w:rPr>
      </w:pPr>
    </w:p>
    <w:p>
      <w:pPr>
        <w:ind w:right="220" w:firstLine="8"/>
        <w:spacing w:after="0" w:line="275" w:lineRule="auto"/>
        <w:tabs>
          <w:tab w:leader="none" w:pos="239"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45" w:lineRule="exact"/>
        <w:rPr>
          <w:sz w:val="20"/>
          <w:szCs w:val="20"/>
          <w:color w:val="auto"/>
        </w:rPr>
      </w:pPr>
    </w:p>
    <w:p>
      <w:pPr>
        <w:ind w:firstLine="8"/>
        <w:spacing w:after="0" w:line="294" w:lineRule="auto"/>
        <w:tabs>
          <w:tab w:leader="none" w:pos="220" w:val="left"/>
        </w:tabs>
        <w:numPr>
          <w:ilvl w:val="0"/>
          <w:numId w:val="30"/>
        </w:numPr>
        <w:rPr>
          <w:rFonts w:ascii="Arial" w:cs="Arial" w:eastAsia="Arial" w:hAnsi="Arial"/>
          <w:sz w:val="16"/>
          <w:szCs w:val="16"/>
          <w:color w:val="auto"/>
        </w:rPr>
      </w:pPr>
      <w:r>
        <w:rPr>
          <w:rFonts w:ascii="Arial" w:cs="Arial" w:eastAsia="Arial" w:hAnsi="Arial"/>
          <w:sz w:val="16"/>
          <w:szCs w:val="16"/>
          <w:color w:val="auto"/>
        </w:rPr>
        <w:t>If you receive more than one Notice, more than one e-mail or more than one paper copy of the proxy materials, it means that you have multiple accounts with brokers or the Transfer Agent. Please vote all of these shares. To instruct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May shareholders ask questions at the annual general meeting?</w:t>
      </w:r>
    </w:p>
    <w:p>
      <w:pPr>
        <w:spacing w:after="0" w:line="96" w:lineRule="exact"/>
        <w:rPr>
          <w:sz w:val="20"/>
          <w:szCs w:val="20"/>
          <w:color w:val="auto"/>
        </w:rPr>
      </w:pPr>
    </w:p>
    <w:p>
      <w:pPr>
        <w:jc w:val="both"/>
        <w:ind w:firstLine="8"/>
        <w:spacing w:after="0" w:line="259" w:lineRule="auto"/>
        <w:tabs>
          <w:tab w:leader="none" w:pos="2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Yes. Representatives of Marvell will answer shareholders’ questions of general interest following the formal agenda of the annual general meeting. In order to give a greater number of shareholders an opportunity to ask questions, individuals or groups will be allowed to ask only one question and no repetitive or follow-up questions will be permitted.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ind w:firstLine="8"/>
        <w:spacing w:after="0" w:line="253" w:lineRule="auto"/>
        <w:tabs>
          <w:tab w:leader="none" w:pos="2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This proxy is solicited on behalf of our board of directors. We will pay the cost of distributing this proxy statement and related materials. We have hired Georgeson Inc. to assist in the distribution of proxy materials and the solicitation of proxies for an initial fee estimated at $7,500, plus an additional fee per shareholder for shareholder solicitations. We will bear the cost of soliciting proxies. We will also reimburse brokers for their reasonable out-of-pocket expenses for forwarding proxy materials to beneficial owners of shares or other persons for whom they hold shares. To the extent necessary in order to ensure sufficient representation at the meeting, we or our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80" w:firstLine="8"/>
        <w:spacing w:after="0" w:line="306" w:lineRule="auto"/>
        <w:tabs>
          <w:tab w:leader="none" w:pos="220" w:val="left"/>
        </w:tabs>
        <w:numPr>
          <w:ilvl w:val="0"/>
          <w:numId w:val="33"/>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182" w:lineRule="exact"/>
        <w:rPr>
          <w:sz w:val="20"/>
          <w:szCs w:val="20"/>
          <w:color w:val="auto"/>
        </w:rPr>
      </w:pPr>
    </w:p>
    <w:p>
      <w:pPr>
        <w:ind w:left="240" w:hanging="232"/>
        <w:spacing w:after="0"/>
        <w:tabs>
          <w:tab w:leader="none" w:pos="240"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color w:val="auto"/>
        </w:rPr>
        <w:t>Whom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5"/>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Sukhi Nagesh</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Vice President, Finance and Investor Relations</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(408) 222-8373</w:t>
      </w:r>
    </w:p>
    <w:p>
      <w:pPr>
        <w:spacing w:after="0" w:line="8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proxy solicitor:</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Georgeson Inc.</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480 Washington Blvd., 26th Floor</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Jersey City, NJ 07310</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Phone: (201) 222-4227</w:t>
      </w:r>
    </w:p>
    <w:p>
      <w:pPr>
        <w:spacing w:after="0" w:line="3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 February 1, 2014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9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40"/>
          </w:cols>
          <w:pgMar w:left="240" w:top="459" w:right="31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1:</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ELECTION OF DIRECTORS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Our Bye-Laws provide that our board shall consist of not less than two directors or such number in excess thereof as our board of directors may determine. The number of directors is currently fixed at five and there are currently five members serving on our board of directors. The nominating and governance committee and our board of directors have nominated the five current members of our board of directors to stand for election at the annual general meeting. If the current nominees are elected, we will have five members serving on our board of directors and the number of directors will be fixed at five. All nominees elected as directors will serve one year terms until the next annual general meeting of shareholders or until their respective successors are duly elected. In the event any new nominees are appointed as directors after this annual general meeting, he or she will be required to stand for reelection at the next annual general meeting and each annual general meeting of shareholders thereafter.</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director nominees for the 2014 annual general meeting are Dr. Juergen Gromer, Dr. John G. Kassakian, Arturo Krueger, Dr. Sehat Sutardja and</w:t>
      </w:r>
    </w:p>
    <w:p>
      <w:pPr>
        <w:spacing w:after="0" w:line="38" w:lineRule="exact"/>
        <w:rPr>
          <w:sz w:val="20"/>
          <w:szCs w:val="20"/>
          <w:color w:val="auto"/>
        </w:rPr>
      </w:pPr>
    </w:p>
    <w:p>
      <w:pPr>
        <w:ind w:right="80"/>
        <w:spacing w:after="0" w:line="281" w:lineRule="auto"/>
        <w:rPr>
          <w:sz w:val="20"/>
          <w:szCs w:val="20"/>
          <w:color w:val="auto"/>
        </w:rPr>
      </w:pPr>
      <w:r>
        <w:rPr>
          <w:rFonts w:ascii="Arial" w:cs="Arial" w:eastAsia="Arial" w:hAnsi="Arial"/>
          <w:sz w:val="16"/>
          <w:szCs w:val="16"/>
          <w:color w:val="auto"/>
        </w:rPr>
        <w:t>Dr. Randhir Thakur. Biographical information for the nominees can be found beginning on page 9 of this proxy statement. We have been advised that each of our nominees is willing to be named as such herein and each of the nominees is willing to serve as a director if elected. However, if one or more of Dr. Gromer,</w:t>
      </w:r>
    </w:p>
    <w:p>
      <w:pPr>
        <w:spacing w:after="0" w:line="1" w:lineRule="exact"/>
        <w:rPr>
          <w:sz w:val="20"/>
          <w:szCs w:val="20"/>
          <w:color w:val="auto"/>
        </w:rPr>
      </w:pPr>
    </w:p>
    <w:p>
      <w:pPr>
        <w:ind w:right="460"/>
        <w:spacing w:after="0" w:line="261" w:lineRule="auto"/>
        <w:rPr>
          <w:sz w:val="20"/>
          <w:szCs w:val="20"/>
          <w:color w:val="auto"/>
        </w:rPr>
      </w:pPr>
      <w:r>
        <w:rPr>
          <w:rFonts w:ascii="Arial" w:cs="Arial" w:eastAsia="Arial" w:hAnsi="Arial"/>
          <w:sz w:val="18"/>
          <w:szCs w:val="18"/>
          <w:color w:val="auto"/>
        </w:rPr>
        <w:t>Dr. Kassakian, Mr. Krueger, Dr. Sehat Sutardja and/or Dr. Thakur should be unable to serve as director, the proxy holders may vote for a substitute nominee recommended by the nominating and governance committee and approved by our board of directors.</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nominees for director identified above.</w:t>
      </w:r>
    </w:p>
    <w:p>
      <w:pPr>
        <w:spacing w:after="0" w:line="171"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 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Nominees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following table sets forth information with respect to each of our director nominees, as of April 30, 2014. In addition to the information presented below regarding each nominee’s specific experience, qualifications, attributes and skills that led our board of directors to the conclusion that he should serve as a director, we also believe that all of our director nominees have a reputation for integrity, honesty and adherence to high ethical standards. They each have demonstrated business acumen and an ability to exercise sound judgment, as well as a commitment of service to us and our board of directors. To the extent applicable, we value their experience on other public company boards of directors and board committees.</w:t>
      </w:r>
    </w:p>
    <w:p>
      <w:pPr>
        <w:sectPr>
          <w:pgSz w:w="11900" w:h="16838" w:orient="portrait"/>
          <w:cols w:equalWidth="0" w:num="1">
            <w:col w:w="11380"/>
          </w:cols>
          <w:pgMar w:left="240" w:top="459" w:right="279" w:bottom="1440" w:gutter="0" w:footer="0" w:header="0"/>
        </w:sectPr>
      </w:pPr>
    </w:p>
    <w:p>
      <w:pPr>
        <w:spacing w:after="0" w:line="287"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Name of Nominee</w:t>
      </w:r>
    </w:p>
    <w:p>
      <w:pPr>
        <w:spacing w:after="0" w:line="13" w:lineRule="exact"/>
        <w:rPr>
          <w:sz w:val="20"/>
          <w:szCs w:val="20"/>
          <w:color w:val="auto"/>
        </w:rPr>
      </w:pPr>
    </w:p>
    <w:p>
      <w:pPr>
        <w:spacing w:after="0"/>
        <w:rPr>
          <w:sz w:val="20"/>
          <w:szCs w:val="20"/>
          <w:color w:val="auto"/>
        </w:rPr>
      </w:pPr>
      <w:r>
        <w:rPr>
          <w:rFonts w:ascii="Arial" w:cs="Arial" w:eastAsia="Arial" w:hAnsi="Arial"/>
          <w:sz w:val="18"/>
          <w:szCs w:val="18"/>
          <w:color w:val="auto"/>
        </w:rPr>
        <w:t>Sehat Sutardja, Ph.D.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spacing w:after="0"/>
        <w:rPr>
          <w:sz w:val="20"/>
          <w:szCs w:val="20"/>
          <w:color w:val="auto"/>
        </w:rPr>
      </w:pPr>
      <w:r>
        <w:rPr>
          <w:rFonts w:ascii="Arial" w:cs="Arial" w:eastAsia="Arial" w:hAnsi="Arial"/>
          <w:sz w:val="16"/>
          <w:szCs w:val="16"/>
          <w:color w:val="auto"/>
        </w:rPr>
        <w:t>Arturo Krueger (1)(2)(3)(4)</w:t>
      </w:r>
    </w:p>
    <w:p>
      <w:pPr>
        <w:spacing w:after="0" w:line="20" w:lineRule="exact"/>
        <w:rPr>
          <w:sz w:val="20"/>
          <w:szCs w:val="20"/>
          <w:color w:val="auto"/>
        </w:rPr>
      </w:pPr>
      <w:r>
        <w:rPr>
          <w:sz w:val="20"/>
          <w:szCs w:val="20"/>
          <w:color w:val="auto"/>
        </w:rPr>
        <w:br w:type="column"/>
      </w:r>
    </w:p>
    <w:p>
      <w:pPr>
        <w:spacing w:after="0" w:line="11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2240" w:type="dxa"/>
            <w:vAlign w:val="bottom"/>
          </w:tcPr>
          <w:p>
            <w:pPr>
              <w:jc w:val="center"/>
              <w:ind w:right="1372"/>
              <w:spacing w:after="0"/>
              <w:rPr>
                <w:sz w:val="20"/>
                <w:szCs w:val="20"/>
                <w:color w:val="auto"/>
              </w:rPr>
            </w:pPr>
            <w:r>
              <w:rPr>
                <w:rFonts w:ascii="Arial" w:cs="Arial" w:eastAsia="Arial" w:hAnsi="Arial"/>
                <w:sz w:val="14"/>
                <w:szCs w:val="14"/>
                <w:b w:val="1"/>
                <w:bCs w:val="1"/>
                <w:color w:val="auto"/>
                <w:w w:val="89"/>
              </w:rPr>
              <w:t>Director</w:t>
            </w:r>
          </w:p>
        </w:tc>
        <w:tc>
          <w:tcPr>
            <w:tcW w:w="2320" w:type="dxa"/>
            <w:vAlign w:val="bottom"/>
            <w:vMerge w:val="restart"/>
          </w:tcPr>
          <w:p>
            <w:pPr>
              <w:ind w:left="1600"/>
              <w:spacing w:after="0"/>
              <w:rPr>
                <w:sz w:val="20"/>
                <w:szCs w:val="20"/>
                <w:color w:val="auto"/>
              </w:rPr>
            </w:pPr>
            <w:r>
              <w:rPr>
                <w:rFonts w:ascii="Arial" w:cs="Arial" w:eastAsia="Arial" w:hAnsi="Arial"/>
                <w:sz w:val="14"/>
                <w:szCs w:val="14"/>
                <w:b w:val="1"/>
                <w:bCs w:val="1"/>
                <w:color w:val="auto"/>
                <w:w w:val="85"/>
              </w:rPr>
              <w:t>Background</w:t>
            </w:r>
          </w:p>
        </w:tc>
        <w:tc>
          <w:tcPr>
            <w:tcW w:w="0" w:type="dxa"/>
            <w:vAlign w:val="bottom"/>
          </w:tcPr>
          <w:p>
            <w:pPr>
              <w:spacing w:after="0"/>
              <w:rPr>
                <w:sz w:val="1"/>
                <w:szCs w:val="1"/>
                <w:color w:val="auto"/>
              </w:rPr>
            </w:pPr>
          </w:p>
        </w:tc>
      </w:tr>
      <w:tr>
        <w:trPr>
          <w:trHeight w:val="174"/>
        </w:trPr>
        <w:tc>
          <w:tcPr>
            <w:tcW w:w="380" w:type="dxa"/>
            <w:vAlign w:val="bottom"/>
          </w:tcPr>
          <w:p>
            <w:pPr>
              <w:spacing w:after="0"/>
              <w:rPr>
                <w:sz w:val="20"/>
                <w:szCs w:val="20"/>
                <w:color w:val="auto"/>
              </w:rPr>
            </w:pPr>
            <w:r>
              <w:rPr>
                <w:rFonts w:ascii="Arial" w:cs="Arial" w:eastAsia="Arial" w:hAnsi="Arial"/>
                <w:sz w:val="14"/>
                <w:szCs w:val="14"/>
                <w:b w:val="1"/>
                <w:bCs w:val="1"/>
                <w:u w:val="single" w:color="auto"/>
                <w:color w:val="auto"/>
              </w:rPr>
              <w:t>Age</w:t>
            </w:r>
          </w:p>
        </w:tc>
        <w:tc>
          <w:tcPr>
            <w:tcW w:w="2240" w:type="dxa"/>
            <w:vAlign w:val="bottom"/>
          </w:tcPr>
          <w:p>
            <w:pPr>
              <w:jc w:val="center"/>
              <w:ind w:right="1372"/>
              <w:spacing w:after="0"/>
              <w:rPr>
                <w:sz w:val="20"/>
                <w:szCs w:val="20"/>
                <w:color w:val="auto"/>
              </w:rPr>
            </w:pPr>
            <w:r>
              <w:rPr>
                <w:rFonts w:ascii="Arial" w:cs="Arial" w:eastAsia="Arial" w:hAnsi="Arial"/>
                <w:sz w:val="14"/>
                <w:szCs w:val="14"/>
                <w:b w:val="1"/>
                <w:bCs w:val="1"/>
                <w:color w:val="auto"/>
                <w:w w:val="85"/>
              </w:rPr>
              <w:t>Since</w:t>
            </w:r>
          </w:p>
        </w:tc>
        <w:tc>
          <w:tcPr>
            <w:tcW w:w="23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339090</wp:posOffset>
            </wp:positionH>
            <wp:positionV relativeFrom="paragraph">
              <wp:posOffset>-7620</wp:posOffset>
            </wp:positionV>
            <wp:extent cx="463931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4639310" cy="8890"/>
                    </a:xfrm>
                    <a:prstGeom prst="rect">
                      <a:avLst/>
                    </a:prstGeom>
                    <a:noFill/>
                  </pic:spPr>
                </pic:pic>
              </a:graphicData>
            </a:graphic>
          </wp:anchor>
        </w:drawing>
      </w:r>
    </w:p>
    <w:p>
      <w:pPr>
        <w:ind w:left="1340" w:hanging="1293"/>
        <w:spacing w:after="0" w:line="281" w:lineRule="auto"/>
        <w:tabs>
          <w:tab w:leader="none" w:pos="678" w:val="left"/>
        </w:tabs>
        <w:numPr>
          <w:ilvl w:val="0"/>
          <w:numId w:val="36"/>
        </w:numPr>
        <w:rPr>
          <w:rFonts w:ascii="Arial" w:cs="Arial" w:eastAsia="Arial" w:hAnsi="Arial"/>
          <w:sz w:val="16"/>
          <w:szCs w:val="16"/>
          <w:color w:val="auto"/>
        </w:rPr>
      </w:pPr>
      <w:r>
        <w:rPr>
          <w:rFonts w:ascii="Arial" w:cs="Arial" w:eastAsia="Arial" w:hAnsi="Arial"/>
          <w:sz w:val="16"/>
          <w:szCs w:val="16"/>
          <w:color w:val="auto"/>
        </w:rPr>
        <w:t>1995 Dr. Sehat Sutardja, one of our co-founders, has served as our Chief Executive Officer and Chairman of our Board of Directors since 1995 (from 1995 to 2003 he was Co-Chairman of the Board of Directors). While remaining deeply involved in the daily challenges of running a global growth company, Dr. Sutardja participates heavily in our engineering and marketing efforts across analog, video processor, and microprocessor design while offering input across all of our other product lines. Dr. Sutardja is widely regarded as one of the pioneers of the modern semiconductor age. His breakthrough designs and guiding vision have revolutionized numerous industry segments, from data storage to the high-performance, low-power chips now driving the growing global markets for mobile computing and telephony. For his relentless innovation, he has been awarded more than 360 patents and has been named a Fellow of IEEE. In 2006,</w:t>
      </w:r>
    </w:p>
    <w:p>
      <w:pPr>
        <w:spacing w:after="0" w:line="5" w:lineRule="exact"/>
        <w:rPr>
          <w:rFonts w:ascii="Arial" w:cs="Arial" w:eastAsia="Arial" w:hAnsi="Arial"/>
          <w:sz w:val="16"/>
          <w:szCs w:val="16"/>
          <w:color w:val="auto"/>
        </w:rPr>
      </w:pPr>
    </w:p>
    <w:p>
      <w:pPr>
        <w:ind w:left="1340" w:right="240"/>
        <w:spacing w:after="0" w:line="250" w:lineRule="auto"/>
        <w:rPr>
          <w:rFonts w:ascii="Arial" w:cs="Arial" w:eastAsia="Arial" w:hAnsi="Arial"/>
          <w:sz w:val="16"/>
          <w:szCs w:val="16"/>
          <w:color w:val="auto"/>
        </w:rPr>
      </w:pPr>
      <w:r>
        <w:rPr>
          <w:rFonts w:ascii="Arial" w:cs="Arial" w:eastAsia="Arial" w:hAnsi="Arial"/>
          <w:sz w:val="18"/>
          <w:szCs w:val="18"/>
          <w:color w:val="auto"/>
        </w:rPr>
        <w:t>Dr. Sutardja was recognized as the Inventor of the Year by the Silicon Valley Intellectual Property Law Association.</w:t>
      </w:r>
    </w:p>
    <w:p>
      <w:pPr>
        <w:ind w:left="1340"/>
        <w:spacing w:after="0"/>
        <w:rPr>
          <w:rFonts w:ascii="Arial" w:cs="Arial" w:eastAsia="Arial" w:hAnsi="Arial"/>
          <w:sz w:val="16"/>
          <w:szCs w:val="16"/>
          <w:color w:val="auto"/>
        </w:rPr>
      </w:pPr>
      <w:r>
        <w:rPr>
          <w:rFonts w:ascii="Arial" w:cs="Arial" w:eastAsia="Arial" w:hAnsi="Arial"/>
          <w:sz w:val="18"/>
          <w:szCs w:val="18"/>
          <w:color w:val="auto"/>
        </w:rPr>
        <w:t>Dr. Sutardja also served as President from 2003 to June 2013.</w:t>
      </w:r>
    </w:p>
    <w:p>
      <w:pPr>
        <w:spacing w:after="0" w:line="9" w:lineRule="exact"/>
        <w:rPr>
          <w:rFonts w:ascii="Arial" w:cs="Arial" w:eastAsia="Arial" w:hAnsi="Arial"/>
          <w:sz w:val="16"/>
          <w:szCs w:val="16"/>
          <w:color w:val="auto"/>
        </w:rPr>
      </w:pPr>
    </w:p>
    <w:p>
      <w:pPr>
        <w:ind w:left="1340" w:right="40"/>
        <w:spacing w:after="0" w:line="302" w:lineRule="auto"/>
        <w:rPr>
          <w:rFonts w:ascii="Arial" w:cs="Arial" w:eastAsia="Arial" w:hAnsi="Arial"/>
          <w:sz w:val="16"/>
          <w:szCs w:val="16"/>
          <w:color w:val="auto"/>
        </w:rPr>
      </w:pPr>
      <w:r>
        <w:rPr>
          <w:rFonts w:ascii="Arial" w:cs="Arial" w:eastAsia="Arial" w:hAnsi="Arial"/>
          <w:sz w:val="16"/>
          <w:szCs w:val="16"/>
          <w:color w:val="auto"/>
        </w:rPr>
        <w:t>Dr. Sutardja holds an M.S. and Ph.D. in Electrical Engineering and Computer Science from the University of California at Berkeley. Dr. Sutardja received a B.S. in Electrical Engineering from Iowa State University. Dr. Sutardja is the husband of Ms. Weili Dai.</w:t>
      </w:r>
    </w:p>
    <w:p>
      <w:pPr>
        <w:spacing w:after="0" w:line="69" w:lineRule="exact"/>
        <w:rPr>
          <w:sz w:val="20"/>
          <w:szCs w:val="20"/>
          <w:color w:val="auto"/>
        </w:rPr>
      </w:pPr>
    </w:p>
    <w:p>
      <w:pPr>
        <w:ind w:left="1340" w:right="340" w:hanging="1293"/>
        <w:spacing w:after="0" w:line="254" w:lineRule="auto"/>
        <w:tabs>
          <w:tab w:leader="none" w:pos="678" w:val="left"/>
        </w:tabs>
        <w:numPr>
          <w:ilvl w:val="0"/>
          <w:numId w:val="37"/>
        </w:numPr>
        <w:rPr>
          <w:rFonts w:ascii="Arial" w:cs="Arial" w:eastAsia="Arial" w:hAnsi="Arial"/>
          <w:sz w:val="18"/>
          <w:szCs w:val="18"/>
          <w:color w:val="auto"/>
        </w:rPr>
      </w:pPr>
      <w:r>
        <w:rPr>
          <w:rFonts w:ascii="Arial" w:cs="Arial" w:eastAsia="Arial" w:hAnsi="Arial"/>
          <w:sz w:val="18"/>
          <w:szCs w:val="18"/>
          <w:color w:val="auto"/>
        </w:rPr>
        <w:t>2005 Arturo Krueger has served as a director since August 2005 and as our lead independent director since April 2009.</w:t>
      </w:r>
    </w:p>
    <w:p>
      <w:pPr>
        <w:ind w:left="1340"/>
        <w:spacing w:after="0" w:line="287" w:lineRule="auto"/>
        <w:rPr>
          <w:rFonts w:ascii="Arial" w:cs="Arial" w:eastAsia="Arial" w:hAnsi="Arial"/>
          <w:sz w:val="18"/>
          <w:szCs w:val="18"/>
          <w:color w:val="auto"/>
        </w:rPr>
      </w:pPr>
      <w:r>
        <w:rPr>
          <w:rFonts w:ascii="Arial" w:cs="Arial" w:eastAsia="Arial" w:hAnsi="Arial"/>
          <w:sz w:val="16"/>
          <w:szCs w:val="16"/>
          <w:color w:val="auto"/>
        </w:rPr>
        <w:t>Mr. Krueger has more than 40 years of experience in the international semiconductor industry and acquired a wealth of experience in complex systems architecture, semiconductor design and development, operations, and international marketing, as well as general management of a large company. From 1964 to 1966 Mr. Krueger was employed with Control Data Corporation (“CDC”) working on the CDC’s 6600 Super Computer. Afterward he joined Motorola SPS starting as Systems Engineer, moving up to international Design and R&amp;D Management, Marketing and Operations. Starting in 1996 Mr. Krueger served as the director of the sector wide “Advanced Architectural and Design Automation Lab.” Prior to his retirement in February</w:t>
      </w:r>
    </w:p>
    <w:p>
      <w:pPr>
        <w:spacing w:after="0" w:line="120" w:lineRule="exact"/>
        <w:rPr>
          <w:sz w:val="20"/>
          <w:szCs w:val="20"/>
          <w:color w:val="auto"/>
        </w:rPr>
      </w:pPr>
    </w:p>
    <w:p>
      <w:pPr>
        <w:ind w:left="2040"/>
        <w:spacing w:after="0"/>
        <w:rPr>
          <w:sz w:val="20"/>
          <w:szCs w:val="20"/>
          <w:color w:val="auto"/>
        </w:rPr>
      </w:pPr>
      <w:r>
        <w:rPr>
          <w:rFonts w:ascii="Arial" w:cs="Arial" w:eastAsia="Arial" w:hAnsi="Arial"/>
          <w:sz w:val="18"/>
          <w:szCs w:val="18"/>
          <w:color w:val="auto"/>
        </w:rPr>
        <w:t>-9-</w:t>
      </w:r>
    </w:p>
    <w:p>
      <w:pPr>
        <w:sectPr>
          <w:pgSz w:w="11900" w:h="16838" w:orient="portrait"/>
          <w:cols w:equalWidth="0" w:num="2">
            <w:col w:w="2860" w:space="720"/>
            <w:col w:w="7800"/>
          </w:cols>
          <w:pgMar w:left="240" w:top="459" w:right="279" w:bottom="1440" w:gutter="0" w:footer="0" w:header="0"/>
          <w:type w:val="continuous"/>
        </w:sectPr>
      </w:pPr>
    </w:p>
    <w:bookmarkStart w:id="14" w:name="page15"/>
    <w:bookmarkEnd w:id="14"/>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420"/>
          </w:cols>
          <w:pgMar w:left="240" w:top="459" w:right="239" w:bottom="1440" w:gutter="0" w:footer="0" w:header="0"/>
        </w:sect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 of Nominee</w:t>
            </w:r>
          </w:p>
        </w:tc>
        <w:tc>
          <w:tcPr>
            <w:tcW w:w="2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9"/>
              </w:rPr>
              <w:t>Director</w:t>
            </w:r>
          </w:p>
        </w:tc>
        <w:tc>
          <w:tcPr>
            <w:tcW w:w="0" w:type="dxa"/>
            <w:vAlign w:val="bottom"/>
          </w:tcPr>
          <w:p>
            <w:pPr>
              <w:spacing w:after="0"/>
              <w:rPr>
                <w:sz w:val="1"/>
                <w:szCs w:val="1"/>
                <w:color w:val="auto"/>
              </w:rPr>
            </w:pPr>
          </w:p>
        </w:tc>
      </w:tr>
      <w:tr>
        <w:trPr>
          <w:trHeight w:val="148"/>
        </w:trPr>
        <w:tc>
          <w:tcPr>
            <w:tcW w:w="1080" w:type="dxa"/>
            <w:vAlign w:val="bottom"/>
            <w:vMerge w:val="continue"/>
          </w:tcPr>
          <w:p>
            <w:pPr>
              <w:spacing w:after="0"/>
              <w:rPr>
                <w:sz w:val="12"/>
                <w:szCs w:val="12"/>
                <w:color w:val="auto"/>
              </w:rPr>
            </w:pPr>
          </w:p>
        </w:tc>
        <w:tc>
          <w:tcPr>
            <w:tcW w:w="2500" w:type="dxa"/>
            <w:vAlign w:val="bottom"/>
          </w:tcPr>
          <w:p>
            <w:pPr>
              <w:spacing w:after="0"/>
              <w:rPr>
                <w:sz w:val="12"/>
                <w:szCs w:val="12"/>
                <w:color w:val="auto"/>
              </w:rPr>
            </w:pPr>
          </w:p>
        </w:tc>
        <w:tc>
          <w:tcPr>
            <w:tcW w:w="54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Age</w:t>
            </w:r>
          </w:p>
        </w:tc>
        <w:tc>
          <w:tcPr>
            <w:tcW w:w="4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Since</w:t>
            </w:r>
          </w:p>
        </w:tc>
        <w:tc>
          <w:tcPr>
            <w:tcW w:w="0" w:type="dxa"/>
            <w:vAlign w:val="bottom"/>
          </w:tcPr>
          <w:p>
            <w:pPr>
              <w:spacing w:after="0"/>
              <w:rPr>
                <w:sz w:val="1"/>
                <w:szCs w:val="1"/>
                <w:color w:val="auto"/>
              </w:rPr>
            </w:pPr>
          </w:p>
        </w:tc>
      </w:tr>
      <w:tr>
        <w:trPr>
          <w:trHeight w:val="27"/>
        </w:trPr>
        <w:tc>
          <w:tcPr>
            <w:tcW w:w="1080" w:type="dxa"/>
            <w:vAlign w:val="bottom"/>
            <w:shd w:val="clear" w:color="auto" w:fill="000000"/>
          </w:tcPr>
          <w:p>
            <w:pPr>
              <w:spacing w:after="0"/>
              <w:rPr>
                <w:sz w:val="2"/>
                <w:szCs w:val="2"/>
                <w:color w:val="auto"/>
              </w:rPr>
            </w:pPr>
          </w:p>
        </w:tc>
        <w:tc>
          <w:tcPr>
            <w:tcW w:w="250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9"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Background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8890</wp:posOffset>
            </wp:positionV>
            <wp:extent cx="413385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4133850" cy="8890"/>
                    </a:xfrm>
                    <a:prstGeom prst="rect">
                      <a:avLst/>
                    </a:prstGeom>
                    <a:noFill/>
                  </pic:spPr>
                </pic:pic>
              </a:graphicData>
            </a:graphic>
          </wp:anchor>
        </w:drawing>
      </w:r>
    </w:p>
    <w:p>
      <w:pPr>
        <w:spacing w:after="0" w:line="94"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2001, Mr. Krueger was promoted to Corporate Vice President and General Manager of Motorola Corporation’s Semiconductor Products Sector for Europe, Middle East and Africa. Since his retirement in February 2001, Mr. Krueger has been a consultant to automobile manufacturers and to semiconductor companies serving the automotive and telecommunication markets and serves on several advisory boards. Mr. Krueger brings a deep understanding of the modern semiconductor industry, the complex world of microelectronic systems design and architectures, and the financial aspects of running a large company. Mr. Krueger also brings considerable directorial and governance experience to our board of directors, as he is currently serving on the board of QuickLogic Corporation, a semiconductor company. Mr. Krueger holds a MS in Electrical Engineering from the Institute of Technology in Switzerland and has studied Advanced Computer Science at the University of Minnesota</w:t>
      </w:r>
    </w:p>
    <w:p>
      <w:pPr>
        <w:spacing w:after="0" w:line="70" w:lineRule="exact"/>
        <w:rPr>
          <w:sz w:val="20"/>
          <w:szCs w:val="20"/>
          <w:color w:val="auto"/>
        </w:rPr>
      </w:pPr>
    </w:p>
    <w:p>
      <w:pPr>
        <w:sectPr>
          <w:pgSz w:w="11900" w:h="16838" w:orient="portrait"/>
          <w:cols w:equalWidth="0" w:num="2">
            <w:col w:w="4600" w:space="320"/>
            <w:col w:w="6500"/>
          </w:cols>
          <w:pgMar w:left="240" w:top="459" w:right="239" w:bottom="1440" w:gutter="0" w:footer="0" w:header="0"/>
          <w:type w:val="continuous"/>
        </w:sectPr>
      </w:pPr>
    </w:p>
    <w:tbl>
      <w:tblPr>
        <w:tblLayout w:type="fixed"/>
        <w:tblInd w:w="0" w:type="dxa"/>
        <w:tblCellMar>
          <w:top w:w="0" w:type="dxa"/>
          <w:left w:w="0" w:type="dxa"/>
          <w:bottom w:w="0" w:type="dxa"/>
          <w:right w:w="0" w:type="dxa"/>
        </w:tblCellMar>
      </w:tblPr>
      <w:tr>
        <w:trPr>
          <w:trHeight w:val="216"/>
        </w:trPr>
        <w:tc>
          <w:tcPr>
            <w:tcW w:w="3040" w:type="dxa"/>
            <w:vAlign w:val="bottom"/>
          </w:tcPr>
          <w:p>
            <w:pPr>
              <w:spacing w:after="0"/>
              <w:rPr>
                <w:sz w:val="20"/>
                <w:szCs w:val="20"/>
                <w:color w:val="auto"/>
              </w:rPr>
            </w:pPr>
            <w:r>
              <w:rPr>
                <w:rFonts w:ascii="Arial" w:cs="Arial" w:eastAsia="Arial" w:hAnsi="Arial"/>
                <w:sz w:val="18"/>
                <w:szCs w:val="18"/>
                <w:color w:val="auto"/>
              </w:rPr>
              <w:t>Juergen Gromer, Ph.D. (1)(2)(3)</w:t>
            </w:r>
          </w:p>
        </w:tc>
        <w:tc>
          <w:tcPr>
            <w:tcW w:w="980" w:type="dxa"/>
            <w:vAlign w:val="bottom"/>
          </w:tcPr>
          <w:p>
            <w:pPr>
              <w:jc w:val="right"/>
              <w:ind w:right="132"/>
              <w:spacing w:after="0"/>
              <w:rPr>
                <w:sz w:val="20"/>
                <w:szCs w:val="20"/>
                <w:color w:val="auto"/>
              </w:rPr>
            </w:pPr>
            <w:r>
              <w:rPr>
                <w:rFonts w:ascii="Arial" w:cs="Arial" w:eastAsia="Arial" w:hAnsi="Arial"/>
                <w:sz w:val="18"/>
                <w:szCs w:val="18"/>
                <w:color w:val="auto"/>
              </w:rPr>
              <w:t>69</w:t>
            </w:r>
          </w:p>
        </w:tc>
        <w:tc>
          <w:tcPr>
            <w:tcW w:w="740" w:type="dxa"/>
            <w:vAlign w:val="bottom"/>
          </w:tcPr>
          <w:p>
            <w:pPr>
              <w:jc w:val="right"/>
              <w:ind w:right="72"/>
              <w:spacing w:after="0"/>
              <w:rPr>
                <w:sz w:val="20"/>
                <w:szCs w:val="20"/>
                <w:color w:val="auto"/>
              </w:rPr>
            </w:pPr>
            <w:r>
              <w:rPr>
                <w:rFonts w:ascii="Arial" w:cs="Arial" w:eastAsia="Arial" w:hAnsi="Arial"/>
                <w:sz w:val="18"/>
                <w:szCs w:val="18"/>
                <w:color w:val="auto"/>
              </w:rPr>
              <w:t>2007</w:t>
            </w:r>
          </w:p>
        </w:tc>
        <w:tc>
          <w:tcPr>
            <w:tcW w:w="6660" w:type="dxa"/>
            <w:vAlign w:val="bottom"/>
          </w:tcPr>
          <w:p>
            <w:pPr>
              <w:ind w:left="160"/>
              <w:spacing w:after="0"/>
              <w:rPr>
                <w:sz w:val="20"/>
                <w:szCs w:val="20"/>
                <w:color w:val="auto"/>
              </w:rPr>
            </w:pPr>
            <w:r>
              <w:rPr>
                <w:rFonts w:ascii="Arial" w:cs="Arial" w:eastAsia="Arial" w:hAnsi="Arial"/>
                <w:sz w:val="18"/>
                <w:szCs w:val="18"/>
                <w:color w:val="auto"/>
                <w:w w:val="89"/>
              </w:rPr>
              <w:t>Dr. Juergen Gromer has served as a director since October 2007. Dr. Gromer is the retired</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1"/>
              </w:rPr>
              <w:t>President of Tyco Electronics Ltd., an electronics company, a position which he held from</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8"/>
              </w:rPr>
              <w:t>April 1999 until December 31, 2007. Dr. Gromer formerly held senior management</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7"/>
              </w:rPr>
              <w:t>positions from 1983 to 1998 at AMP Incorporated (acquired by Tyco International in</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0"/>
              </w:rPr>
              <w:t>April 1999) including Senior Vice President of Worldwide Sales and Services, President of</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89"/>
              </w:rPr>
              <w:t>the Global Automotive Division, Vice President of Central and Eastern Europe and General</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89"/>
              </w:rPr>
              <w:t>Manager of AMP. Dr. Gromer has over 20 years of AMP and Tyco Electronics’ experience,</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2"/>
              </w:rPr>
              <w:t>serving in a wide variety of regional and global assignments, which allows Dr. Gromer to</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0"/>
              </w:rPr>
              <w:t>provide important perspectives on issues facing a technology company. Dr. Gromer brings</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87"/>
              </w:rPr>
              <w:t>considerable directorial, financial, governance and global leadership experience to our board</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2"/>
              </w:rPr>
              <w:t>of directors, as he is currently serving on the boards of Tyco Electronics Ltd. (now called</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3"/>
              </w:rPr>
              <w:t>TE Connectivity Ltd.) and WABCO Holdings Inc., and previously served as a director of</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5"/>
              </w:rPr>
              <w:t>RWE Rhein Ruhr from 2000 to 2009. Dr. Gromer is also Chairman of the Board of the</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3"/>
              </w:rPr>
              <w:t>Society of Economic Development of the District Bergstrasse/Hessen, a member of the</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90"/>
              </w:rPr>
              <w:t>Advisory Board of Commerzbank and a director of the Board of the American Chamber of</w:t>
            </w:r>
          </w:p>
        </w:tc>
      </w:tr>
      <w:tr>
        <w:trPr>
          <w:trHeight w:val="216"/>
        </w:trPr>
        <w:tc>
          <w:tcPr>
            <w:tcW w:w="30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87"/>
              </w:rPr>
              <w:t>Commerce in Germany. Dr. Gromer received his undergraduate degree and Ph.D. in Physics</w:t>
            </w:r>
          </w:p>
        </w:tc>
      </w:tr>
      <w:tr>
        <w:trPr>
          <w:trHeight w:val="222"/>
        </w:trPr>
        <w:tc>
          <w:tcPr>
            <w:tcW w:w="30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rPr>
              <w:t>from the University of Stuttgart, Germany.</w:t>
            </w:r>
          </w:p>
        </w:tc>
      </w:tr>
      <w:tr>
        <w:trPr>
          <w:trHeight w:val="318"/>
        </w:trPr>
        <w:tc>
          <w:tcPr>
            <w:tcW w:w="3040" w:type="dxa"/>
            <w:vAlign w:val="bottom"/>
          </w:tcPr>
          <w:p>
            <w:pPr>
              <w:spacing w:after="0"/>
              <w:rPr>
                <w:sz w:val="20"/>
                <w:szCs w:val="20"/>
                <w:color w:val="auto"/>
              </w:rPr>
            </w:pPr>
            <w:r>
              <w:rPr>
                <w:rFonts w:ascii="Arial" w:cs="Arial" w:eastAsia="Arial" w:hAnsi="Arial"/>
                <w:sz w:val="18"/>
                <w:szCs w:val="18"/>
                <w:color w:val="auto"/>
              </w:rPr>
              <w:t>John G. Kassakian, Sc.D. (1)(2)(3)</w:t>
            </w:r>
          </w:p>
        </w:tc>
        <w:tc>
          <w:tcPr>
            <w:tcW w:w="980" w:type="dxa"/>
            <w:vAlign w:val="bottom"/>
          </w:tcPr>
          <w:p>
            <w:pPr>
              <w:jc w:val="right"/>
              <w:ind w:right="132"/>
              <w:spacing w:after="0"/>
              <w:rPr>
                <w:sz w:val="20"/>
                <w:szCs w:val="20"/>
                <w:color w:val="auto"/>
              </w:rPr>
            </w:pPr>
            <w:r>
              <w:rPr>
                <w:rFonts w:ascii="Arial" w:cs="Arial" w:eastAsia="Arial" w:hAnsi="Arial"/>
                <w:sz w:val="18"/>
                <w:szCs w:val="18"/>
                <w:color w:val="auto"/>
              </w:rPr>
              <w:t>71</w:t>
            </w:r>
          </w:p>
        </w:tc>
        <w:tc>
          <w:tcPr>
            <w:tcW w:w="740" w:type="dxa"/>
            <w:vAlign w:val="bottom"/>
          </w:tcPr>
          <w:p>
            <w:pPr>
              <w:jc w:val="right"/>
              <w:ind w:right="72"/>
              <w:spacing w:after="0"/>
              <w:rPr>
                <w:sz w:val="20"/>
                <w:szCs w:val="20"/>
                <w:color w:val="auto"/>
              </w:rPr>
            </w:pPr>
            <w:r>
              <w:rPr>
                <w:rFonts w:ascii="Arial" w:cs="Arial" w:eastAsia="Arial" w:hAnsi="Arial"/>
                <w:sz w:val="18"/>
                <w:szCs w:val="18"/>
                <w:color w:val="auto"/>
              </w:rPr>
              <w:t>2008</w:t>
            </w:r>
          </w:p>
        </w:tc>
        <w:tc>
          <w:tcPr>
            <w:tcW w:w="6660" w:type="dxa"/>
            <w:vAlign w:val="bottom"/>
          </w:tcPr>
          <w:p>
            <w:pPr>
              <w:ind w:left="160"/>
              <w:spacing w:after="0"/>
              <w:rPr>
                <w:sz w:val="20"/>
                <w:szCs w:val="20"/>
                <w:color w:val="auto"/>
              </w:rPr>
            </w:pPr>
            <w:r>
              <w:rPr>
                <w:rFonts w:ascii="Arial" w:cs="Arial" w:eastAsia="Arial" w:hAnsi="Arial"/>
                <w:sz w:val="18"/>
                <w:szCs w:val="18"/>
                <w:color w:val="auto"/>
                <w:w w:val="89"/>
              </w:rPr>
              <w:t>Dr. John G. Kassakian has served as a director since July 2008. Dr. Kassakian has been a</w:t>
            </w:r>
          </w:p>
        </w:tc>
      </w:tr>
      <w:tr>
        <w:trPr>
          <w:trHeight w:val="222"/>
        </w:trPr>
        <w:tc>
          <w:tcPr>
            <w:tcW w:w="30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660" w:type="dxa"/>
            <w:vAlign w:val="bottom"/>
          </w:tcPr>
          <w:p>
            <w:pPr>
              <w:ind w:left="160"/>
              <w:spacing w:after="0"/>
              <w:rPr>
                <w:sz w:val="20"/>
                <w:szCs w:val="20"/>
                <w:color w:val="auto"/>
              </w:rPr>
            </w:pPr>
            <w:r>
              <w:rPr>
                <w:rFonts w:ascii="Arial" w:cs="Arial" w:eastAsia="Arial" w:hAnsi="Arial"/>
                <w:sz w:val="18"/>
                <w:szCs w:val="18"/>
                <w:color w:val="auto"/>
                <w:w w:val="88"/>
              </w:rPr>
              <w:t>member of the faculty of Electrical Engineering and Computer Science at the Massachusetts</w:t>
            </w:r>
          </w:p>
        </w:tc>
      </w:tr>
    </w:tbl>
    <w:p>
      <w:pPr>
        <w:ind w:left="4920" w:right="720"/>
        <w:spacing w:after="0" w:line="261" w:lineRule="auto"/>
        <w:rPr>
          <w:sz w:val="20"/>
          <w:szCs w:val="20"/>
          <w:color w:val="auto"/>
        </w:rPr>
      </w:pPr>
      <w:r>
        <w:rPr>
          <w:rFonts w:ascii="Arial" w:cs="Arial" w:eastAsia="Arial" w:hAnsi="Arial"/>
          <w:sz w:val="18"/>
          <w:szCs w:val="18"/>
          <w:color w:val="auto"/>
        </w:rPr>
        <w:t>Institute of Technology (“MIT”) since 1973 and has served as Director of the MIT Laboratory for</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type w:val="continuous"/>
        </w:sectPr>
      </w:pPr>
    </w:p>
    <w:bookmarkStart w:id="15" w:name="page16"/>
    <w:bookmarkEnd w:id="15"/>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420"/>
          </w:cols>
          <w:pgMar w:left="240" w:top="459" w:right="239" w:bottom="1440" w:gutter="0" w:footer="0" w:header="0"/>
        </w:sect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 of Nominee</w:t>
            </w:r>
          </w:p>
        </w:tc>
        <w:tc>
          <w:tcPr>
            <w:tcW w:w="2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9"/>
              </w:rPr>
              <w:t>Director</w:t>
            </w:r>
          </w:p>
        </w:tc>
        <w:tc>
          <w:tcPr>
            <w:tcW w:w="0" w:type="dxa"/>
            <w:vAlign w:val="bottom"/>
          </w:tcPr>
          <w:p>
            <w:pPr>
              <w:spacing w:after="0"/>
              <w:rPr>
                <w:sz w:val="1"/>
                <w:szCs w:val="1"/>
                <w:color w:val="auto"/>
              </w:rPr>
            </w:pPr>
          </w:p>
        </w:tc>
      </w:tr>
      <w:tr>
        <w:trPr>
          <w:trHeight w:val="148"/>
        </w:trPr>
        <w:tc>
          <w:tcPr>
            <w:tcW w:w="1080" w:type="dxa"/>
            <w:vAlign w:val="bottom"/>
            <w:vMerge w:val="continue"/>
          </w:tcPr>
          <w:p>
            <w:pPr>
              <w:spacing w:after="0"/>
              <w:rPr>
                <w:sz w:val="12"/>
                <w:szCs w:val="12"/>
                <w:color w:val="auto"/>
              </w:rPr>
            </w:pPr>
          </w:p>
        </w:tc>
        <w:tc>
          <w:tcPr>
            <w:tcW w:w="2500" w:type="dxa"/>
            <w:vAlign w:val="bottom"/>
          </w:tcPr>
          <w:p>
            <w:pPr>
              <w:spacing w:after="0"/>
              <w:rPr>
                <w:sz w:val="12"/>
                <w:szCs w:val="12"/>
                <w:color w:val="auto"/>
              </w:rPr>
            </w:pPr>
          </w:p>
        </w:tc>
        <w:tc>
          <w:tcPr>
            <w:tcW w:w="54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Age</w:t>
            </w:r>
          </w:p>
        </w:tc>
        <w:tc>
          <w:tcPr>
            <w:tcW w:w="4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Since</w:t>
            </w:r>
          </w:p>
        </w:tc>
        <w:tc>
          <w:tcPr>
            <w:tcW w:w="0" w:type="dxa"/>
            <w:vAlign w:val="bottom"/>
          </w:tcPr>
          <w:p>
            <w:pPr>
              <w:spacing w:after="0"/>
              <w:rPr>
                <w:sz w:val="1"/>
                <w:szCs w:val="1"/>
                <w:color w:val="auto"/>
              </w:rPr>
            </w:pPr>
          </w:p>
        </w:tc>
      </w:tr>
      <w:tr>
        <w:trPr>
          <w:trHeight w:val="27"/>
        </w:trPr>
        <w:tc>
          <w:tcPr>
            <w:tcW w:w="1080" w:type="dxa"/>
            <w:vAlign w:val="bottom"/>
            <w:shd w:val="clear" w:color="auto" w:fill="000000"/>
          </w:tcPr>
          <w:p>
            <w:pPr>
              <w:spacing w:after="0"/>
              <w:rPr>
                <w:sz w:val="2"/>
                <w:szCs w:val="2"/>
                <w:color w:val="auto"/>
              </w:rPr>
            </w:pPr>
          </w:p>
        </w:tc>
        <w:tc>
          <w:tcPr>
            <w:tcW w:w="250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9"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Background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8890</wp:posOffset>
            </wp:positionV>
            <wp:extent cx="413385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4133850" cy="8890"/>
                    </a:xfrm>
                    <a:prstGeom prst="rect">
                      <a:avLst/>
                    </a:prstGeom>
                    <a:noFill/>
                  </pic:spPr>
                </pic:pic>
              </a:graphicData>
            </a:graphic>
          </wp:anchor>
        </w:drawing>
      </w:r>
    </w:p>
    <w:p>
      <w:pPr>
        <w:spacing w:after="0" w:line="94"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Electromagnetic and Electronic Systems from 1991 to 2009. Dr. Kassakian is the founding President of the IEEE Power Electronics Society, a member of the National Academy of Engineering, and is the recipient of the IEEE Centennial Medal, the IEEE William E. Newell Award, the IEEE Power Electronics Society’s Distinguished Service Award and the IEEE Millennium Medal. Dr. Kassakian’s expertise in the semiconductor field and academic experience related to the technology sector makes Dr. Kassakian a valuable contributor to our board of directors. Dr. Kassakian holds S.B., S.M., E.E. and Sc.D. degrees from MIT.</w:t>
      </w:r>
    </w:p>
    <w:p>
      <w:pPr>
        <w:spacing w:after="0" w:line="64" w:lineRule="exact"/>
        <w:rPr>
          <w:sz w:val="20"/>
          <w:szCs w:val="20"/>
          <w:color w:val="auto"/>
        </w:rPr>
      </w:pPr>
    </w:p>
    <w:p>
      <w:pPr>
        <w:sectPr>
          <w:pgSz w:w="11900" w:h="16838" w:orient="portrait"/>
          <w:cols w:equalWidth="0" w:num="2">
            <w:col w:w="4600" w:space="320"/>
            <w:col w:w="6500"/>
          </w:cols>
          <w:pgMar w:left="240" w:top="459" w:right="239" w:bottom="1440" w:gutter="0" w:footer="0" w:header="0"/>
          <w:type w:val="continuous"/>
        </w:sectPr>
      </w:pPr>
    </w:p>
    <w:tbl>
      <w:tblPr>
        <w:tblLayout w:type="fixed"/>
        <w:tblInd w:w="0" w:type="dxa"/>
        <w:tblCellMar>
          <w:top w:w="0" w:type="dxa"/>
          <w:left w:w="0" w:type="dxa"/>
          <w:bottom w:w="0" w:type="dxa"/>
          <w:right w:w="0" w:type="dxa"/>
        </w:tblCellMar>
      </w:tblPr>
      <w:tr>
        <w:trPr>
          <w:trHeight w:val="216"/>
        </w:trPr>
        <w:tc>
          <w:tcPr>
            <w:tcW w:w="2840" w:type="dxa"/>
            <w:vAlign w:val="bottom"/>
          </w:tcPr>
          <w:p>
            <w:pPr>
              <w:spacing w:after="0"/>
              <w:rPr>
                <w:sz w:val="20"/>
                <w:szCs w:val="20"/>
                <w:color w:val="auto"/>
              </w:rPr>
            </w:pPr>
            <w:r>
              <w:rPr>
                <w:rFonts w:ascii="Arial" w:cs="Arial" w:eastAsia="Arial" w:hAnsi="Arial"/>
                <w:sz w:val="18"/>
                <w:szCs w:val="18"/>
                <w:color w:val="auto"/>
              </w:rPr>
              <w:t>Dr. Randhir Thakur (1)(2)(3)</w:t>
            </w:r>
          </w:p>
        </w:tc>
        <w:tc>
          <w:tcPr>
            <w:tcW w:w="1180" w:type="dxa"/>
            <w:vAlign w:val="bottom"/>
          </w:tcPr>
          <w:p>
            <w:pPr>
              <w:jc w:val="right"/>
              <w:ind w:right="132"/>
              <w:spacing w:after="0"/>
              <w:rPr>
                <w:sz w:val="20"/>
                <w:szCs w:val="20"/>
                <w:color w:val="auto"/>
              </w:rPr>
            </w:pPr>
            <w:r>
              <w:rPr>
                <w:rFonts w:ascii="Arial" w:cs="Arial" w:eastAsia="Arial" w:hAnsi="Arial"/>
                <w:sz w:val="18"/>
                <w:szCs w:val="18"/>
                <w:color w:val="auto"/>
              </w:rPr>
              <w:t>51</w:t>
            </w:r>
          </w:p>
        </w:tc>
        <w:tc>
          <w:tcPr>
            <w:tcW w:w="740" w:type="dxa"/>
            <w:vAlign w:val="bottom"/>
          </w:tcPr>
          <w:p>
            <w:pPr>
              <w:jc w:val="right"/>
              <w:ind w:right="72"/>
              <w:spacing w:after="0"/>
              <w:rPr>
                <w:sz w:val="20"/>
                <w:szCs w:val="20"/>
                <w:color w:val="auto"/>
              </w:rPr>
            </w:pPr>
            <w:r>
              <w:rPr>
                <w:rFonts w:ascii="Arial" w:cs="Arial" w:eastAsia="Arial" w:hAnsi="Arial"/>
                <w:sz w:val="18"/>
                <w:szCs w:val="18"/>
                <w:color w:val="auto"/>
              </w:rPr>
              <w:t>2012</w:t>
            </w:r>
          </w:p>
        </w:tc>
        <w:tc>
          <w:tcPr>
            <w:tcW w:w="6640" w:type="dxa"/>
            <w:vAlign w:val="bottom"/>
          </w:tcPr>
          <w:p>
            <w:pPr>
              <w:ind w:left="160"/>
              <w:spacing w:after="0"/>
              <w:rPr>
                <w:sz w:val="20"/>
                <w:szCs w:val="20"/>
                <w:color w:val="auto"/>
              </w:rPr>
            </w:pPr>
            <w:r>
              <w:rPr>
                <w:rFonts w:ascii="Arial" w:cs="Arial" w:eastAsia="Arial" w:hAnsi="Arial"/>
                <w:sz w:val="18"/>
                <w:szCs w:val="18"/>
                <w:color w:val="auto"/>
                <w:w w:val="88"/>
              </w:rPr>
              <w:t>Dr. Randhir Thakur is executive vice president and general manager of the Silicon Systems</w:t>
            </w:r>
          </w:p>
        </w:tc>
      </w:tr>
      <w:tr>
        <w:trPr>
          <w:trHeight w:val="216"/>
        </w:trPr>
        <w:tc>
          <w:tcPr>
            <w:tcW w:w="28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40" w:type="dxa"/>
            <w:vAlign w:val="bottom"/>
          </w:tcPr>
          <w:p>
            <w:pPr>
              <w:ind w:left="160"/>
              <w:spacing w:after="0"/>
              <w:rPr>
                <w:sz w:val="20"/>
                <w:szCs w:val="20"/>
                <w:color w:val="auto"/>
              </w:rPr>
            </w:pPr>
            <w:r>
              <w:rPr>
                <w:rFonts w:ascii="Arial" w:cs="Arial" w:eastAsia="Arial" w:hAnsi="Arial"/>
                <w:sz w:val="18"/>
                <w:szCs w:val="18"/>
                <w:color w:val="auto"/>
                <w:w w:val="94"/>
              </w:rPr>
              <w:t>Group at Applied Materials, Inc., which comprises the entire portfolio of semiconductor</w:t>
            </w:r>
          </w:p>
        </w:tc>
      </w:tr>
      <w:tr>
        <w:trPr>
          <w:trHeight w:val="222"/>
        </w:trPr>
        <w:tc>
          <w:tcPr>
            <w:tcW w:w="28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640" w:type="dxa"/>
            <w:vAlign w:val="bottom"/>
          </w:tcPr>
          <w:p>
            <w:pPr>
              <w:ind w:left="160"/>
              <w:spacing w:after="0"/>
              <w:rPr>
                <w:sz w:val="20"/>
                <w:szCs w:val="20"/>
                <w:color w:val="auto"/>
              </w:rPr>
            </w:pPr>
            <w:r>
              <w:rPr>
                <w:rFonts w:ascii="Arial" w:cs="Arial" w:eastAsia="Arial" w:hAnsi="Arial"/>
                <w:sz w:val="18"/>
                <w:szCs w:val="18"/>
                <w:color w:val="auto"/>
                <w:w w:val="87"/>
              </w:rPr>
              <w:t>manufacturing systems at Applied Materials. He has served as a director since June 2012. In</w:t>
            </w:r>
          </w:p>
        </w:tc>
      </w:tr>
    </w:tbl>
    <w:p>
      <w:pPr>
        <w:ind w:left="4920" w:right="40"/>
        <w:spacing w:after="0" w:line="283" w:lineRule="auto"/>
        <w:rPr>
          <w:sz w:val="20"/>
          <w:szCs w:val="20"/>
          <w:color w:val="auto"/>
        </w:rPr>
      </w:pPr>
      <w:r>
        <w:rPr>
          <w:rFonts w:ascii="Arial" w:cs="Arial" w:eastAsia="Arial" w:hAnsi="Arial"/>
          <w:sz w:val="16"/>
          <w:szCs w:val="16"/>
          <w:color w:val="auto"/>
        </w:rPr>
        <w:t>this role, Dr. Thakur is responsible for strengthening Applied Materials’ leadership in its core wafer fabrication equipment markets. Since rejoining Applied Materials in May 2008, Dr. Thakur has served in various executive positions, including senior vice president and general manager of the Display and Thin Film Solar group, where he led the business offering manufacturing systems for flat panel displays, and Applied Materials’ thin film solar products. From 2005 to May 2008, Dr. Thakur worked at SanDisk Corporation, a supplier of innovative flash memory data storage products, where he served as executive vice president of Technology and Fab Operations and head of Worldwide Operations. From 2000 to 2005, Dr. Thakur held a series of progressively advancing executive roles within various semiconductor product groups at Applied Materials, including group vice president and general manager of Front End Products. Prior to joining Applied Materials in 2000, Dr. Thakur served as chief technology officer and general manager at Steag Electronic Systems, and vice president of Research Development and Technology at AG Associates, and held various technical leadership positions at Micron Technology. Dr. Thakur brings a wealth of experience in the semiconductor and consumer electronics industry, while helping to grow new markets and new products. We believe with his past and current experience in managing a large customer-focused and innovation-driven organization and various aspects of operations management and manufacturing, Dr. Thakur is well suited to serve on our board of directors. Dr. Thakur holds a BS with honors in Electronics and Telecommunications Engineering from the National Institute of Technology, Kurukshetra, India, a MS in Electrical Engineering from the University of Saskatchewan, Canada and a Ph.D. in Electrical Engineering from the University of Oklahoma. Dr. Thakur holds close to 300 patents and has published more than 200 papers.</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type w:val="continuous"/>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hanging="452"/>
        <w:spacing w:after="0"/>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Member of the nominating and governance committee.</w:t>
      </w:r>
    </w:p>
    <w:p>
      <w:pPr>
        <w:spacing w:after="0" w:line="15" w:lineRule="exact"/>
        <w:rPr>
          <w:rFonts w:ascii="Arial" w:cs="Arial" w:eastAsia="Arial" w:hAnsi="Arial"/>
          <w:sz w:val="18"/>
          <w:szCs w:val="18"/>
          <w:color w:val="auto"/>
        </w:rPr>
      </w:pPr>
    </w:p>
    <w:p>
      <w:pPr>
        <w:ind w:left="460" w:hanging="452"/>
        <w:spacing w:after="0"/>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Member of the ECC.</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Lead independent director.</w:t>
      </w:r>
    </w:p>
    <w:p>
      <w:pPr>
        <w:spacing w:after="0" w:line="164"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Except as noted above, there are no family relationships among any of our directors, nominees for director and executive officers.</w:t>
      </w:r>
    </w:p>
    <w:p>
      <w:pPr>
        <w:spacing w:after="0" w:line="246" w:lineRule="exact"/>
        <w:rPr>
          <w:sz w:val="20"/>
          <w:szCs w:val="20"/>
          <w:color w:val="auto"/>
        </w:rPr>
      </w:pPr>
    </w:p>
    <w:p>
      <w:pPr>
        <w:ind w:right="520"/>
        <w:spacing w:after="0" w:line="275" w:lineRule="auto"/>
        <w:rPr>
          <w:sz w:val="20"/>
          <w:szCs w:val="20"/>
          <w:color w:val="auto"/>
        </w:rPr>
      </w:pPr>
      <w:r>
        <w:rPr>
          <w:rFonts w:ascii="Arial" w:cs="Arial" w:eastAsia="Arial" w:hAnsi="Arial"/>
          <w:sz w:val="18"/>
          <w:szCs w:val="18"/>
          <w:b w:val="1"/>
          <w:bCs w:val="1"/>
          <w:color w:val="auto"/>
        </w:rPr>
        <w:t>Corporate Governance Guidelines and Practices, Board Leadership Structure, Risk Management, Meetings, Independence and Compensation of Directors</w:t>
      </w:r>
    </w:p>
    <w:p>
      <w:pPr>
        <w:spacing w:after="0" w:line="4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Guidelines and Practices</w:t>
      </w:r>
    </w:p>
    <w:p>
      <w:pPr>
        <w:spacing w:after="0" w:line="90" w:lineRule="exact"/>
        <w:rPr>
          <w:sz w:val="20"/>
          <w:szCs w:val="20"/>
          <w:color w:val="auto"/>
        </w:rPr>
      </w:pPr>
    </w:p>
    <w:p>
      <w:pPr>
        <w:ind w:right="240" w:firstLine="456"/>
        <w:spacing w:after="0" w:line="335" w:lineRule="auto"/>
        <w:rPr>
          <w:sz w:val="20"/>
          <w:szCs w:val="20"/>
          <w:color w:val="auto"/>
        </w:rPr>
      </w:pPr>
      <w:r>
        <w:rPr>
          <w:rFonts w:ascii="Arial" w:cs="Arial" w:eastAsia="Arial" w:hAnsi="Arial"/>
          <w:sz w:val="15"/>
          <w:szCs w:val="15"/>
          <w:color w:val="auto"/>
        </w:rPr>
        <w:t xml:space="preserve">Our board of directors has adopted a set of corporate governance guidelines and practices to establish a framework within which it will conduct its business. The corporate governance guidelines and practices can be found on our website at </w:t>
      </w:r>
      <w:r>
        <w:rPr>
          <w:rFonts w:ascii="Arial" w:cs="Arial" w:eastAsia="Arial" w:hAnsi="Arial"/>
          <w:sz w:val="15"/>
          <w:szCs w:val="15"/>
          <w:i w:val="1"/>
          <w:iCs w:val="1"/>
          <w:color w:val="auto"/>
        </w:rPr>
        <w:t>www.marvell.com/investors/governance.jsp</w:t>
      </w:r>
      <w:r>
        <w:rPr>
          <w:rFonts w:ascii="Arial" w:cs="Arial" w:eastAsia="Arial" w:hAnsi="Arial"/>
          <w:sz w:val="15"/>
          <w:szCs w:val="15"/>
          <w:color w:val="auto"/>
        </w:rPr>
        <w:t>. The corporate governance guidelines and practices were last revised on April 19, 2013. The corporate governance guidelines and practices provide, among other things, that:</w:t>
      </w:r>
    </w:p>
    <w:p>
      <w:pPr>
        <w:spacing w:after="0" w:line="7" w:lineRule="exact"/>
        <w:rPr>
          <w:sz w:val="20"/>
          <w:szCs w:val="20"/>
          <w:color w:val="auto"/>
        </w:rPr>
      </w:pPr>
    </w:p>
    <w:p>
      <w:pPr>
        <w:ind w:left="90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audit committee, ECC and nominating and governance committee must consist solely of independent directors; and</w:t>
      </w:r>
    </w:p>
    <w:p>
      <w:pPr>
        <w:spacing w:after="0" w:line="90" w:lineRule="exact"/>
        <w:rPr>
          <w:rFonts w:ascii="Arial" w:cs="Arial" w:eastAsia="Arial" w:hAnsi="Arial"/>
          <w:sz w:val="18"/>
          <w:szCs w:val="18"/>
          <w:color w:val="auto"/>
        </w:rPr>
      </w:pPr>
    </w:p>
    <w:p>
      <w:pPr>
        <w:ind w:left="900" w:right="64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also provide our directors annual training events on issues facing us and on subjects that would assist the directors in discharging their duties.</w:t>
      </w:r>
    </w:p>
    <w:p>
      <w:pPr>
        <w:spacing w:after="0" w:line="194" w:lineRule="exact"/>
        <w:rPr>
          <w:sz w:val="20"/>
          <w:szCs w:val="20"/>
          <w:color w:val="auto"/>
        </w:rPr>
      </w:pPr>
    </w:p>
    <w:p>
      <w:pPr>
        <w:jc w:val="both"/>
        <w:ind w:right="220" w:firstLine="456"/>
        <w:spacing w:after="0" w:line="306" w:lineRule="auto"/>
        <w:rPr>
          <w:sz w:val="20"/>
          <w:szCs w:val="20"/>
          <w:color w:val="auto"/>
        </w:rPr>
      </w:pPr>
      <w:r>
        <w:rPr>
          <w:rFonts w:ascii="Arial" w:cs="Arial" w:eastAsia="Arial" w:hAnsi="Arial"/>
          <w:sz w:val="16"/>
          <w:szCs w:val="16"/>
          <w:color w:val="auto"/>
        </w:rPr>
        <w:t>Our board of directors may modify the corporate governance guidelines and practices from time to time, as appropriate. Our independent directors have appointed Mr. Krueger to serve as the lead independent director for our board of directors. Mr. Krueger has served as our lead independent director since April 2009. The duties of the lead independent director are set forth as follows in our corporation governance guidelines and practices:</w:t>
      </w:r>
    </w:p>
    <w:p>
      <w:pPr>
        <w:spacing w:after="0" w:line="26"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develop the agenda for, and moderate executive sessions of, meetings of our independent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help promote good communication between the independent directors and the Chairman of the Board and/or the Chief Executive Officer;</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chair the meetings of our board of directors in the absence of the Chairman of the Board;</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make recommendations to the Chairman of the Board regarding the appropriate schedule of board meetings, seeking to ensure that the independent directors can perform their duties responsibly while not interfering with the flow of our operations;</w:t>
      </w:r>
    </w:p>
    <w:p>
      <w:pPr>
        <w:spacing w:after="0" w:line="5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jointly with the Chairman of the Board, set agendas for board meetings and make recommendations to the Chairman of the Board regarding the structure of board meetings;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40" w:top="459" w:right="2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800" w:hanging="325"/>
        <w:spacing w:after="0" w:line="332" w:lineRule="auto"/>
        <w:tabs>
          <w:tab w:leader="none" w:pos="900" w:val="left"/>
        </w:tabs>
        <w:numPr>
          <w:ilvl w:val="0"/>
          <w:numId w:val="41"/>
        </w:numPr>
        <w:rPr>
          <w:rFonts w:ascii="Arial" w:cs="Arial" w:eastAsia="Arial" w:hAnsi="Arial"/>
          <w:sz w:val="16"/>
          <w:szCs w:val="16"/>
          <w:color w:val="auto"/>
        </w:rPr>
      </w:pPr>
      <w:r>
        <w:rPr>
          <w:rFonts w:ascii="Arial" w:cs="Arial" w:eastAsia="Arial" w:hAnsi="Arial"/>
          <w:sz w:val="16"/>
          <w:szCs w:val="16"/>
          <w:color w:val="auto"/>
        </w:rPr>
        <w:t>make recommendations to the Chairman of the Board in assessing the quality, quantity and timeliness of the flow of information from our management that is necessary for the independent directors to effectively and responsibly perform their duties; and</w:t>
      </w:r>
    </w:p>
    <w:p>
      <w:pPr>
        <w:spacing w:after="0" w:line="4" w:lineRule="exact"/>
        <w:rPr>
          <w:rFonts w:ascii="Arial" w:cs="Arial" w:eastAsia="Arial" w:hAnsi="Arial"/>
          <w:sz w:val="16"/>
          <w:szCs w:val="16"/>
          <w:color w:val="auto"/>
        </w:rPr>
      </w:pPr>
    </w:p>
    <w:p>
      <w:pPr>
        <w:ind w:left="900" w:right="380" w:hanging="325"/>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coordinate with the nominating and governance committee and corporate counsel to promote a thorough annual self-assessment by our board of directors and its committees.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Board Leadership Structure</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Our board of directors believes that our Chief Executive Officer is best situated to serve as Chairman of the Board, because he is the director most familiar with our business and industry, and most capable of effectively identifying strategic priorities and leading the discussion and execution of strategy. Independent directors and management have different perspectives and roles in strategy development. Our independent directors bring experience, oversight and expertise from outside the company and industry, while the Chief Executive Officer brings company-specific experience and expertise. Our board of directors believes that the combined role of Chairman of the Board and Chief Executive Officer promotes strategy development and execution, and facilitates information flow between management and our board of directors, which are essential to effective governance. Our independent directors have appointed Mr. Krueger to serve as the lead independent director for our board of directors. The role of our lead independent director is described above.</w:t>
      </w:r>
    </w:p>
    <w:p>
      <w:pPr>
        <w:spacing w:after="0" w:line="118"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One of the key responsibilities of our board of directors is to develop strategic direction and hold management accountable for the execution of strategy once it is developed. Our board of directors believes the combined role of Chairman of the Board and Chief Executive Officer, together with a lead independent director, is in the best interest of shareholders because it provides the appropriate balance between strategy development and independent oversight of management.</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Management</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Our board of directors has an active role, as a whole and also at the committee level, in overseeing management of our risks. Our board of directors regularly reviews information regarding our liquidity, intellectual property, significant litigation matters and operations, as well as the risks associated with each of such items. Our ECC is responsible for overseeing the management of risks relating to our executive compensation plans and arrangements as well as our compensation plans that generally apply to all employees. The audit committee oversees management of financial, legal and IT compliance risks as well as business continuity planning.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18"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During fiscal 2014, our board of directors received reports on the most important strategic issues and risks facing Marvell. In addition, our board of directors and its committees receive regular reports from our head of internal audit or other senior management regarding compliance with applicable risk related policies, procedures and limits.</w:t>
      </w:r>
    </w:p>
    <w:p>
      <w:pPr>
        <w:spacing w:after="0" w:line="140"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We believe that our leadership structure supports the risk oversight function. As indicated above, certain important categories of risk are assigned to committees that review, evaluate and receive management reports on risk.</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90"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There were nine meetings of our board of directors in fiscal 2014. Each director attended at least 75% of the total number of meetings of our board of directors and committees on which such director served. The independent directors met in executive sessions without the presence of the non-independent directors or</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80"/>
          </w:cols>
          <w:pgMar w:left="240" w:top="459" w:right="2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color w:val="auto"/>
        </w:rPr>
        <w:t>members of our management at each of our five regularly scheduled in-person meetings. Our board of directors also formed a special committee with the authority to declare dividends that is made up of four independent directors.</w:t>
      </w:r>
    </w:p>
    <w:p>
      <w:pPr>
        <w:spacing w:after="0" w:line="132"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None of our current independent directors attended the 2013 annual general meeting.</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Independence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determined that, among the director nominees standing for election, each of Dr. Gromer, Dr. Kassakian, Mr. Krueger and</w:t>
      </w:r>
    </w:p>
    <w:p>
      <w:pPr>
        <w:spacing w:after="0" w:line="38"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Dr. Thakur are “independent” as such term is defined by the rules and regulations of the NASDAQ Stock Market (“Nasdaq”) and the rules and regulations of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44"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four non-employee directors (“Outside Directors”), or any of his immediate family members, has or has had within the previous three years any relationship with us that would impair his independence.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Cash Compensation</w:t>
      </w:r>
    </w:p>
    <w:p>
      <w:pPr>
        <w:spacing w:after="0" w:line="9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Directors who are also employees of Marvell do not receive any additional compensation for their services as directors. Dr. Pantas Sutjarda, our former Chief Technology Officer and Chief Research and Development Officer, served as a director until the 2013 annual general meeting held on June 26, 2013. Dr. P. Sutjarda received no compensation for his service as a director. His compensation for fiscal 2014 is discussed under “Executive Compensation” below.</w:t>
      </w:r>
    </w:p>
    <w:p>
      <w:pPr>
        <w:spacing w:after="0" w:line="107"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For a summary of the fiscal 2014 cash compensation paid to our Outside Directors, please see the Director Compensation Table below. Beginning in the third quarter of fiscal 2015, the cash compensation program will change for certain elements as set forth in the following table. The retainer fees are paid in quarterly installments in arrears, and are prorated as appropriate based upon the dates and capacities in which each individual Outside Director serves. Outside Directors are reimbursed for travel and other reasonable out-of-pocket expenses related to attendance at board of directors and committee meetings.</w:t>
      </w:r>
    </w:p>
    <w:p>
      <w:pPr>
        <w:spacing w:after="0" w:line="13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78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2480" w:type="dxa"/>
            <w:vAlign w:val="bottom"/>
            <w:gridSpan w:val="3"/>
          </w:tcPr>
          <w:p>
            <w:pPr>
              <w:spacing w:after="0"/>
              <w:rPr>
                <w:sz w:val="20"/>
                <w:szCs w:val="20"/>
                <w:color w:val="auto"/>
              </w:rPr>
            </w:pPr>
            <w:r>
              <w:rPr>
                <w:rFonts w:ascii="Arial" w:cs="Arial" w:eastAsia="Arial" w:hAnsi="Arial"/>
                <w:sz w:val="14"/>
                <w:szCs w:val="14"/>
                <w:b w:val="1"/>
                <w:bCs w:val="1"/>
                <w:color w:val="auto"/>
              </w:rPr>
              <w:t>Cash Compensation</w:t>
            </w:r>
          </w:p>
        </w:tc>
        <w:tc>
          <w:tcPr>
            <w:tcW w:w="1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78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360" w:type="dxa"/>
            <w:vAlign w:val="bottom"/>
            <w:gridSpan w:val="2"/>
          </w:tcPr>
          <w:p>
            <w:pPr>
              <w:jc w:val="center"/>
              <w:ind w:right="1480"/>
              <w:spacing w:after="0" w:line="149" w:lineRule="exact"/>
              <w:rPr>
                <w:sz w:val="20"/>
                <w:szCs w:val="20"/>
                <w:color w:val="auto"/>
              </w:rPr>
            </w:pPr>
            <w:r>
              <w:rPr>
                <w:rFonts w:ascii="Arial" w:cs="Arial" w:eastAsia="Arial" w:hAnsi="Arial"/>
                <w:sz w:val="14"/>
                <w:szCs w:val="14"/>
                <w:b w:val="1"/>
                <w:bCs w:val="1"/>
                <w:color w:val="auto"/>
                <w:w w:val="90"/>
              </w:rPr>
              <w:t>Program</w:t>
            </w:r>
          </w:p>
        </w:tc>
        <w:tc>
          <w:tcPr>
            <w:tcW w:w="12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1"/>
              </w:rPr>
              <w:t>Cash Compensation</w:t>
            </w:r>
          </w:p>
        </w:tc>
        <w:tc>
          <w:tcPr>
            <w:tcW w:w="0" w:type="dxa"/>
            <w:vAlign w:val="bottom"/>
          </w:tcPr>
          <w:p>
            <w:pPr>
              <w:spacing w:after="0"/>
              <w:rPr>
                <w:sz w:val="1"/>
                <w:szCs w:val="1"/>
                <w:color w:val="auto"/>
              </w:rPr>
            </w:pPr>
          </w:p>
        </w:tc>
      </w:tr>
      <w:tr>
        <w:trPr>
          <w:trHeight w:val="149"/>
        </w:trPr>
        <w:tc>
          <w:tcPr>
            <w:tcW w:w="178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360" w:type="dxa"/>
            <w:vAlign w:val="bottom"/>
            <w:gridSpan w:val="2"/>
          </w:tcPr>
          <w:p>
            <w:pPr>
              <w:jc w:val="center"/>
              <w:ind w:right="1440"/>
              <w:spacing w:after="0" w:line="149" w:lineRule="exact"/>
              <w:rPr>
                <w:sz w:val="20"/>
                <w:szCs w:val="20"/>
                <w:color w:val="auto"/>
              </w:rPr>
            </w:pPr>
            <w:r>
              <w:rPr>
                <w:rFonts w:ascii="Arial" w:cs="Arial" w:eastAsia="Arial" w:hAnsi="Arial"/>
                <w:sz w:val="14"/>
                <w:szCs w:val="14"/>
                <w:b w:val="1"/>
                <w:bCs w:val="1"/>
                <w:color w:val="auto"/>
                <w:w w:val="86"/>
              </w:rPr>
              <w:t>for Fiscal 2014</w:t>
            </w:r>
          </w:p>
        </w:tc>
        <w:tc>
          <w:tcPr>
            <w:tcW w:w="160" w:type="dxa"/>
            <w:vAlign w:val="bottom"/>
          </w:tcPr>
          <w:p>
            <w:pPr>
              <w:spacing w:after="0"/>
              <w:rPr>
                <w:sz w:val="12"/>
                <w:szCs w:val="12"/>
                <w:color w:val="auto"/>
              </w:rPr>
            </w:pPr>
          </w:p>
        </w:tc>
        <w:tc>
          <w:tcPr>
            <w:tcW w:w="11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Program for</w:t>
            </w:r>
          </w:p>
        </w:tc>
        <w:tc>
          <w:tcPr>
            <w:tcW w:w="0" w:type="dxa"/>
            <w:vAlign w:val="bottom"/>
          </w:tcPr>
          <w:p>
            <w:pPr>
              <w:spacing w:after="0"/>
              <w:rPr>
                <w:sz w:val="1"/>
                <w:szCs w:val="1"/>
                <w:color w:val="auto"/>
              </w:rPr>
            </w:pPr>
          </w:p>
        </w:tc>
      </w:tr>
      <w:tr>
        <w:trPr>
          <w:trHeight w:val="149"/>
        </w:trPr>
        <w:tc>
          <w:tcPr>
            <w:tcW w:w="1780" w:type="dxa"/>
            <w:vAlign w:val="bottom"/>
            <w:vMerge w:val="restart"/>
          </w:tcPr>
          <w:p>
            <w:pPr>
              <w:spacing w:after="0"/>
              <w:rPr>
                <w:sz w:val="20"/>
                <w:szCs w:val="20"/>
                <w:color w:val="auto"/>
              </w:rPr>
            </w:pPr>
            <w:r>
              <w:rPr>
                <w:rFonts w:ascii="Arial" w:cs="Arial" w:eastAsia="Arial" w:hAnsi="Arial"/>
                <w:sz w:val="14"/>
                <w:szCs w:val="14"/>
                <w:b w:val="1"/>
                <w:bCs w:val="1"/>
                <w:color w:val="auto"/>
                <w:w w:val="90"/>
              </w:rPr>
              <w:t>Cash Compensation Element</w:t>
            </w:r>
          </w:p>
        </w:tc>
        <w:tc>
          <w:tcPr>
            <w:tcW w:w="2720" w:type="dxa"/>
            <w:vAlign w:val="bottom"/>
            <w:vMerge w:val="restart"/>
          </w:tcPr>
          <w:p>
            <w:pPr>
              <w:spacing w:after="0"/>
              <w:rPr>
                <w:sz w:val="12"/>
                <w:szCs w:val="12"/>
                <w:color w:val="auto"/>
              </w:rPr>
            </w:pPr>
          </w:p>
        </w:tc>
        <w:tc>
          <w:tcPr>
            <w:tcW w:w="2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360" w:type="dxa"/>
            <w:vAlign w:val="bottom"/>
            <w:gridSpan w:val="2"/>
          </w:tcPr>
          <w:p>
            <w:pPr>
              <w:jc w:val="center"/>
              <w:ind w:right="1440"/>
              <w:spacing w:after="0" w:line="149" w:lineRule="exact"/>
              <w:rPr>
                <w:sz w:val="20"/>
                <w:szCs w:val="20"/>
                <w:color w:val="auto"/>
              </w:rPr>
            </w:pPr>
            <w:r>
              <w:rPr>
                <w:rFonts w:ascii="Arial" w:cs="Arial" w:eastAsia="Arial" w:hAnsi="Arial"/>
                <w:sz w:val="14"/>
                <w:szCs w:val="14"/>
                <w:b w:val="1"/>
                <w:bCs w:val="1"/>
                <w:color w:val="auto"/>
                <w:w w:val="89"/>
              </w:rPr>
              <w:t>and First Half</w:t>
            </w:r>
          </w:p>
        </w:tc>
        <w:tc>
          <w:tcPr>
            <w:tcW w:w="160" w:type="dxa"/>
            <w:vAlign w:val="bottom"/>
          </w:tcPr>
          <w:p>
            <w:pPr>
              <w:spacing w:after="0"/>
              <w:rPr>
                <w:sz w:val="12"/>
                <w:szCs w:val="12"/>
                <w:color w:val="auto"/>
              </w:rPr>
            </w:pPr>
          </w:p>
        </w:tc>
        <w:tc>
          <w:tcPr>
            <w:tcW w:w="11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2"/>
              </w:rPr>
              <w:t>Second</w:t>
            </w:r>
          </w:p>
        </w:tc>
        <w:tc>
          <w:tcPr>
            <w:tcW w:w="0" w:type="dxa"/>
            <w:vAlign w:val="bottom"/>
          </w:tcPr>
          <w:p>
            <w:pPr>
              <w:spacing w:after="0"/>
              <w:rPr>
                <w:sz w:val="1"/>
                <w:szCs w:val="1"/>
                <w:color w:val="auto"/>
              </w:rPr>
            </w:pPr>
          </w:p>
        </w:tc>
      </w:tr>
      <w:tr>
        <w:trPr>
          <w:trHeight w:val="168"/>
        </w:trPr>
        <w:tc>
          <w:tcPr>
            <w:tcW w:w="1780" w:type="dxa"/>
            <w:vAlign w:val="bottom"/>
            <w:tcBorders>
              <w:bottom w:val="single" w:sz="8" w:color="auto"/>
            </w:tcBorders>
            <w:vMerge w:val="continue"/>
          </w:tcPr>
          <w:p>
            <w:pPr>
              <w:spacing w:after="0"/>
              <w:rPr>
                <w:sz w:val="14"/>
                <w:szCs w:val="14"/>
                <w:color w:val="auto"/>
              </w:rPr>
            </w:pPr>
          </w:p>
        </w:tc>
        <w:tc>
          <w:tcPr>
            <w:tcW w:w="2720" w:type="dxa"/>
            <w:vAlign w:val="bottom"/>
            <w:vMerge w:val="continue"/>
          </w:tcPr>
          <w:p>
            <w:pPr>
              <w:spacing w:after="0"/>
              <w:rPr>
                <w:sz w:val="14"/>
                <w:szCs w:val="14"/>
                <w:color w:val="auto"/>
              </w:rPr>
            </w:pPr>
          </w:p>
        </w:tc>
        <w:tc>
          <w:tcPr>
            <w:tcW w:w="2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60" w:type="dxa"/>
            <w:vAlign w:val="bottom"/>
            <w:gridSpan w:val="2"/>
          </w:tcPr>
          <w:p>
            <w:pPr>
              <w:jc w:val="center"/>
              <w:ind w:right="1440"/>
              <w:spacing w:after="0" w:line="148" w:lineRule="exact"/>
              <w:rPr>
                <w:sz w:val="20"/>
                <w:szCs w:val="20"/>
                <w:color w:val="auto"/>
              </w:rPr>
            </w:pPr>
            <w:r>
              <w:rPr>
                <w:rFonts w:ascii="Arial" w:cs="Arial" w:eastAsia="Arial" w:hAnsi="Arial"/>
                <w:sz w:val="14"/>
                <w:szCs w:val="14"/>
                <w:b w:val="1"/>
                <w:bCs w:val="1"/>
                <w:color w:val="auto"/>
                <w:w w:val="87"/>
              </w:rPr>
              <w:t>of Fiscal 2015</w:t>
            </w:r>
          </w:p>
        </w:tc>
        <w:tc>
          <w:tcPr>
            <w:tcW w:w="1260" w:type="dxa"/>
            <w:vAlign w:val="bottom"/>
            <w:gridSpan w:val="3"/>
          </w:tcPr>
          <w:p>
            <w:pPr>
              <w:jc w:val="center"/>
              <w:ind w:right="100"/>
              <w:spacing w:after="0" w:line="148" w:lineRule="exact"/>
              <w:rPr>
                <w:sz w:val="20"/>
                <w:szCs w:val="20"/>
                <w:color w:val="auto"/>
              </w:rPr>
            </w:pPr>
            <w:r>
              <w:rPr>
                <w:rFonts w:ascii="Arial" w:cs="Arial" w:eastAsia="Arial" w:hAnsi="Arial"/>
                <w:sz w:val="14"/>
                <w:szCs w:val="14"/>
                <w:b w:val="1"/>
                <w:bCs w:val="1"/>
                <w:color w:val="auto"/>
                <w:w w:val="88"/>
              </w:rPr>
              <w:t>Half of Fiscal 2015</w:t>
            </w:r>
          </w:p>
        </w:tc>
        <w:tc>
          <w:tcPr>
            <w:tcW w:w="0" w:type="dxa"/>
            <w:vAlign w:val="bottom"/>
          </w:tcPr>
          <w:p>
            <w:pPr>
              <w:spacing w:after="0"/>
              <w:rPr>
                <w:sz w:val="1"/>
                <w:szCs w:val="1"/>
                <w:color w:val="auto"/>
              </w:rPr>
            </w:pPr>
          </w:p>
        </w:tc>
      </w:tr>
      <w:tr>
        <w:trPr>
          <w:trHeight w:val="203"/>
        </w:trPr>
        <w:tc>
          <w:tcPr>
            <w:tcW w:w="45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Annual Retainer</w:t>
            </w:r>
          </w:p>
        </w:tc>
        <w:tc>
          <w:tcPr>
            <w:tcW w:w="22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13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10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00" w:type="dxa"/>
            <w:vAlign w:val="bottom"/>
            <w:gridSpan w:val="2"/>
          </w:tcPr>
          <w:p>
            <w:pPr>
              <w:spacing w:after="0"/>
              <w:rPr>
                <w:sz w:val="20"/>
                <w:szCs w:val="20"/>
                <w:color w:val="auto"/>
              </w:rPr>
            </w:pPr>
            <w:r>
              <w:rPr>
                <w:rFonts w:ascii="Arial" w:cs="Arial" w:eastAsia="Arial" w:hAnsi="Arial"/>
                <w:sz w:val="18"/>
                <w:szCs w:val="18"/>
                <w:color w:val="auto"/>
              </w:rPr>
              <w:t>Lead Independent Director</w:t>
            </w:r>
          </w:p>
        </w:tc>
        <w:tc>
          <w:tcPr>
            <w:tcW w:w="2380" w:type="dxa"/>
            <w:vAlign w:val="bottom"/>
            <w:gridSpan w:val="2"/>
          </w:tcPr>
          <w:p>
            <w:pPr>
              <w:ind w:left="226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30,000</w:t>
            </w:r>
          </w:p>
        </w:tc>
        <w:tc>
          <w:tcPr>
            <w:tcW w:w="132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40,000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Chairmanship</w:t>
            </w:r>
          </w:p>
        </w:tc>
        <w:tc>
          <w:tcPr>
            <w:tcW w:w="2380" w:type="dxa"/>
            <w:vAlign w:val="bottom"/>
            <w:gridSpan w:val="2"/>
            <w:shd w:val="clear" w:color="auto" w:fill="CCEEFF"/>
          </w:tcPr>
          <w:p>
            <w:pPr>
              <w:ind w:left="2260"/>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0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2380" w:type="dxa"/>
            <w:vAlign w:val="bottom"/>
            <w:gridSpan w:val="2"/>
          </w:tcPr>
          <w:p>
            <w:pPr>
              <w:ind w:left="226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12,500</w:t>
            </w:r>
          </w:p>
        </w:tc>
        <w:tc>
          <w:tcPr>
            <w:tcW w:w="132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Chairmanship</w:t>
            </w:r>
          </w:p>
        </w:tc>
        <w:tc>
          <w:tcPr>
            <w:tcW w:w="2380" w:type="dxa"/>
            <w:vAlign w:val="bottom"/>
            <w:gridSpan w:val="2"/>
            <w:shd w:val="clear" w:color="auto" w:fill="CCEEFF"/>
          </w:tcPr>
          <w:p>
            <w:pPr>
              <w:ind w:left="2260"/>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0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2380" w:type="dxa"/>
            <w:vAlign w:val="bottom"/>
            <w:gridSpan w:val="2"/>
          </w:tcPr>
          <w:p>
            <w:pPr>
              <w:ind w:left="226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10,000</w:t>
            </w:r>
          </w:p>
        </w:tc>
        <w:tc>
          <w:tcPr>
            <w:tcW w:w="132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Chairmanship</w:t>
            </w:r>
          </w:p>
        </w:tc>
        <w:tc>
          <w:tcPr>
            <w:tcW w:w="2380" w:type="dxa"/>
            <w:vAlign w:val="bottom"/>
            <w:gridSpan w:val="2"/>
            <w:shd w:val="clear" w:color="auto" w:fill="CCEEFF"/>
          </w:tcPr>
          <w:p>
            <w:pPr>
              <w:ind w:left="2260"/>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1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0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2380" w:type="dxa"/>
            <w:vAlign w:val="bottom"/>
            <w:gridSpan w:val="2"/>
          </w:tcPr>
          <w:p>
            <w:pPr>
              <w:ind w:left="226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7,500</w:t>
            </w:r>
          </w:p>
        </w:tc>
        <w:tc>
          <w:tcPr>
            <w:tcW w:w="132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7,500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1780" w:type="dxa"/>
            <w:vAlign w:val="bottom"/>
          </w:tcPr>
          <w:p>
            <w:pPr>
              <w:spacing w:after="0"/>
              <w:rPr>
                <w:sz w:val="24"/>
                <w:szCs w:val="24"/>
                <w:color w:val="auto"/>
              </w:rPr>
            </w:pPr>
          </w:p>
        </w:tc>
        <w:tc>
          <w:tcPr>
            <w:tcW w:w="2720" w:type="dxa"/>
            <w:vAlign w:val="bottom"/>
          </w:tcPr>
          <w:p>
            <w:pPr>
              <w:spacing w:after="0"/>
              <w:rPr>
                <w:sz w:val="24"/>
                <w:szCs w:val="24"/>
                <w:color w:val="auto"/>
              </w:rPr>
            </w:pPr>
          </w:p>
        </w:tc>
        <w:tc>
          <w:tcPr>
            <w:tcW w:w="2260" w:type="dxa"/>
            <w:vAlign w:val="bottom"/>
          </w:tcPr>
          <w:p>
            <w:pPr>
              <w:ind w:left="600"/>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240" w:top="459" w:right="29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Equity Compensation</w:t>
      </w:r>
    </w:p>
    <w:p>
      <w:pPr>
        <w:spacing w:after="0" w:line="90"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Each Outside Director is eligible to receive equity awards under the Amended and Restated 2007 Director Stock Incentive Plan (“2007 Director Plan”). In fiscal 2014, each Outside Director who was elected or appointed at the annual general meeting of shareholders was granted an option to purchase a number of common shares with an aggregate grant date fair value equal to $110,000 (“Annual Option Award”) immediately following the annual general meeting of shareholders. In addition, each Outside Director who was elected or appointed at the annual general meeting of shareholders was granted a restricted stock unit (“RSU”) award (the “Annual RSU Award”) for a number of shares with an aggregate fair market value equal to $110,000 immediately following the annual general meeting of shareholders. The Annual Option Award and the Annual RSU Award each vest as to 100% of the shares on the earlier of the date of the next annual general meeting of shareholders or the one year anniversary of the date of grant. An Outside Director elected or appointed after an annual general meeting of shareholders would receive a pro rata stock option award and RSU award based on the number of quarters completed since the prior annual general meeting of shareholders. In no event would any Outside Director be awarded in any calendar year an Annual Option Award or Annual RSU Award under the 2007 Director Plan for more than 25,000 shares and 10,000 shares, respectively.</w:t>
      </w:r>
    </w:p>
    <w:p>
      <w:pPr>
        <w:spacing w:after="0" w:line="12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Beginning in fiscal 2015, each Outside Director who is elected or appointed at the annual general meeting of shareholders will be granted an Annual RSU Award for a number of shares with an aggregate fair market value equal to $220,000 immediately following each annual general meeting of shareholders. The Annual RSU Award vests as to 100% of the shares on the earlier of the date of the next annual general meeting of shareholders or the one year anniversary of the date of grant. An Outside Director who is elected or appointed after an annual general meeting of shareholders will receive a pro rata RSU award based on the number of quarters completed since the prior annual general meeting of shareholders. In no event shall any Outside Director be awarded in any calendar year an Annual RSU Award under the 2007 Director Plan for more than 20,000 shares.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Stock Ownership Guidelines</w:t>
      </w:r>
    </w:p>
    <w:p>
      <w:pPr>
        <w:spacing w:after="0" w:line="96"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Each director is expected, within five years of joining our board of directors or, for current members of our board directors, from the date of the most recent update to the stock ownership guidelines effective as of March 15, 2012, to own common shares that have a value equivalent to three times his or her annual cash retainer.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2014</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Outside Directors in fiscal 2014.</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22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Change in</w:t>
            </w:r>
          </w:p>
        </w:tc>
        <w:tc>
          <w:tcPr>
            <w:tcW w:w="8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4"/>
              </w:rPr>
              <w:t>Pension</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7"/>
              </w:rPr>
              <w:t>Value and</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2"/>
          </w:tcPr>
          <w:p>
            <w:pPr>
              <w:jc w:val="right"/>
              <w:ind w:right="460"/>
              <w:spacing w:after="0" w:line="149" w:lineRule="exact"/>
              <w:rPr>
                <w:sz w:val="20"/>
                <w:szCs w:val="20"/>
                <w:color w:val="auto"/>
              </w:rPr>
            </w:pPr>
            <w:r>
              <w:rPr>
                <w:rFonts w:ascii="Arial" w:cs="Arial" w:eastAsia="Arial" w:hAnsi="Arial"/>
                <w:sz w:val="14"/>
                <w:szCs w:val="14"/>
                <w:b w:val="1"/>
                <w:bCs w:val="1"/>
                <w:color w:val="auto"/>
                <w:w w:val="99"/>
              </w:rPr>
              <w:t>Non-Equity</w:t>
            </w: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7"/>
              </w:rPr>
              <w:t>Nonqualified</w:t>
            </w: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2380" w:type="dxa"/>
            <w:vAlign w:val="bottom"/>
            <w:gridSpan w:val="3"/>
          </w:tcPr>
          <w:p>
            <w:pPr>
              <w:jc w:val="center"/>
              <w:ind w:left="680"/>
              <w:spacing w:after="0" w:line="149" w:lineRule="exact"/>
              <w:rPr>
                <w:sz w:val="20"/>
                <w:szCs w:val="20"/>
                <w:color w:val="auto"/>
              </w:rPr>
            </w:pPr>
            <w:r>
              <w:rPr>
                <w:rFonts w:ascii="Arial" w:cs="Arial" w:eastAsia="Arial" w:hAnsi="Arial"/>
                <w:sz w:val="14"/>
                <w:szCs w:val="14"/>
                <w:b w:val="1"/>
                <w:bCs w:val="1"/>
                <w:color w:val="auto"/>
                <w:w w:val="84"/>
              </w:rPr>
              <w:t>Fees Earned or</w:t>
            </w:r>
          </w:p>
        </w:tc>
        <w:tc>
          <w:tcPr>
            <w:tcW w:w="10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Stock</w:t>
            </w:r>
          </w:p>
        </w:tc>
        <w:tc>
          <w:tcPr>
            <w:tcW w:w="92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Option</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9"/>
              </w:rPr>
              <w:t>Incentive Plan</w:t>
            </w: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Deferred</w:t>
            </w:r>
          </w:p>
        </w:tc>
        <w:tc>
          <w:tcPr>
            <w:tcW w:w="124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4"/>
              </w:rPr>
              <w:t>All Other</w:t>
            </w: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2320" w:type="dxa"/>
            <w:vAlign w:val="bottom"/>
            <w:vMerge w:val="restart"/>
          </w:tcPr>
          <w:p>
            <w:pPr>
              <w:spacing w:after="0"/>
              <w:rPr>
                <w:sz w:val="12"/>
                <w:szCs w:val="12"/>
                <w:color w:val="auto"/>
              </w:rPr>
            </w:pPr>
          </w:p>
        </w:tc>
        <w:tc>
          <w:tcPr>
            <w:tcW w:w="1140" w:type="dxa"/>
            <w:vAlign w:val="bottom"/>
          </w:tcPr>
          <w:p>
            <w:pPr>
              <w:spacing w:after="0"/>
              <w:rPr>
                <w:sz w:val="12"/>
                <w:szCs w:val="12"/>
                <w:color w:val="auto"/>
              </w:rPr>
            </w:pPr>
          </w:p>
        </w:tc>
        <w:tc>
          <w:tcPr>
            <w:tcW w:w="12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Paid in Cash</w:t>
            </w:r>
          </w:p>
        </w:tc>
        <w:tc>
          <w:tcPr>
            <w:tcW w:w="102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Awards</w:t>
            </w:r>
          </w:p>
        </w:tc>
        <w:tc>
          <w:tcPr>
            <w:tcW w:w="92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Awards</w:t>
            </w: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24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2320" w:type="dxa"/>
            <w:vAlign w:val="bottom"/>
            <w:vMerge w:val="continue"/>
          </w:tcPr>
          <w:p>
            <w:pPr>
              <w:spacing w:after="0"/>
              <w:rPr>
                <w:sz w:val="14"/>
                <w:szCs w:val="14"/>
                <w:color w:val="auto"/>
              </w:rPr>
            </w:pPr>
          </w:p>
        </w:tc>
        <w:tc>
          <w:tcPr>
            <w:tcW w:w="2000" w:type="dxa"/>
            <w:vAlign w:val="bottom"/>
            <w:gridSpan w:val="2"/>
          </w:tcPr>
          <w:p>
            <w:pPr>
              <w:jc w:val="center"/>
              <w:ind w:left="1060"/>
              <w:spacing w:after="0" w:line="148" w:lineRule="exact"/>
              <w:rPr>
                <w:sz w:val="20"/>
                <w:szCs w:val="20"/>
                <w:color w:val="auto"/>
              </w:rPr>
            </w:pPr>
            <w:r>
              <w:rPr>
                <w:rFonts w:ascii="Arial" w:cs="Arial" w:eastAsia="Arial" w:hAnsi="Arial"/>
                <w:sz w:val="14"/>
                <w:szCs w:val="14"/>
                <w:b w:val="1"/>
                <w:bCs w:val="1"/>
                <w:color w:val="auto"/>
                <w:w w:val="81"/>
              </w:rPr>
              <w:t>($)</w:t>
            </w:r>
          </w:p>
        </w:tc>
        <w:tc>
          <w:tcPr>
            <w:tcW w:w="380" w:type="dxa"/>
            <w:vAlign w:val="bottom"/>
          </w:tcPr>
          <w:p>
            <w:pPr>
              <w:spacing w:after="0"/>
              <w:rPr>
                <w:sz w:val="14"/>
                <w:szCs w:val="14"/>
                <w:color w:val="auto"/>
              </w:rPr>
            </w:pPr>
          </w:p>
        </w:tc>
        <w:tc>
          <w:tcPr>
            <w:tcW w:w="640" w:type="dxa"/>
            <w:vAlign w:val="bottom"/>
          </w:tcPr>
          <w:p>
            <w:pPr>
              <w:ind w:left="80"/>
              <w:spacing w:after="0" w:line="148" w:lineRule="exact"/>
              <w:rPr>
                <w:sz w:val="20"/>
                <w:szCs w:val="20"/>
                <w:color w:val="auto"/>
              </w:rPr>
            </w:pPr>
            <w:r>
              <w:rPr>
                <w:rFonts w:ascii="Arial" w:cs="Arial" w:eastAsia="Arial" w:hAnsi="Arial"/>
                <w:sz w:val="14"/>
                <w:szCs w:val="14"/>
                <w:b w:val="1"/>
                <w:bCs w:val="1"/>
                <w:color w:val="auto"/>
              </w:rPr>
              <w:t>($)(1)(2)</w:t>
            </w:r>
          </w:p>
        </w:tc>
        <w:tc>
          <w:tcPr>
            <w:tcW w:w="380" w:type="dxa"/>
            <w:vAlign w:val="bottom"/>
          </w:tcPr>
          <w:p>
            <w:pPr>
              <w:spacing w:after="0"/>
              <w:rPr>
                <w:sz w:val="14"/>
                <w:szCs w:val="14"/>
                <w:color w:val="auto"/>
              </w:rPr>
            </w:pPr>
          </w:p>
        </w:tc>
        <w:tc>
          <w:tcPr>
            <w:tcW w:w="540" w:type="dxa"/>
            <w:vAlign w:val="bottom"/>
          </w:tcPr>
          <w:p>
            <w:pPr>
              <w:ind w:left="40"/>
              <w:spacing w:after="0" w:line="148" w:lineRule="exact"/>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)(3)(4)</w:t>
            </w:r>
          </w:p>
        </w:tc>
        <w:tc>
          <w:tcPr>
            <w:tcW w:w="380" w:type="dxa"/>
            <w:vAlign w:val="bottom"/>
          </w:tcPr>
          <w:p>
            <w:pPr>
              <w:spacing w:after="0"/>
              <w:rPr>
                <w:sz w:val="14"/>
                <w:szCs w:val="14"/>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380" w:type="dxa"/>
            <w:vAlign w:val="bottom"/>
          </w:tcPr>
          <w:p>
            <w:pPr>
              <w:spacing w:after="0"/>
              <w:rPr>
                <w:sz w:val="14"/>
                <w:szCs w:val="14"/>
                <w:color w:val="auto"/>
              </w:rPr>
            </w:pPr>
          </w:p>
        </w:tc>
        <w:tc>
          <w:tcPr>
            <w:tcW w:w="122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86"/>
              </w:rPr>
              <w:t>Earnings ($)</w:t>
            </w: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400" w:type="dxa"/>
            <w:vAlign w:val="bottom"/>
          </w:tcPr>
          <w:p>
            <w:pPr>
              <w:spacing w:after="0"/>
              <w:rPr>
                <w:sz w:val="14"/>
                <w:szCs w:val="14"/>
                <w:color w:val="auto"/>
              </w:rPr>
            </w:pPr>
          </w:p>
        </w:tc>
        <w:tc>
          <w:tcPr>
            <w:tcW w:w="620" w:type="dxa"/>
            <w:vAlign w:val="bottom"/>
          </w:tcPr>
          <w:p>
            <w:pPr>
              <w:jc w:val="right"/>
              <w:ind w:right="159"/>
              <w:spacing w:after="0" w:line="148"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27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114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135,000</w:t>
            </w:r>
          </w:p>
        </w:tc>
        <w:tc>
          <w:tcPr>
            <w:tcW w:w="38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ind w:left="80"/>
              <w:spacing w:after="0" w:line="203" w:lineRule="exact"/>
              <w:rPr>
                <w:sz w:val="20"/>
                <w:szCs w:val="20"/>
                <w:color w:val="auto"/>
              </w:rPr>
            </w:pPr>
            <w:r>
              <w:rPr>
                <w:rFonts w:ascii="Arial" w:cs="Arial" w:eastAsia="Arial" w:hAnsi="Arial"/>
                <w:sz w:val="18"/>
                <w:szCs w:val="18"/>
                <w:color w:val="auto"/>
                <w:w w:val="82"/>
              </w:rPr>
              <w:t>109,994</w:t>
            </w:r>
          </w:p>
        </w:tc>
        <w:tc>
          <w:tcPr>
            <w:tcW w:w="38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ind w:left="60"/>
              <w:spacing w:after="0" w:line="203" w:lineRule="exact"/>
              <w:rPr>
                <w:sz w:val="20"/>
                <w:szCs w:val="20"/>
                <w:color w:val="auto"/>
              </w:rPr>
            </w:pPr>
            <w:r>
              <w:rPr>
                <w:rFonts w:ascii="Arial" w:cs="Arial" w:eastAsia="Arial" w:hAnsi="Arial"/>
                <w:sz w:val="18"/>
                <w:szCs w:val="18"/>
                <w:color w:val="auto"/>
                <w:w w:val="83"/>
              </w:rPr>
              <w:t>97,285</w:t>
            </w:r>
          </w:p>
        </w:tc>
        <w:tc>
          <w:tcPr>
            <w:tcW w:w="3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ind w:right="22"/>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ind w:left="560"/>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ind w:left="580"/>
              <w:spacing w:after="0" w:line="203" w:lineRule="exact"/>
              <w:rPr>
                <w:sz w:val="20"/>
                <w:szCs w:val="20"/>
                <w:color w:val="auto"/>
              </w:rPr>
            </w:pPr>
            <w:r>
              <w:rPr>
                <w:rFonts w:ascii="Arial" w:cs="Arial" w:eastAsia="Arial" w:hAnsi="Arial"/>
                <w:sz w:val="18"/>
                <w:szCs w:val="18"/>
                <w:color w:val="auto"/>
              </w:rPr>
              <w:t>—</w:t>
            </w:r>
          </w:p>
        </w:tc>
        <w:tc>
          <w:tcPr>
            <w:tcW w:w="40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342,279</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70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2000" w:type="dxa"/>
            <w:vAlign w:val="bottom"/>
            <w:gridSpan w:val="2"/>
          </w:tcPr>
          <w:p>
            <w:pPr>
              <w:jc w:val="right"/>
              <w:spacing w:after="0"/>
              <w:rPr>
                <w:sz w:val="20"/>
                <w:szCs w:val="20"/>
                <w:color w:val="auto"/>
              </w:rPr>
            </w:pPr>
            <w:r>
              <w:rPr>
                <w:rFonts w:ascii="Arial" w:cs="Arial" w:eastAsia="Arial" w:hAnsi="Arial"/>
                <w:sz w:val="18"/>
                <w:szCs w:val="18"/>
                <w:color w:val="auto"/>
              </w:rPr>
              <w:t>90,000</w:t>
            </w:r>
          </w:p>
        </w:tc>
        <w:tc>
          <w:tcPr>
            <w:tcW w:w="380" w:type="dxa"/>
            <w:vAlign w:val="bottom"/>
          </w:tcPr>
          <w:p>
            <w:pPr>
              <w:spacing w:after="0"/>
              <w:rPr>
                <w:sz w:val="18"/>
                <w:szCs w:val="18"/>
                <w:color w:val="auto"/>
              </w:rPr>
            </w:pPr>
          </w:p>
        </w:tc>
        <w:tc>
          <w:tcPr>
            <w:tcW w:w="1020" w:type="dxa"/>
            <w:vAlign w:val="bottom"/>
            <w:gridSpan w:val="2"/>
          </w:tcPr>
          <w:p>
            <w:pPr>
              <w:ind w:left="80"/>
              <w:spacing w:after="0"/>
              <w:rPr>
                <w:sz w:val="20"/>
                <w:szCs w:val="20"/>
                <w:color w:val="auto"/>
              </w:rPr>
            </w:pPr>
            <w:r>
              <w:rPr>
                <w:rFonts w:ascii="Arial" w:cs="Arial" w:eastAsia="Arial" w:hAnsi="Arial"/>
                <w:sz w:val="18"/>
                <w:szCs w:val="18"/>
                <w:color w:val="auto"/>
              </w:rPr>
              <w:t>109,994</w:t>
            </w:r>
          </w:p>
        </w:tc>
        <w:tc>
          <w:tcPr>
            <w:tcW w:w="920" w:type="dxa"/>
            <w:vAlign w:val="bottom"/>
            <w:gridSpan w:val="2"/>
          </w:tcPr>
          <w:p>
            <w:pPr>
              <w:ind w:left="60"/>
              <w:spacing w:after="0"/>
              <w:rPr>
                <w:sz w:val="20"/>
                <w:szCs w:val="20"/>
                <w:color w:val="auto"/>
              </w:rPr>
            </w:pPr>
            <w:r>
              <w:rPr>
                <w:rFonts w:ascii="Arial" w:cs="Arial" w:eastAsia="Arial" w:hAnsi="Arial"/>
                <w:sz w:val="18"/>
                <w:szCs w:val="18"/>
                <w:color w:val="auto"/>
              </w:rPr>
              <w:t>97,285</w:t>
            </w:r>
          </w:p>
        </w:tc>
        <w:tc>
          <w:tcPr>
            <w:tcW w:w="122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220" w:type="dxa"/>
            <w:vAlign w:val="bottom"/>
            <w:gridSpan w:val="2"/>
          </w:tcPr>
          <w:p>
            <w:pPr>
              <w:ind w:left="5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297,279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2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135,000</w:t>
            </w:r>
          </w:p>
        </w:tc>
        <w:tc>
          <w:tcPr>
            <w:tcW w:w="3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109,994</w:t>
            </w:r>
          </w:p>
        </w:tc>
        <w:tc>
          <w:tcPr>
            <w:tcW w:w="9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97,285</w:t>
            </w:r>
          </w:p>
        </w:tc>
        <w:tc>
          <w:tcPr>
            <w:tcW w:w="12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342,279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70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2000" w:type="dxa"/>
            <w:vAlign w:val="bottom"/>
            <w:gridSpan w:val="2"/>
          </w:tcPr>
          <w:p>
            <w:pPr>
              <w:jc w:val="right"/>
              <w:spacing w:after="0"/>
              <w:rPr>
                <w:sz w:val="20"/>
                <w:szCs w:val="20"/>
                <w:color w:val="auto"/>
              </w:rPr>
            </w:pPr>
            <w:r>
              <w:rPr>
                <w:rFonts w:ascii="Arial" w:cs="Arial" w:eastAsia="Arial" w:hAnsi="Arial"/>
                <w:sz w:val="18"/>
                <w:szCs w:val="18"/>
                <w:color w:val="auto"/>
              </w:rPr>
              <w:t>87,095</w:t>
            </w:r>
          </w:p>
        </w:tc>
        <w:tc>
          <w:tcPr>
            <w:tcW w:w="380" w:type="dxa"/>
            <w:vAlign w:val="bottom"/>
          </w:tcPr>
          <w:p>
            <w:pPr>
              <w:spacing w:after="0"/>
              <w:rPr>
                <w:sz w:val="19"/>
                <w:szCs w:val="19"/>
                <w:color w:val="auto"/>
              </w:rPr>
            </w:pPr>
          </w:p>
        </w:tc>
        <w:tc>
          <w:tcPr>
            <w:tcW w:w="1020" w:type="dxa"/>
            <w:vAlign w:val="bottom"/>
            <w:gridSpan w:val="2"/>
          </w:tcPr>
          <w:p>
            <w:pPr>
              <w:ind w:left="80"/>
              <w:spacing w:after="0"/>
              <w:rPr>
                <w:sz w:val="20"/>
                <w:szCs w:val="20"/>
                <w:color w:val="auto"/>
              </w:rPr>
            </w:pPr>
            <w:r>
              <w:rPr>
                <w:rFonts w:ascii="Arial" w:cs="Arial" w:eastAsia="Arial" w:hAnsi="Arial"/>
                <w:sz w:val="18"/>
                <w:szCs w:val="18"/>
                <w:color w:val="auto"/>
              </w:rPr>
              <w:t>109,994</w:t>
            </w:r>
          </w:p>
        </w:tc>
        <w:tc>
          <w:tcPr>
            <w:tcW w:w="920" w:type="dxa"/>
            <w:vAlign w:val="bottom"/>
            <w:gridSpan w:val="2"/>
          </w:tcPr>
          <w:p>
            <w:pPr>
              <w:ind w:left="60"/>
              <w:spacing w:after="0"/>
              <w:rPr>
                <w:sz w:val="20"/>
                <w:szCs w:val="20"/>
                <w:color w:val="auto"/>
              </w:rPr>
            </w:pPr>
            <w:r>
              <w:rPr>
                <w:rFonts w:ascii="Arial" w:cs="Arial" w:eastAsia="Arial" w:hAnsi="Arial"/>
                <w:sz w:val="18"/>
                <w:szCs w:val="18"/>
                <w:color w:val="auto"/>
              </w:rPr>
              <w:t>97,285</w:t>
            </w:r>
          </w:p>
        </w:tc>
        <w:tc>
          <w:tcPr>
            <w:tcW w:w="122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220" w:type="dxa"/>
            <w:vAlign w:val="bottom"/>
            <w:gridSpan w:val="2"/>
          </w:tcPr>
          <w:p>
            <w:pPr>
              <w:ind w:left="5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294,374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20" w:hanging="452"/>
        <w:spacing w:after="0" w:line="255" w:lineRule="auto"/>
        <w:tabs>
          <w:tab w:leader="none" w:pos="4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dollar value of RSUs shown represents the grant date fair value calculated on the basis of the fair market value of the underlying common shares on the grant date, reduced for the expected dividend yield, in accordance with Financial Accounting Standards Board Accounting Standards Codification Topic 718, “Stock Compensation” (“FASB ASC Topic 718”) and without any adjustment for estimated forfeitures. The actual value that a director will realize on each RSU award will depend on the price per share of our common shares at the time shares underlying the RSUs are sold. There can be no assurance that the actual</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60"/>
        <w:spacing w:after="0" w:line="286" w:lineRule="auto"/>
        <w:rPr>
          <w:sz w:val="20"/>
          <w:szCs w:val="20"/>
          <w:color w:val="auto"/>
        </w:rPr>
      </w:pPr>
      <w:r>
        <w:rPr>
          <w:rFonts w:ascii="Arial" w:cs="Arial" w:eastAsia="Arial" w:hAnsi="Arial"/>
          <w:sz w:val="16"/>
          <w:szCs w:val="16"/>
          <w:color w:val="auto"/>
        </w:rPr>
        <w:t>value realized by a director will be at or near the grant date fair value of the RSUs awarded. This number was calculated based on the maximum number of RSUs that could be granted pursuant to the Annual RSU Award on June 26, 2013, which is 10,000 RSUs under the 2007 Director Plan.</w:t>
      </w:r>
    </w:p>
    <w:p>
      <w:pPr>
        <w:ind w:left="460" w:hanging="452"/>
        <w:spacing w:after="0"/>
        <w:tabs>
          <w:tab w:leader="none" w:pos="460" w:val="left"/>
        </w:tabs>
        <w:numPr>
          <w:ilvl w:val="0"/>
          <w:numId w:val="43"/>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RSUs held at February 1, 2014 for each current Outside Director, as applicable:</w:t>
      </w:r>
    </w:p>
    <w:p>
      <w:pPr>
        <w:spacing w:after="0" w:line="21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RSU</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8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900" w:type="dxa"/>
            <w:vAlign w:val="bottom"/>
            <w:vMerge w:val="restart"/>
          </w:tcPr>
          <w:p>
            <w:pPr>
              <w:spacing w:after="0"/>
              <w:rPr>
                <w:sz w:val="12"/>
                <w:szCs w:val="12"/>
                <w:color w:val="auto"/>
              </w:rPr>
            </w:pPr>
          </w:p>
        </w:tc>
        <w:tc>
          <w:tcPr>
            <w:tcW w:w="3500" w:type="dxa"/>
            <w:vAlign w:val="bottom"/>
            <w:gridSpan w:val="3"/>
          </w:tcPr>
          <w:p>
            <w:pPr>
              <w:jc w:val="right"/>
              <w:ind w:right="100"/>
              <w:spacing w:after="0" w:line="149" w:lineRule="exact"/>
              <w:rPr>
                <w:sz w:val="20"/>
                <w:szCs w:val="20"/>
                <w:color w:val="auto"/>
              </w:rPr>
            </w:pPr>
            <w:r>
              <w:rPr>
                <w:rFonts w:ascii="Arial" w:cs="Arial" w:eastAsia="Arial" w:hAnsi="Arial"/>
                <w:sz w:val="14"/>
                <w:szCs w:val="14"/>
                <w:b w:val="1"/>
                <w:bCs w:val="1"/>
                <w:color w:val="auto"/>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900" w:type="dxa"/>
            <w:vAlign w:val="bottom"/>
            <w:vMerge w:val="continue"/>
          </w:tcPr>
          <w:p>
            <w:pPr>
              <w:spacing w:after="0"/>
              <w:rPr>
                <w:sz w:val="14"/>
                <w:szCs w:val="14"/>
                <w:color w:val="auto"/>
              </w:rPr>
            </w:pPr>
          </w:p>
        </w:tc>
        <w:tc>
          <w:tcPr>
            <w:tcW w:w="3400" w:type="dxa"/>
            <w:vAlign w:val="bottom"/>
            <w:gridSpan w:val="2"/>
          </w:tcPr>
          <w:p>
            <w:pPr>
              <w:jc w:val="center"/>
              <w:ind w:left="2580"/>
              <w:spacing w:after="0" w:line="148" w:lineRule="exact"/>
              <w:rPr>
                <w:sz w:val="20"/>
                <w:szCs w:val="20"/>
                <w:color w:val="auto"/>
              </w:rPr>
            </w:pPr>
            <w:r>
              <w:rPr>
                <w:rFonts w:ascii="Arial" w:cs="Arial" w:eastAsia="Arial" w:hAnsi="Arial"/>
                <w:sz w:val="14"/>
                <w:szCs w:val="14"/>
                <w:b w:val="1"/>
                <w:bCs w:val="1"/>
                <w:color w:val="auto"/>
                <w:w w:val="81"/>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2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6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9,573</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6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9,573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9,573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6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9,573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88" w:lineRule="exact"/>
        <w:rPr>
          <w:sz w:val="20"/>
          <w:szCs w:val="20"/>
          <w:color w:val="auto"/>
        </w:rPr>
      </w:pPr>
    </w:p>
    <w:p>
      <w:pPr>
        <w:ind w:left="460" w:hanging="452"/>
        <w:spacing w:after="0" w:line="283" w:lineRule="auto"/>
        <w:tabs>
          <w:tab w:leader="none" w:pos="46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included in Part II, Item 8 of our Annual Report on Form 10-K for fiscal 2014. The actual value, if any, that a director may realize on each option will depend on the excess of the share price over the exercise price on the date the option is exercised and the shares underlying such option are sold. There is no assurance that the actual value realized by a director will be at or near the value estimated by the Black-Scholes model. This number was calculated based on the maximum number of stock options that could be granted pursuant to the Annual Option Award on June 26, 2013, which is an option to purchase up to 25,000 shares under the 2007 Director Plan.</w:t>
      </w:r>
    </w:p>
    <w:p>
      <w:pPr>
        <w:ind w:left="460" w:hanging="452"/>
        <w:spacing w:after="0"/>
        <w:tabs>
          <w:tab w:leader="none" w:pos="46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options held at February 1, 2014 for each current Outside Director, as applicable:</w:t>
      </w:r>
    </w:p>
    <w:p>
      <w:pPr>
        <w:spacing w:after="0" w:line="21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3520" w:type="dxa"/>
            <w:vAlign w:val="bottom"/>
            <w:gridSpan w:val="3"/>
          </w:tcPr>
          <w:p>
            <w:pPr>
              <w:jc w:val="center"/>
              <w:ind w:left="2500"/>
              <w:spacing w:after="0"/>
              <w:rPr>
                <w:sz w:val="20"/>
                <w:szCs w:val="20"/>
                <w:color w:val="auto"/>
              </w:rPr>
            </w:pPr>
            <w:r>
              <w:rPr>
                <w:rFonts w:ascii="Arial" w:cs="Arial" w:eastAsia="Arial" w:hAnsi="Arial"/>
                <w:sz w:val="14"/>
                <w:szCs w:val="14"/>
                <w:b w:val="1"/>
                <w:bCs w:val="1"/>
                <w:color w:val="auto"/>
                <w:w w:val="89"/>
              </w:rPr>
              <w:t>Total Option</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88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8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880" w:type="dxa"/>
            <w:vAlign w:val="bottom"/>
            <w:vMerge w:val="restart"/>
          </w:tcPr>
          <w:p>
            <w:pPr>
              <w:spacing w:after="0"/>
              <w:rPr>
                <w:sz w:val="12"/>
                <w:szCs w:val="12"/>
                <w:color w:val="auto"/>
              </w:rPr>
            </w:pPr>
          </w:p>
        </w:tc>
        <w:tc>
          <w:tcPr>
            <w:tcW w:w="2680" w:type="dxa"/>
            <w:vAlign w:val="bottom"/>
          </w:tcPr>
          <w:p>
            <w:pPr>
              <w:spacing w:after="0"/>
              <w:rPr>
                <w:sz w:val="12"/>
                <w:szCs w:val="12"/>
                <w:color w:val="auto"/>
              </w:rPr>
            </w:pPr>
          </w:p>
        </w:tc>
        <w:tc>
          <w:tcPr>
            <w:tcW w:w="8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8"/>
        </w:trPr>
        <w:tc>
          <w:tcPr>
            <w:tcW w:w="360" w:type="dxa"/>
            <w:vAlign w:val="bottom"/>
            <w:tcBorders>
              <w:bottom w:val="single" w:sz="8" w:color="auto"/>
            </w:tcBorders>
            <w:vMerge w:val="continue"/>
          </w:tcPr>
          <w:p>
            <w:pPr>
              <w:spacing w:after="0"/>
              <w:rPr>
                <w:sz w:val="14"/>
                <w:szCs w:val="14"/>
                <w:color w:val="auto"/>
              </w:rPr>
            </w:pPr>
          </w:p>
        </w:tc>
        <w:tc>
          <w:tcPr>
            <w:tcW w:w="3880" w:type="dxa"/>
            <w:vAlign w:val="bottom"/>
            <w:vMerge w:val="continue"/>
          </w:tcPr>
          <w:p>
            <w:pPr>
              <w:spacing w:after="0"/>
              <w:rPr>
                <w:sz w:val="14"/>
                <w:szCs w:val="14"/>
                <w:color w:val="auto"/>
              </w:rPr>
            </w:pPr>
          </w:p>
        </w:tc>
        <w:tc>
          <w:tcPr>
            <w:tcW w:w="3420" w:type="dxa"/>
            <w:vAlign w:val="bottom"/>
            <w:gridSpan w:val="2"/>
          </w:tcPr>
          <w:p>
            <w:pPr>
              <w:jc w:val="center"/>
              <w:ind w:left="2580"/>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2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268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145,000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24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133,000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3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207,000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4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3420" w:type="dxa"/>
            <w:vAlign w:val="bottom"/>
            <w:gridSpan w:val="2"/>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 xml:space="preserve">Our board of directors has the following committees: the audit committee, the ECC and the nominating and governance committee. Our board of directors has adopted written charters for each of these committees, copies of which are available on our website at </w:t>
      </w:r>
      <w:r>
        <w:rPr>
          <w:rFonts w:ascii="Arial" w:cs="Arial" w:eastAsia="Arial" w:hAnsi="Arial"/>
          <w:sz w:val="16"/>
          <w:szCs w:val="16"/>
          <w:i w:val="1"/>
          <w:iCs w:val="1"/>
          <w:color w:val="auto"/>
        </w:rPr>
        <w:t>www.marvell.com/investors/governance.jsp</w:t>
      </w:r>
      <w:r>
        <w:rPr>
          <w:rFonts w:ascii="Arial" w:cs="Arial" w:eastAsia="Arial" w:hAnsi="Arial"/>
          <w:sz w:val="16"/>
          <w:szCs w:val="16"/>
          <w:color w:val="auto"/>
        </w:rPr>
        <w:t>. Each of the committee charters is reviewed annually by the respective committee, which may recommend appropriate changes for approval by our board of directors. Our board of directors has also formed a special committee of independent directors of the board that may approve dividends in accordance with Bermuda law.</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gridSpan w:val="2"/>
          </w:tcPr>
          <w:p>
            <w:pPr>
              <w:spacing w:after="0"/>
              <w:rPr>
                <w:sz w:val="20"/>
                <w:szCs w:val="20"/>
                <w:color w:val="auto"/>
              </w:rPr>
            </w:pPr>
            <w:r>
              <w:rPr>
                <w:rFonts w:ascii="Arial" w:cs="Arial" w:eastAsia="Arial" w:hAnsi="Arial"/>
                <w:sz w:val="14"/>
                <w:szCs w:val="14"/>
                <w:b w:val="1"/>
                <w:bCs w:val="1"/>
                <w:color w:val="auto"/>
              </w:rPr>
              <w:t>Audit Committee</w:t>
            </w:r>
          </w:p>
        </w:tc>
        <w:tc>
          <w:tcPr>
            <w:tcW w:w="7760" w:type="dxa"/>
            <w:vAlign w:val="bottom"/>
            <w:vMerge w:val="restart"/>
          </w:tcPr>
          <w:p>
            <w:pPr>
              <w:ind w:left="1080"/>
              <w:spacing w:after="0"/>
              <w:rPr>
                <w:sz w:val="20"/>
                <w:szCs w:val="20"/>
                <w:color w:val="auto"/>
              </w:rPr>
            </w:pPr>
            <w:r>
              <w:rPr>
                <w:rFonts w:ascii="Arial" w:cs="Arial" w:eastAsia="Arial" w:hAnsi="Arial"/>
                <w:sz w:val="18"/>
                <w:szCs w:val="18"/>
                <w:color w:val="auto"/>
                <w:w w:val="88"/>
              </w:rPr>
              <w:t>At the beginning of fiscal 2014, the audit committee was composed of Dr. Gromer (Chairman),</w:t>
            </w:r>
          </w:p>
        </w:tc>
        <w:tc>
          <w:tcPr>
            <w:tcW w:w="0" w:type="dxa"/>
            <w:vAlign w:val="bottom"/>
          </w:tcPr>
          <w:p>
            <w:pPr>
              <w:spacing w:after="0"/>
              <w:rPr>
                <w:sz w:val="1"/>
                <w:szCs w:val="1"/>
                <w:color w:val="auto"/>
              </w:rPr>
            </w:pPr>
          </w:p>
        </w:tc>
      </w:tr>
      <w:tr>
        <w:trPr>
          <w:trHeight w:val="201"/>
        </w:trPr>
        <w:tc>
          <w:tcPr>
            <w:tcW w:w="108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i w:val="1"/>
                <w:iCs w:val="1"/>
                <w:color w:val="auto"/>
              </w:rPr>
              <w:t>Composition:</w:t>
            </w:r>
          </w:p>
        </w:tc>
        <w:tc>
          <w:tcPr>
            <w:tcW w:w="2540" w:type="dxa"/>
            <w:vAlign w:val="bottom"/>
          </w:tcPr>
          <w:p>
            <w:pPr>
              <w:spacing w:after="0"/>
              <w:rPr>
                <w:sz w:val="17"/>
                <w:szCs w:val="17"/>
                <w:color w:val="auto"/>
              </w:rPr>
            </w:pPr>
          </w:p>
        </w:tc>
        <w:tc>
          <w:tcPr>
            <w:tcW w:w="77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rPr>
              <w:t>Mr. Krueger and</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2540" w:type="dxa"/>
            <w:vAlign w:val="bottom"/>
          </w:tcPr>
          <w:p>
            <w:pPr>
              <w:spacing w:after="0"/>
              <w:rPr>
                <w:sz w:val="19"/>
                <w:szCs w:val="19"/>
                <w:color w:val="auto"/>
              </w:rPr>
            </w:pPr>
          </w:p>
        </w:tc>
        <w:tc>
          <w:tcPr>
            <w:tcW w:w="7760" w:type="dxa"/>
            <w:vAlign w:val="bottom"/>
          </w:tcPr>
          <w:p>
            <w:pPr>
              <w:ind w:left="1080"/>
              <w:spacing w:after="0"/>
              <w:rPr>
                <w:sz w:val="20"/>
                <w:szCs w:val="20"/>
                <w:color w:val="auto"/>
              </w:rPr>
            </w:pPr>
            <w:r>
              <w:rPr>
                <w:rFonts w:ascii="Arial" w:cs="Arial" w:eastAsia="Arial" w:hAnsi="Arial"/>
                <w:sz w:val="18"/>
                <w:szCs w:val="18"/>
                <w:color w:val="auto"/>
                <w:w w:val="98"/>
              </w:rPr>
              <w:t>Dr. Kassakian. On March 21, 2013, Dr. Thakur was appointed to the audit committee.</w:t>
            </w:r>
          </w:p>
        </w:tc>
        <w:tc>
          <w:tcPr>
            <w:tcW w:w="0" w:type="dxa"/>
            <w:vAlign w:val="bottom"/>
          </w:tcPr>
          <w:p>
            <w:pPr>
              <w:spacing w:after="0"/>
              <w:rPr>
                <w:sz w:val="1"/>
                <w:szCs w:val="1"/>
                <w:color w:val="auto"/>
              </w:rPr>
            </w:pPr>
          </w:p>
        </w:tc>
      </w:tr>
      <w:tr>
        <w:trPr>
          <w:trHeight w:val="446"/>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2014:</w:t>
            </w:r>
          </w:p>
        </w:tc>
        <w:tc>
          <w:tcPr>
            <w:tcW w:w="7760" w:type="dxa"/>
            <w:vAlign w:val="bottom"/>
          </w:tcPr>
          <w:p>
            <w:pPr>
              <w:ind w:left="108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365"/>
        </w:trPr>
        <w:tc>
          <w:tcPr>
            <w:tcW w:w="108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7760" w:type="dxa"/>
            <w:vAlign w:val="bottom"/>
          </w:tcPr>
          <w:p>
            <w:pPr>
              <w:ind w:left="194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3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8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7720" w:type="dxa"/>
            <w:vAlign w:val="bottom"/>
          </w:tcPr>
          <w:p>
            <w:pPr>
              <w:ind w:left="1020"/>
              <w:spacing w:after="0"/>
              <w:rPr>
                <w:sz w:val="20"/>
                <w:szCs w:val="20"/>
                <w:color w:val="auto"/>
              </w:rPr>
            </w:pPr>
            <w:r>
              <w:rPr>
                <w:rFonts w:ascii="Arial" w:cs="Arial" w:eastAsia="Arial" w:hAnsi="Arial"/>
                <w:sz w:val="18"/>
                <w:szCs w:val="18"/>
                <w:color w:val="auto"/>
                <w:w w:val="90"/>
              </w:rPr>
              <w:t>The audit committee’s responsibilities are generally to assist our board of directors in fulfilling</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1"/>
              </w:rPr>
              <w:t>its responsibility to oversee management’s conduct of our accounting and financial reporting</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88"/>
              </w:rPr>
              <w:t>processes. The audit committee also, among other things, appoints our independent registered</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2"/>
              </w:rPr>
              <w:t>public accounting firm, oversees our internal audit function and the independent registered</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8"/>
              </w:rPr>
              <w:t>public accounting firm, reviews and discusses with management and our independent</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1"/>
              </w:rPr>
              <w:t>registered public accounting firm the adequacy and effectiveness of our internal control over</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1"/>
              </w:rPr>
              <w:t>financial reporting as reported by management. The audit committee meets quarterly and at</w:t>
            </w: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rPr>
              <w:t>such additional times as are necessary or advisable.</w:t>
            </w:r>
          </w:p>
        </w:tc>
        <w:tc>
          <w:tcPr>
            <w:tcW w:w="0" w:type="dxa"/>
            <w:vAlign w:val="bottom"/>
          </w:tcPr>
          <w:p>
            <w:pPr>
              <w:spacing w:after="0"/>
              <w:rPr>
                <w:sz w:val="1"/>
                <w:szCs w:val="1"/>
                <w:color w:val="auto"/>
              </w:rPr>
            </w:pPr>
          </w:p>
        </w:tc>
      </w:tr>
      <w:tr>
        <w:trPr>
          <w:trHeight w:val="432"/>
        </w:trPr>
        <w:tc>
          <w:tcPr>
            <w:tcW w:w="368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7720" w:type="dxa"/>
            <w:vAlign w:val="bottom"/>
          </w:tcPr>
          <w:p>
            <w:pPr>
              <w:ind w:left="1020"/>
              <w:spacing w:after="0"/>
              <w:rPr>
                <w:sz w:val="20"/>
                <w:szCs w:val="20"/>
                <w:color w:val="auto"/>
              </w:rPr>
            </w:pPr>
            <w:r>
              <w:rPr>
                <w:rFonts w:ascii="Arial" w:cs="Arial" w:eastAsia="Arial" w:hAnsi="Arial"/>
                <w:sz w:val="18"/>
                <w:szCs w:val="18"/>
                <w:color w:val="auto"/>
              </w:rPr>
              <w:t>April 19, 2013</w:t>
            </w:r>
          </w:p>
        </w:tc>
        <w:tc>
          <w:tcPr>
            <w:tcW w:w="0" w:type="dxa"/>
            <w:vAlign w:val="bottom"/>
          </w:tcPr>
          <w:p>
            <w:pPr>
              <w:spacing w:after="0"/>
              <w:rPr>
                <w:sz w:val="1"/>
                <w:szCs w:val="1"/>
                <w:color w:val="auto"/>
              </w:rPr>
            </w:pPr>
          </w:p>
        </w:tc>
      </w:tr>
      <w:tr>
        <w:trPr>
          <w:trHeight w:val="426"/>
        </w:trPr>
        <w:tc>
          <w:tcPr>
            <w:tcW w:w="36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7720" w:type="dxa"/>
            <w:vAlign w:val="bottom"/>
          </w:tcPr>
          <w:p>
            <w:pPr>
              <w:ind w:left="1020"/>
              <w:spacing w:after="0"/>
              <w:rPr>
                <w:sz w:val="20"/>
                <w:szCs w:val="20"/>
                <w:color w:val="auto"/>
              </w:rPr>
            </w:pPr>
            <w:r>
              <w:rPr>
                <w:rFonts w:ascii="Arial" w:cs="Arial" w:eastAsia="Arial" w:hAnsi="Arial"/>
                <w:sz w:val="18"/>
                <w:szCs w:val="18"/>
                <w:color w:val="auto"/>
                <w:w w:val="92"/>
              </w:rPr>
              <w:t>Our board of directors has determined that each member of the audit committee meets the</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87"/>
              </w:rPr>
              <w:t>applicable independence and financial literacy requirements of Nasdaq and the SEC. Our board</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7"/>
              </w:rPr>
              <w:t>of directors has determined that Dr. Gromer is an “audit committee financial expert” as</w:t>
            </w:r>
          </w:p>
        </w:tc>
        <w:tc>
          <w:tcPr>
            <w:tcW w:w="0" w:type="dxa"/>
            <w:vAlign w:val="bottom"/>
          </w:tcPr>
          <w:p>
            <w:pPr>
              <w:spacing w:after="0"/>
              <w:rPr>
                <w:sz w:val="1"/>
                <w:szCs w:val="1"/>
                <w:color w:val="auto"/>
              </w:rPr>
            </w:pPr>
          </w:p>
        </w:tc>
      </w:tr>
      <w:tr>
        <w:trPr>
          <w:trHeight w:val="222"/>
        </w:trPr>
        <w:tc>
          <w:tcPr>
            <w:tcW w:w="36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Executive Compensation Committee (“ECC”)</w:t>
            </w:r>
          </w:p>
        </w:tc>
        <w:tc>
          <w:tcPr>
            <w:tcW w:w="7720" w:type="dxa"/>
            <w:vAlign w:val="bottom"/>
          </w:tcPr>
          <w:p>
            <w:pPr>
              <w:ind w:left="1020"/>
              <w:spacing w:after="0"/>
              <w:rPr>
                <w:sz w:val="20"/>
                <w:szCs w:val="20"/>
                <w:color w:val="auto"/>
              </w:rPr>
            </w:pPr>
            <w:r>
              <w:rPr>
                <w:rFonts w:ascii="Arial" w:cs="Arial" w:eastAsia="Arial" w:hAnsi="Arial"/>
                <w:sz w:val="18"/>
                <w:szCs w:val="18"/>
                <w:color w:val="auto"/>
              </w:rPr>
              <w:t>required by applicable Nasdaq and SEC rules.</w:t>
            </w:r>
          </w:p>
        </w:tc>
        <w:tc>
          <w:tcPr>
            <w:tcW w:w="0" w:type="dxa"/>
            <w:vAlign w:val="bottom"/>
          </w:tcPr>
          <w:p>
            <w:pPr>
              <w:spacing w:after="0"/>
              <w:rPr>
                <w:sz w:val="1"/>
                <w:szCs w:val="1"/>
                <w:color w:val="auto"/>
              </w:rPr>
            </w:pPr>
          </w:p>
        </w:tc>
      </w:tr>
      <w:tr>
        <w:trPr>
          <w:trHeight w:val="137"/>
        </w:trPr>
        <w:tc>
          <w:tcPr>
            <w:tcW w:w="3680" w:type="dxa"/>
            <w:vAlign w:val="bottom"/>
            <w:gridSpan w:val="2"/>
            <w:vMerge w:val="continue"/>
          </w:tcPr>
          <w:p>
            <w:pPr>
              <w:spacing w:after="0"/>
              <w:rPr>
                <w:sz w:val="11"/>
                <w:szCs w:val="11"/>
                <w:color w:val="auto"/>
              </w:rPr>
            </w:pPr>
          </w:p>
        </w:tc>
        <w:tc>
          <w:tcPr>
            <w:tcW w:w="7720" w:type="dxa"/>
            <w:vAlign w:val="bottom"/>
            <w:vMerge w:val="restart"/>
          </w:tcPr>
          <w:p>
            <w:pPr>
              <w:ind w:left="1020"/>
              <w:spacing w:after="0"/>
              <w:rPr>
                <w:sz w:val="20"/>
                <w:szCs w:val="20"/>
                <w:color w:val="auto"/>
              </w:rPr>
            </w:pPr>
            <w:r>
              <w:rPr>
                <w:rFonts w:ascii="Arial" w:cs="Arial" w:eastAsia="Arial" w:hAnsi="Arial"/>
                <w:sz w:val="18"/>
                <w:szCs w:val="18"/>
                <w:color w:val="auto"/>
              </w:rPr>
              <w:t>At the beginning of fiscal 2013, the ECC was composed of</w:t>
            </w:r>
          </w:p>
        </w:tc>
        <w:tc>
          <w:tcPr>
            <w:tcW w:w="0" w:type="dxa"/>
            <w:vAlign w:val="bottom"/>
          </w:tcPr>
          <w:p>
            <w:pPr>
              <w:spacing w:after="0"/>
              <w:rPr>
                <w:sz w:val="1"/>
                <w:szCs w:val="1"/>
                <w:color w:val="auto"/>
              </w:rPr>
            </w:pPr>
          </w:p>
        </w:tc>
      </w:tr>
      <w:tr>
        <w:trPr>
          <w:trHeight w:val="201"/>
        </w:trPr>
        <w:tc>
          <w:tcPr>
            <w:tcW w:w="21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i w:val="1"/>
                <w:iCs w:val="1"/>
                <w:color w:val="auto"/>
              </w:rPr>
              <w:t>Composition:</w:t>
            </w:r>
          </w:p>
        </w:tc>
        <w:tc>
          <w:tcPr>
            <w:tcW w:w="1580" w:type="dxa"/>
            <w:vAlign w:val="bottom"/>
          </w:tcPr>
          <w:p>
            <w:pPr>
              <w:spacing w:after="0"/>
              <w:rPr>
                <w:sz w:val="17"/>
                <w:szCs w:val="17"/>
                <w:color w:val="auto"/>
              </w:rPr>
            </w:pPr>
          </w:p>
        </w:tc>
        <w:tc>
          <w:tcPr>
            <w:tcW w:w="77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0"/>
              </w:rPr>
              <w:t>Dr. Gromer (Chairman), Dr. Kassakian and Mr. Krueger. On March 21, 2013, Dr. Thakur was</w:t>
            </w: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rPr>
              <w:t>appointed to the ECC.</w:t>
            </w:r>
          </w:p>
        </w:tc>
        <w:tc>
          <w:tcPr>
            <w:tcW w:w="0" w:type="dxa"/>
            <w:vAlign w:val="bottom"/>
          </w:tcPr>
          <w:p>
            <w:pPr>
              <w:spacing w:after="0"/>
              <w:rPr>
                <w:sz w:val="1"/>
                <w:szCs w:val="1"/>
                <w:color w:val="auto"/>
              </w:rPr>
            </w:pPr>
          </w:p>
        </w:tc>
      </w:tr>
      <w:tr>
        <w:trPr>
          <w:trHeight w:val="446"/>
        </w:trPr>
        <w:tc>
          <w:tcPr>
            <w:tcW w:w="368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2014:</w:t>
            </w:r>
          </w:p>
        </w:tc>
        <w:tc>
          <w:tcPr>
            <w:tcW w:w="7720" w:type="dxa"/>
            <w:vAlign w:val="bottom"/>
          </w:tcPr>
          <w:p>
            <w:pPr>
              <w:ind w:left="102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426"/>
        </w:trPr>
        <w:tc>
          <w:tcPr>
            <w:tcW w:w="368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7720" w:type="dxa"/>
            <w:vAlign w:val="bottom"/>
          </w:tcPr>
          <w:p>
            <w:pPr>
              <w:ind w:left="1020"/>
              <w:spacing w:after="0"/>
              <w:rPr>
                <w:sz w:val="20"/>
                <w:szCs w:val="20"/>
                <w:color w:val="auto"/>
              </w:rPr>
            </w:pPr>
            <w:r>
              <w:rPr>
                <w:rFonts w:ascii="Arial" w:cs="Arial" w:eastAsia="Arial" w:hAnsi="Arial"/>
                <w:sz w:val="18"/>
                <w:szCs w:val="18"/>
                <w:color w:val="auto"/>
                <w:w w:val="87"/>
              </w:rPr>
              <w:t>The ECC has the authority to approve salaries and bonuses and other compensation matters for</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7"/>
              </w:rPr>
              <w:t>our executive officers, is responsible for administering equity award programs for non-</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0"/>
              </w:rPr>
              <w:t>executive employees, reviews and recommends changes to our incentive compensation and</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1"/>
              </w:rPr>
              <w:t>other equity based plans and administers executive officer compensation within the terms of</w:t>
            </w: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rPr>
              <w:t>any of our applicable compensation plans.</w:t>
            </w:r>
          </w:p>
        </w:tc>
        <w:tc>
          <w:tcPr>
            <w:tcW w:w="0" w:type="dxa"/>
            <w:vAlign w:val="bottom"/>
          </w:tcPr>
          <w:p>
            <w:pPr>
              <w:spacing w:after="0"/>
              <w:rPr>
                <w:sz w:val="1"/>
                <w:szCs w:val="1"/>
                <w:color w:val="auto"/>
              </w:rPr>
            </w:pPr>
          </w:p>
        </w:tc>
      </w:tr>
      <w:tr>
        <w:trPr>
          <w:trHeight w:val="412"/>
        </w:trPr>
        <w:tc>
          <w:tcPr>
            <w:tcW w:w="21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88"/>
              </w:rPr>
              <w:t>The ECC or a subcommittee comprised of one director meets monthly to approve new hire and</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0"/>
              </w:rPr>
              <w:t>secondary equity grants. For more detail of our equity grant practices, please see “Executive</w:t>
            </w: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rPr>
              <w:t>Compensation — Other Considerations — Equity Grant Practices” below.</w:t>
            </w:r>
          </w:p>
        </w:tc>
        <w:tc>
          <w:tcPr>
            <w:tcW w:w="0" w:type="dxa"/>
            <w:vAlign w:val="bottom"/>
          </w:tcPr>
          <w:p>
            <w:pPr>
              <w:spacing w:after="0"/>
              <w:rPr>
                <w:sz w:val="1"/>
                <w:szCs w:val="1"/>
                <w:color w:val="auto"/>
              </w:rPr>
            </w:pPr>
          </w:p>
        </w:tc>
      </w:tr>
      <w:tr>
        <w:trPr>
          <w:trHeight w:val="446"/>
        </w:trPr>
        <w:tc>
          <w:tcPr>
            <w:tcW w:w="368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7720" w:type="dxa"/>
            <w:vAlign w:val="bottom"/>
          </w:tcPr>
          <w:p>
            <w:pPr>
              <w:ind w:left="1020"/>
              <w:spacing w:after="0"/>
              <w:rPr>
                <w:sz w:val="20"/>
                <w:szCs w:val="20"/>
                <w:color w:val="auto"/>
              </w:rPr>
            </w:pPr>
            <w:r>
              <w:rPr>
                <w:rFonts w:ascii="Arial" w:cs="Arial" w:eastAsia="Arial" w:hAnsi="Arial"/>
                <w:sz w:val="18"/>
                <w:szCs w:val="18"/>
                <w:color w:val="auto"/>
              </w:rPr>
              <w:t>April 19, 2013</w:t>
            </w:r>
          </w:p>
        </w:tc>
        <w:tc>
          <w:tcPr>
            <w:tcW w:w="0" w:type="dxa"/>
            <w:vAlign w:val="bottom"/>
          </w:tcPr>
          <w:p>
            <w:pPr>
              <w:spacing w:after="0"/>
              <w:rPr>
                <w:sz w:val="1"/>
                <w:szCs w:val="1"/>
                <w:color w:val="auto"/>
              </w:rPr>
            </w:pPr>
          </w:p>
        </w:tc>
      </w:tr>
      <w:tr>
        <w:trPr>
          <w:trHeight w:val="426"/>
        </w:trPr>
        <w:tc>
          <w:tcPr>
            <w:tcW w:w="36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7720" w:type="dxa"/>
            <w:vAlign w:val="bottom"/>
          </w:tcPr>
          <w:p>
            <w:pPr>
              <w:ind w:left="1020"/>
              <w:spacing w:after="0"/>
              <w:rPr>
                <w:sz w:val="20"/>
                <w:szCs w:val="20"/>
                <w:color w:val="auto"/>
              </w:rPr>
            </w:pPr>
            <w:r>
              <w:rPr>
                <w:rFonts w:ascii="Arial" w:cs="Arial" w:eastAsia="Arial" w:hAnsi="Arial"/>
                <w:sz w:val="18"/>
                <w:szCs w:val="18"/>
                <w:color w:val="auto"/>
                <w:w w:val="93"/>
              </w:rPr>
              <w:t>Our board of directors has determined that each member of the ECC meets the applicable</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87"/>
              </w:rPr>
              <w:t>independence requirements of Nasdaq and the SEC. In addition, each member of the ECC is an</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7"/>
              </w:rPr>
              <w:t>“outside director” under Section 162(m) of the U.S. Internal Revenue Code of 1986, as</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w w:val="94"/>
              </w:rPr>
              <w:t>amended (the “Code”), and a “non-employee director” under Section 16 of the Securities</w:t>
            </w:r>
          </w:p>
        </w:tc>
        <w:tc>
          <w:tcPr>
            <w:tcW w:w="0" w:type="dxa"/>
            <w:vAlign w:val="bottom"/>
          </w:tcPr>
          <w:p>
            <w:pPr>
              <w:spacing w:after="0"/>
              <w:rPr>
                <w:sz w:val="1"/>
                <w:szCs w:val="1"/>
                <w:color w:val="auto"/>
              </w:rPr>
            </w:pPr>
          </w:p>
        </w:tc>
      </w:tr>
      <w:tr>
        <w:trPr>
          <w:trHeight w:val="222"/>
        </w:trPr>
        <w:tc>
          <w:tcPr>
            <w:tcW w:w="210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7720" w:type="dxa"/>
            <w:vAlign w:val="bottom"/>
          </w:tcPr>
          <w:p>
            <w:pPr>
              <w:ind w:left="1020"/>
              <w:spacing w:after="0"/>
              <w:rPr>
                <w:sz w:val="20"/>
                <w:szCs w:val="20"/>
                <w:color w:val="auto"/>
              </w:rPr>
            </w:pPr>
            <w:r>
              <w:rPr>
                <w:rFonts w:ascii="Arial" w:cs="Arial" w:eastAsia="Arial" w:hAnsi="Arial"/>
                <w:sz w:val="18"/>
                <w:szCs w:val="18"/>
                <w:color w:val="auto"/>
              </w:rPr>
              <w:t>Exchange Act of 1934, as amended (the “Exchange Act”).</w:t>
            </w:r>
          </w:p>
        </w:tc>
        <w:tc>
          <w:tcPr>
            <w:tcW w:w="0" w:type="dxa"/>
            <w:vAlign w:val="bottom"/>
          </w:tcPr>
          <w:p>
            <w:pPr>
              <w:spacing w:after="0"/>
              <w:rPr>
                <w:sz w:val="1"/>
                <w:szCs w:val="1"/>
                <w:color w:val="auto"/>
              </w:rPr>
            </w:pPr>
          </w:p>
        </w:tc>
      </w:tr>
      <w:tr>
        <w:trPr>
          <w:trHeight w:val="365"/>
        </w:trPr>
        <w:tc>
          <w:tcPr>
            <w:tcW w:w="21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7720" w:type="dxa"/>
            <w:vAlign w:val="bottom"/>
          </w:tcPr>
          <w:p>
            <w:pPr>
              <w:ind w:left="188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gridSpan w:val="2"/>
          </w:tcPr>
          <w:p>
            <w:pPr>
              <w:spacing w:after="0"/>
              <w:rPr>
                <w:sz w:val="20"/>
                <w:szCs w:val="20"/>
                <w:color w:val="auto"/>
              </w:rPr>
            </w:pPr>
            <w:r>
              <w:rPr>
                <w:rFonts w:ascii="Arial" w:cs="Arial" w:eastAsia="Arial" w:hAnsi="Arial"/>
                <w:sz w:val="14"/>
                <w:szCs w:val="14"/>
                <w:b w:val="1"/>
                <w:bCs w:val="1"/>
                <w:color w:val="auto"/>
              </w:rPr>
              <w:t>Nominating and Governance Committee</w:t>
            </w:r>
          </w:p>
        </w:tc>
        <w:tc>
          <w:tcPr>
            <w:tcW w:w="7780" w:type="dxa"/>
            <w:vAlign w:val="bottom"/>
            <w:vMerge w:val="restart"/>
          </w:tcPr>
          <w:p>
            <w:pPr>
              <w:ind w:left="1080"/>
              <w:spacing w:after="0"/>
              <w:rPr>
                <w:sz w:val="20"/>
                <w:szCs w:val="20"/>
                <w:color w:val="auto"/>
              </w:rPr>
            </w:pPr>
            <w:r>
              <w:rPr>
                <w:rFonts w:ascii="Arial" w:cs="Arial" w:eastAsia="Arial" w:hAnsi="Arial"/>
                <w:sz w:val="18"/>
                <w:szCs w:val="18"/>
                <w:color w:val="auto"/>
                <w:w w:val="94"/>
              </w:rPr>
              <w:t>Throughout fiscal 2014, the nominating and governance committee was composed of Mr.</w:t>
            </w:r>
          </w:p>
        </w:tc>
        <w:tc>
          <w:tcPr>
            <w:tcW w:w="0" w:type="dxa"/>
            <w:vAlign w:val="bottom"/>
          </w:tcPr>
          <w:p>
            <w:pPr>
              <w:spacing w:after="0"/>
              <w:rPr>
                <w:sz w:val="1"/>
                <w:szCs w:val="1"/>
                <w:color w:val="auto"/>
              </w:rPr>
            </w:pPr>
          </w:p>
        </w:tc>
      </w:tr>
      <w:tr>
        <w:trPr>
          <w:trHeight w:val="201"/>
        </w:trPr>
        <w:tc>
          <w:tcPr>
            <w:tcW w:w="25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i w:val="1"/>
                <w:iCs w:val="1"/>
                <w:color w:val="auto"/>
              </w:rPr>
              <w:t>Composition:</w:t>
            </w:r>
          </w:p>
        </w:tc>
        <w:tc>
          <w:tcPr>
            <w:tcW w:w="1120" w:type="dxa"/>
            <w:vAlign w:val="bottom"/>
          </w:tcPr>
          <w:p>
            <w:pPr>
              <w:spacing w:after="0"/>
              <w:rPr>
                <w:sz w:val="17"/>
                <w:szCs w:val="17"/>
                <w:color w:val="auto"/>
              </w:rPr>
            </w:pPr>
          </w:p>
        </w:tc>
        <w:tc>
          <w:tcPr>
            <w:tcW w:w="77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rPr>
              <w:t>Krueger (Chairman),</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rPr>
              <w:t>Dr. Gromer, Dr. Kassakian and Dr. Thakur.</w:t>
            </w:r>
          </w:p>
        </w:tc>
        <w:tc>
          <w:tcPr>
            <w:tcW w:w="0" w:type="dxa"/>
            <w:vAlign w:val="bottom"/>
          </w:tcPr>
          <w:p>
            <w:pPr>
              <w:spacing w:after="0"/>
              <w:rPr>
                <w:sz w:val="1"/>
                <w:szCs w:val="1"/>
                <w:color w:val="auto"/>
              </w:rPr>
            </w:pPr>
          </w:p>
        </w:tc>
      </w:tr>
      <w:tr>
        <w:trPr>
          <w:trHeight w:val="446"/>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2014:</w:t>
            </w:r>
          </w:p>
        </w:tc>
        <w:tc>
          <w:tcPr>
            <w:tcW w:w="7780" w:type="dxa"/>
            <w:vAlign w:val="bottom"/>
          </w:tcPr>
          <w:p>
            <w:pPr>
              <w:ind w:left="108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426"/>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7780" w:type="dxa"/>
            <w:vAlign w:val="bottom"/>
          </w:tcPr>
          <w:p>
            <w:pPr>
              <w:ind w:left="1080"/>
              <w:spacing w:after="0"/>
              <w:rPr>
                <w:sz w:val="20"/>
                <w:szCs w:val="20"/>
                <w:color w:val="auto"/>
              </w:rPr>
            </w:pPr>
            <w:r>
              <w:rPr>
                <w:rFonts w:ascii="Arial" w:cs="Arial" w:eastAsia="Arial" w:hAnsi="Arial"/>
                <w:sz w:val="18"/>
                <w:szCs w:val="18"/>
                <w:color w:val="auto"/>
                <w:w w:val="91"/>
              </w:rPr>
              <w:t>The nominating and governance committee is responsible for developing and implementing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89"/>
              </w:rPr>
              <w:t>policies and practices relating to corporate governance and practices, including reviewing and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5"/>
              </w:rPr>
              <w:t>monitoring implementation of our corporate governance guidelines. The nominating and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1"/>
              </w:rPr>
              <w:t>governance committee also makes recommendations to our board of directors regarding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87"/>
              </w:rPr>
              <w:t>size and composition of our board of directors and its committees and screens and recommends</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1"/>
              </w:rPr>
              <w:t>candidates for election to our board of directors. In addition, the nominating and governance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2"/>
              </w:rPr>
              <w:t>committee reviews, ratifies and/or approves related party transactions. The nominating and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89"/>
              </w:rPr>
              <w:t>governance committee also reviews periodically with the Chairman of the Board and the Chief</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8"/>
              </w:rPr>
              <w:t>Executive Officer the succession plans relating to positions held by executive officers.</w:t>
            </w:r>
          </w:p>
        </w:tc>
        <w:tc>
          <w:tcPr>
            <w:tcW w:w="0" w:type="dxa"/>
            <w:vAlign w:val="bottom"/>
          </w:tcPr>
          <w:p>
            <w:pPr>
              <w:spacing w:after="0"/>
              <w:rPr>
                <w:sz w:val="1"/>
                <w:szCs w:val="1"/>
                <w:color w:val="auto"/>
              </w:rPr>
            </w:pPr>
          </w:p>
        </w:tc>
      </w:tr>
      <w:tr>
        <w:trPr>
          <w:trHeight w:val="432"/>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7780" w:type="dxa"/>
            <w:vAlign w:val="bottom"/>
          </w:tcPr>
          <w:p>
            <w:pPr>
              <w:ind w:left="1080"/>
              <w:spacing w:after="0"/>
              <w:rPr>
                <w:sz w:val="20"/>
                <w:szCs w:val="20"/>
                <w:color w:val="auto"/>
              </w:rPr>
            </w:pPr>
            <w:r>
              <w:rPr>
                <w:rFonts w:ascii="Arial" w:cs="Arial" w:eastAsia="Arial" w:hAnsi="Arial"/>
                <w:sz w:val="18"/>
                <w:szCs w:val="18"/>
                <w:color w:val="auto"/>
              </w:rPr>
              <w:t>April 19, 2013</w:t>
            </w:r>
          </w:p>
        </w:tc>
        <w:tc>
          <w:tcPr>
            <w:tcW w:w="0" w:type="dxa"/>
            <w:vAlign w:val="bottom"/>
          </w:tcPr>
          <w:p>
            <w:pPr>
              <w:spacing w:after="0"/>
              <w:rPr>
                <w:sz w:val="1"/>
                <w:szCs w:val="1"/>
                <w:color w:val="auto"/>
              </w:rPr>
            </w:pPr>
          </w:p>
        </w:tc>
      </w:tr>
      <w:tr>
        <w:trPr>
          <w:trHeight w:val="426"/>
        </w:trPr>
        <w:tc>
          <w:tcPr>
            <w:tcW w:w="362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7780" w:type="dxa"/>
            <w:vAlign w:val="bottom"/>
          </w:tcPr>
          <w:p>
            <w:pPr>
              <w:ind w:left="1080"/>
              <w:spacing w:after="0"/>
              <w:rPr>
                <w:sz w:val="20"/>
                <w:szCs w:val="20"/>
                <w:color w:val="auto"/>
              </w:rPr>
            </w:pPr>
            <w:r>
              <w:rPr>
                <w:rFonts w:ascii="Arial" w:cs="Arial" w:eastAsia="Arial" w:hAnsi="Arial"/>
                <w:sz w:val="18"/>
                <w:szCs w:val="18"/>
                <w:color w:val="auto"/>
                <w:w w:val="91"/>
              </w:rPr>
              <w:t>Our board of directors has determined that each member of the nominating and governance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780" w:type="dxa"/>
            <w:vAlign w:val="bottom"/>
          </w:tcPr>
          <w:p>
            <w:pPr>
              <w:ind w:left="1080"/>
              <w:spacing w:after="0"/>
              <w:rPr>
                <w:sz w:val="20"/>
                <w:szCs w:val="20"/>
                <w:color w:val="auto"/>
              </w:rPr>
            </w:pPr>
            <w:r>
              <w:rPr>
                <w:rFonts w:ascii="Arial" w:cs="Arial" w:eastAsia="Arial" w:hAnsi="Arial"/>
                <w:sz w:val="18"/>
                <w:szCs w:val="18"/>
                <w:color w:val="auto"/>
                <w:w w:val="98"/>
              </w:rPr>
              <w:t>committee meets the applicable independence requirements of Nasdaq and the SEC.</w:t>
            </w:r>
          </w:p>
        </w:tc>
        <w:tc>
          <w:tcPr>
            <w:tcW w:w="0" w:type="dxa"/>
            <w:vAlign w:val="bottom"/>
          </w:tcPr>
          <w:p>
            <w:pPr>
              <w:spacing w:after="0"/>
              <w:rPr>
                <w:sz w:val="1"/>
                <w:szCs w:val="1"/>
                <w:color w:val="auto"/>
              </w:rPr>
            </w:pPr>
          </w:p>
        </w:tc>
      </w:tr>
    </w:tbl>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Under its charter, the ECC has the authority to directly retain outside legal counsel and other advisors. Pursuant to that authority, the ECC has directly retained Mercer as its independent compensation consultant since April 2009.</w:t>
      </w:r>
    </w:p>
    <w:p>
      <w:pPr>
        <w:spacing w:after="0" w:line="132"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ECC retained Mercer to provide information, analyses and advice regarding executive compensation, as described below; however, the ECC makes all decisions regarding the compensation of our executive officers. The Mercer consultant who performs these services reports to the chairman of the ECC. In addition, the Mercer consultant attended meetings of the ECC during fiscal 2014, as requested by the chairman of the ECC. Mercer provided the following services to us during fiscal 2014:</w:t>
      </w:r>
    </w:p>
    <w:p>
      <w:pPr>
        <w:spacing w:after="0" w:line="62" w:lineRule="exact"/>
        <w:rPr>
          <w:sz w:val="20"/>
          <w:szCs w:val="20"/>
          <w:color w:val="auto"/>
        </w:rPr>
      </w:pPr>
    </w:p>
    <w:p>
      <w:pPr>
        <w:ind w:left="900" w:right="20" w:hanging="325"/>
        <w:spacing w:after="0" w:line="268"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peer companies to support fiscal 2014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color w:val="auto"/>
        </w:rPr>
        <w:t>Provided additional compensation benchmarking data and advice during the year relating to changes among the named executive officer group;</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color w:val="auto"/>
        </w:rPr>
        <w:t>Advised on fiscal 2014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right="340" w:hanging="325"/>
        <w:spacing w:after="0" w:line="268"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peer group and relative to the ECC’s articulated compensation philosophy;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color w:val="auto"/>
        </w:rPr>
        <w:t>Assessed whether our compensation programs might encourage inappropriate risk taking that could have a material adverse effect on us;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Reviewed appropriateness of the peer group in terms of size, industry, business profile and talent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Worked with the ECC in developing programmatic changes in response to Say on Pay vote results and shareholder feedback;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Additional information concerning the compensation policies and objectives established by the ECC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96" w:lineRule="exact"/>
        <w:rPr>
          <w:sz w:val="20"/>
          <w:szCs w:val="20"/>
          <w:color w:val="auto"/>
        </w:rPr>
      </w:pPr>
    </w:p>
    <w:p>
      <w:pPr>
        <w:ind w:right="380" w:firstLine="456"/>
        <w:spacing w:after="0" w:line="256" w:lineRule="auto"/>
        <w:rPr>
          <w:sz w:val="20"/>
          <w:szCs w:val="20"/>
          <w:color w:val="auto"/>
        </w:rPr>
      </w:pPr>
      <w:r>
        <w:rPr>
          <w:rFonts w:ascii="Arial" w:cs="Arial" w:eastAsia="Arial" w:hAnsi="Arial"/>
          <w:sz w:val="18"/>
          <w:szCs w:val="18"/>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would need to be reappointed by shareholders at our next annual general meeting of shareholders.</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2015 Annual General Meeting” on page 54.</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Moreover, it is the policy of the nominating and governance committee to engage annually with our shareholders who hold 5% or more of our outstanding common shares as of December 31 of each year and to discuss desirable skills and attributes for members of the Board with such shareholders.</w:t>
      </w:r>
    </w:p>
    <w:p>
      <w:pPr>
        <w:spacing w:after="0" w:line="85"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are required to have at least one member of our board of directors who meets the criteria for an “audit committee financial expert” as defined by Nasdaq and the SEC, and to have a majority of independent directors who meet the definition of “independent director” under applicable Nasdaq and SEC rules. We also believe it is appropriate for certain key members of management to participate as members of our board of directors. Other than the foregoing there are no stated minimum criteria for director nominees.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are in the best interests of the company and its shareholders, such as the following qualities and skills:</w:t>
      </w:r>
    </w:p>
    <w:p>
      <w:pPr>
        <w:spacing w:after="0" w:line="4" w:lineRule="exact"/>
        <w:rPr>
          <w:sz w:val="20"/>
          <w:szCs w:val="20"/>
          <w:color w:val="auto"/>
        </w:rPr>
      </w:pPr>
    </w:p>
    <w:p>
      <w:pPr>
        <w:ind w:left="900" w:right="460" w:hanging="325"/>
        <w:spacing w:after="0" w:line="268" w:lineRule="auto"/>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8"/>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necessarily apply to every candidate.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The nominating and governance committee will consider all persons recommended in the same manner, regardless of the source of nomination.</w:t>
      </w:r>
    </w:p>
    <w:p>
      <w:pPr>
        <w:spacing w:after="0" w:line="143"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Canon’s Court, 22 Victoria Street,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77"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The ECC for fiscal 2014 consisted of Dr. Gromer, Dr. Kassakian and Mr. Krueger for the entire year, and Dr. Thakur starting on March 21, 2013. None of the members of the ECC who served during fiscal 2014 is a current or former officer or employee of us or our subsidiaries, or had any relationship with us not otherwise disclosed herein under applicable SEC rules. In addition, to our knowledge, there are no ECC interlocks between us and other entities, involving our executive officers or directors who serve as executive officers or directors of such other entities.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This Compensation Discussion and Analysis provides information regarding compensation paid to the named executive officers of Marvell Technology Group Ltd. during fiscal 2014, which ran from February 3, 2013 until February 1, 2014. During fiscal 2014, the named executive officers were:</w:t>
      </w:r>
    </w:p>
    <w:p>
      <w:pPr>
        <w:spacing w:after="0" w:line="126" w:lineRule="exact"/>
        <w:rPr>
          <w:sz w:val="20"/>
          <w:szCs w:val="20"/>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Dr. Sehat Sutardja, Chief Executive Officer and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Ms. Weili Dai, President (from July 14, 2013);</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Mr. Michael Rashkin, Interim Chief Financial Officer (from December 10, 2013);</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Dr. Zining Wu, Chief Technology Officer (from January 15, 2014);</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Mr. Brad Feller, Former Interim Chief Financial Officer (through December 10, 2013);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Dr. Pantas Sutardja, Former Chief Technology Officer and Chief Research and Development Officer (through January 15, 2014).</w:t>
      </w:r>
    </w:p>
    <w:p>
      <w:pPr>
        <w:spacing w:after="0" w:line="171"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President and the Chief Technology Officer are the only positions in addition to the Chief Executive Officer and Chief Financial Officer who have the responsibility level and business impact to qualify as executive officers.</w:t>
      </w:r>
    </w:p>
    <w:p>
      <w:pPr>
        <w:spacing w:after="0" w:line="132"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During fiscal 2014, Mr. Rashkin was appointed Interim Chief Financial Officer of Marvell following the resignation of Mr. Feller. Mr. Rashkin was subsequently confirmed as the permanent Chief Financial Officer, effective February 17, 2014.</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Our Business</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mobile handsets, connectivity and other consumer electronics.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2014 Business Highlights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Fiscal 2014 was the start of a turnaround for Marvell. Net revenue in fiscal 2014 was $3.4 billion, which was 7% higher compared to net revenue of $3.2 billion in fiscal 2013. Revenue for products in the storage market was strong and grew approximately 13% over fiscal 2013 due to strong growth in our solid state drives business and continued share gains in our hard disk drive business. Revenue from our mobile and wireless end market delivered modest growth in fiscal 2014 after undergoing two years of customer and product transitions, and we believe we are now well positioned to deliver strong growth in fiscal 2015. Although revenue for products in our networking market declined in fiscal 2014, the decline was consistent with the overall enterprise networking market. We believe our sustained investments in advanced technologies leading to new innovations will help drive increased business opportunities. We are seeing many of our customers introducing new devices using our innovative solutions, which we believe will drive success across all of our end markets. Our future growth is expected to be driven by areas such as mobile handsets, tablets, connectivity, smart home devices and solid state drives.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financial position is strong and we remain committed to delivering shareholder value through our share repurchase and dividend programs.</w:t>
      </w:r>
    </w:p>
    <w:p>
      <w:pPr>
        <w:spacing w:after="0" w:line="113" w:lineRule="exact"/>
        <w:rPr>
          <w:sz w:val="20"/>
          <w:szCs w:val="20"/>
          <w:color w:val="auto"/>
        </w:rPr>
      </w:pPr>
    </w:p>
    <w:p>
      <w:pPr>
        <w:ind w:left="900" w:right="40" w:hanging="325"/>
        <w:spacing w:after="0" w:line="268"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$2.0 billion at February 1, 2014 and we generated cash flows from operations of $448.0 million in fiscal 2014.</w:t>
      </w:r>
    </w:p>
    <w:p>
      <w:pPr>
        <w:spacing w:after="0" w:line="5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We paid a cumulative cash dividend of $0.24 per share for a total of $119.4 million during fiscal 2014 and we announced and paid a dividend of $0.06 per share in the first quarter of fiscal 2015.</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We repurchased a total of 33.1 million common shares for $354.1 million in cash during fiscal 2014.</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Actions Taken in Consideration of “Say on Pay” Vote</w:t>
      </w:r>
    </w:p>
    <w:p>
      <w:pPr>
        <w:spacing w:after="0" w:line="90" w:lineRule="exact"/>
        <w:rPr>
          <w:sz w:val="20"/>
          <w:szCs w:val="20"/>
          <w:color w:val="auto"/>
        </w:rPr>
      </w:pPr>
    </w:p>
    <w:p>
      <w:pPr>
        <w:jc w:val="both"/>
        <w:ind w:firstLine="456"/>
        <w:spacing w:after="0" w:line="298" w:lineRule="auto"/>
        <w:rPr>
          <w:sz w:val="20"/>
          <w:szCs w:val="20"/>
          <w:color w:val="auto"/>
        </w:rPr>
      </w:pPr>
      <w:r>
        <w:rPr>
          <w:rFonts w:ascii="Arial" w:cs="Arial" w:eastAsia="Arial" w:hAnsi="Arial"/>
          <w:sz w:val="16"/>
          <w:szCs w:val="16"/>
          <w:color w:val="auto"/>
        </w:rPr>
        <w:t>At the 2013 annual general meeting, the shareholders voted on an advisory basis to approve Marvell’s fiscal 2013 named executive officer compensation. We received less shareholder support for our fiscal 2013 named executive officer compensation program than we received for fiscal 2012 (58% versus 74%). We take shareholder feedback very seriously and continue to make significant efforts to adapt our compensation philosophy and principles to respond to the feedback from shareholders and proxy advisory bodies. The series of actions taken since the shareholder vote include the following:</w:t>
      </w:r>
    </w:p>
    <w:p>
      <w:pPr>
        <w:sectPr>
          <w:pgSz w:w="11900" w:h="16838" w:orient="portrait"/>
          <w:cols w:equalWidth="0" w:num="1">
            <w:col w:w="11360"/>
          </w:cols>
          <w:pgMar w:left="240" w:top="459" w:right="299" w:bottom="1440" w:gutter="0" w:footer="0" w:header="0"/>
        </w:sectPr>
      </w:pPr>
    </w:p>
    <w:p>
      <w:pPr>
        <w:spacing w:after="0" w:line="149"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Action Taken</w:t>
      </w:r>
    </w:p>
    <w:p>
      <w:pPr>
        <w:spacing w:after="0" w:line="13" w:lineRule="exact"/>
        <w:rPr>
          <w:sz w:val="20"/>
          <w:szCs w:val="20"/>
          <w:color w:val="auto"/>
        </w:rPr>
      </w:pPr>
    </w:p>
    <w:p>
      <w:pPr>
        <w:jc w:val="both"/>
        <w:ind w:left="220" w:hanging="212"/>
        <w:spacing w:after="0" w:line="329" w:lineRule="auto"/>
        <w:tabs>
          <w:tab w:leader="none" w:pos="179" w:val="left"/>
        </w:tabs>
        <w:numPr>
          <w:ilvl w:val="0"/>
          <w:numId w:val="51"/>
        </w:numPr>
        <w:rPr>
          <w:rFonts w:ascii="Arial" w:cs="Arial" w:eastAsia="Arial" w:hAnsi="Arial"/>
          <w:sz w:val="15"/>
          <w:szCs w:val="15"/>
          <w:color w:val="auto"/>
        </w:rPr>
      </w:pPr>
      <w:r>
        <w:rPr>
          <w:rFonts w:ascii="Arial" w:cs="Arial" w:eastAsia="Arial" w:hAnsi="Arial"/>
          <w:sz w:val="15"/>
          <w:szCs w:val="15"/>
          <w:color w:val="auto"/>
        </w:rPr>
        <w:t>Incorporating fiscal 2013 shareholder feedback, and company performance considerations, into the fiscal 2014 compensation programs</w:t>
      </w:r>
    </w:p>
    <w:p>
      <w:pPr>
        <w:spacing w:after="0" w:line="52" w:lineRule="exact"/>
        <w:rPr>
          <w:rFonts w:ascii="Arial" w:cs="Arial" w:eastAsia="Arial" w:hAnsi="Arial"/>
          <w:sz w:val="15"/>
          <w:szCs w:val="15"/>
          <w:color w:val="auto"/>
        </w:rPr>
      </w:pPr>
    </w:p>
    <w:p>
      <w:pPr>
        <w:ind w:left="180" w:hanging="172"/>
        <w:spacing w:after="0"/>
        <w:tabs>
          <w:tab w:leader="none" w:pos="1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Shareholder outreach during fiscal 2014</w:t>
      </w:r>
    </w:p>
    <w:p>
      <w:pPr>
        <w:spacing w:after="0" w:line="333" w:lineRule="exact"/>
        <w:rPr>
          <w:rFonts w:ascii="Arial" w:cs="Arial" w:eastAsia="Arial" w:hAnsi="Arial"/>
          <w:sz w:val="18"/>
          <w:szCs w:val="18"/>
          <w:color w:val="auto"/>
        </w:rPr>
      </w:pPr>
    </w:p>
    <w:p>
      <w:pPr>
        <w:ind w:left="220" w:hanging="212"/>
        <w:spacing w:after="0" w:line="259" w:lineRule="auto"/>
        <w:tabs>
          <w:tab w:leader="none" w:pos="179" w:val="left"/>
        </w:tabs>
        <w:numPr>
          <w:ilvl w:val="0"/>
          <w:numId w:val="51"/>
        </w:numPr>
        <w:rPr>
          <w:rFonts w:ascii="Arial" w:cs="Arial" w:eastAsia="Arial" w:hAnsi="Arial"/>
          <w:sz w:val="18"/>
          <w:szCs w:val="18"/>
          <w:color w:val="auto"/>
        </w:rPr>
      </w:pPr>
      <w:r>
        <w:rPr>
          <w:rFonts w:ascii="Arial" w:cs="Arial" w:eastAsia="Arial" w:hAnsi="Arial"/>
          <w:sz w:val="18"/>
          <w:szCs w:val="18"/>
          <w:color w:val="auto"/>
        </w:rPr>
        <w:t>Consideration of shareholder feedback received as part of the outreach process in determining fiscal 2015 compensation</w:t>
      </w:r>
    </w:p>
    <w:p>
      <w:pPr>
        <w:spacing w:after="0" w:line="20" w:lineRule="exact"/>
        <w:rPr>
          <w:sz w:val="20"/>
          <w:szCs w:val="20"/>
          <w:color w:val="auto"/>
        </w:rPr>
      </w:pPr>
      <w:r>
        <w:rPr>
          <w:sz w:val="20"/>
          <w:szCs w:val="20"/>
          <w:color w:val="auto"/>
        </w:rPr>
        <w:br w:type="column"/>
      </w:r>
    </w:p>
    <w:p>
      <w:pPr>
        <w:spacing w:after="0" w:line="129"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Example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8890</wp:posOffset>
            </wp:positionV>
            <wp:extent cx="470789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4707890" cy="8890"/>
                    </a:xfrm>
                    <a:prstGeom prst="rect">
                      <a:avLst/>
                    </a:prstGeom>
                    <a:noFill/>
                  </pic:spPr>
                </pic:pic>
              </a:graphicData>
            </a:graphic>
          </wp:anchor>
        </w:drawing>
      </w:r>
    </w:p>
    <w:p>
      <w:pPr>
        <w:ind w:right="160"/>
        <w:spacing w:after="0" w:line="306" w:lineRule="auto"/>
        <w:rPr>
          <w:sz w:val="20"/>
          <w:szCs w:val="20"/>
          <w:color w:val="auto"/>
        </w:rPr>
      </w:pPr>
      <w:r>
        <w:rPr>
          <w:rFonts w:ascii="Arial" w:cs="Arial" w:eastAsia="Arial" w:hAnsi="Arial"/>
          <w:sz w:val="16"/>
          <w:szCs w:val="16"/>
          <w:color w:val="auto"/>
        </w:rPr>
        <w:t>During fiscal 2014, we made significant reductions in CEO and CTO pay opportunity relative to fiscal 2013, with reductions in both annual incentive opportunity and LTI grant value resulting in pay opportunity for named executive officers being positioned well below the median of the peer group.</w:t>
      </w:r>
    </w:p>
    <w:p>
      <w:pPr>
        <w:spacing w:after="0" w:line="53" w:lineRule="exact"/>
        <w:rPr>
          <w:sz w:val="20"/>
          <w:szCs w:val="20"/>
          <w:color w:val="auto"/>
        </w:rPr>
      </w:pPr>
    </w:p>
    <w:p>
      <w:pPr>
        <w:ind w:right="80"/>
        <w:spacing w:after="0" w:line="332" w:lineRule="auto"/>
        <w:rPr>
          <w:sz w:val="20"/>
          <w:szCs w:val="20"/>
          <w:color w:val="auto"/>
        </w:rPr>
      </w:pPr>
      <w:r>
        <w:rPr>
          <w:rFonts w:ascii="Arial" w:cs="Arial" w:eastAsia="Arial" w:hAnsi="Arial"/>
          <w:sz w:val="16"/>
          <w:szCs w:val="16"/>
          <w:color w:val="auto"/>
        </w:rPr>
        <w:t>Marvell has an annual process of outreach to major shareholders, led by the Lead Independent Director, which includes discussions about governance issues of interest to the shareholders.</w:t>
      </w:r>
    </w:p>
    <w:p>
      <w:pPr>
        <w:spacing w:after="0" w:line="3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Continued pay for performance emphasis for NEO compensation programs, including continuation of plan based annual incentive opportunities and re-introduction of performance based equity grants for all NEOs in fiscal 2015.</w:t>
      </w:r>
    </w:p>
    <w:p>
      <w:pPr>
        <w:spacing w:after="0" w:line="127" w:lineRule="exact"/>
        <w:rPr>
          <w:sz w:val="20"/>
          <w:szCs w:val="20"/>
          <w:color w:val="auto"/>
        </w:rPr>
      </w:pPr>
    </w:p>
    <w:p>
      <w:pPr>
        <w:ind w:left="1560"/>
        <w:spacing w:after="0"/>
        <w:rPr>
          <w:sz w:val="20"/>
          <w:szCs w:val="20"/>
          <w:color w:val="auto"/>
        </w:rPr>
      </w:pPr>
      <w:r>
        <w:rPr>
          <w:rFonts w:ascii="Arial" w:cs="Arial" w:eastAsia="Arial" w:hAnsi="Arial"/>
          <w:sz w:val="18"/>
          <w:szCs w:val="18"/>
          <w:color w:val="auto"/>
        </w:rPr>
        <w:t>-22-</w:t>
      </w:r>
    </w:p>
    <w:p>
      <w:pPr>
        <w:sectPr>
          <w:pgSz w:w="11900" w:h="16838" w:orient="portrait"/>
          <w:cols w:equalWidth="0" w:num="2">
            <w:col w:w="3540" w:space="460"/>
            <w:col w:w="7360"/>
          </w:cols>
          <w:pgMar w:left="240" w:top="459" w:right="299" w:bottom="1440" w:gutter="0" w:footer="0" w:header="0"/>
          <w:type w:val="continuous"/>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Specific compensation actions taken during this process include:</w:t>
      </w:r>
    </w:p>
    <w:p>
      <w:pPr>
        <w:spacing w:after="0" w:line="207"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Key Fiscal 2014 Actions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926465"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92646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u w:val="single" w:color="auto"/>
          <w:color w:val="auto"/>
        </w:rPr>
        <w:t>Peer Group Changes</w:t>
      </w:r>
    </w:p>
    <w:p>
      <w:pPr>
        <w:spacing w:after="0" w:line="82"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The ECC has continued the process of peer group evolution to better align the median company size with Marvell. For fiscal 2014 one of the largest peers was replaced with a company closer in size to Marvell that is a competitor for executive talent.</w:t>
      </w:r>
    </w:p>
    <w:p>
      <w:pPr>
        <w:spacing w:after="0" w:line="26" w:lineRule="exact"/>
        <w:rPr>
          <w:sz w:val="20"/>
          <w:szCs w:val="20"/>
          <w:color w:val="auto"/>
        </w:rPr>
      </w:pPr>
    </w:p>
    <w:p>
      <w:pPr>
        <w:ind w:right="600"/>
        <w:spacing w:after="0" w:line="367" w:lineRule="auto"/>
        <w:rPr>
          <w:sz w:val="20"/>
          <w:szCs w:val="20"/>
          <w:color w:val="auto"/>
        </w:rPr>
      </w:pPr>
      <w:r>
        <w:rPr>
          <w:rFonts w:ascii="Arial" w:cs="Arial" w:eastAsia="Arial" w:hAnsi="Arial"/>
          <w:sz w:val="18"/>
          <w:szCs w:val="18"/>
          <w:color w:val="auto"/>
        </w:rPr>
        <w:t xml:space="preserve">See Additional Fiscal 2015 Decisions below for additional peer group changes. </w:t>
      </w:r>
      <w:r>
        <w:rPr>
          <w:rFonts w:ascii="Arial" w:cs="Arial" w:eastAsia="Arial" w:hAnsi="Arial"/>
          <w:sz w:val="18"/>
          <w:szCs w:val="18"/>
          <w:u w:val="single" w:color="auto"/>
          <w:color w:val="auto"/>
        </w:rPr>
        <w:t>Base Salary Freezes</w:t>
      </w:r>
    </w:p>
    <w:p>
      <w:pPr>
        <w:spacing w:after="0" w:line="2"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color w:val="auto"/>
        </w:rPr>
        <w:t>Named executive officers in-situ (non-interim) did not receive fiscal 2014 base salary increases.</w:t>
      </w:r>
    </w:p>
    <w:p>
      <w:pPr>
        <w:spacing w:after="0" w:line="9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Reduced Annual Incentive Opportunities</w:t>
      </w:r>
    </w:p>
    <w:p>
      <w:pPr>
        <w:spacing w:after="0" w:line="90"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color w:val="auto"/>
        </w:rPr>
        <w:t>Annual incentive opportunities for our named executive officers for fiscal 2014 were significantly lower than fiscal 2013 and positioned below the peer group median.</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Significant Equity Award Reduction</w:t>
      </w:r>
    </w:p>
    <w:p>
      <w:pPr>
        <w:spacing w:after="0" w:line="90" w:lineRule="exact"/>
        <w:rPr>
          <w:sz w:val="20"/>
          <w:szCs w:val="20"/>
          <w:color w:val="auto"/>
        </w:rPr>
      </w:pPr>
    </w:p>
    <w:p>
      <w:pPr>
        <w:ind w:right="120"/>
        <w:spacing w:after="0" w:line="332" w:lineRule="auto"/>
        <w:rPr>
          <w:sz w:val="20"/>
          <w:szCs w:val="20"/>
          <w:color w:val="auto"/>
        </w:rPr>
      </w:pPr>
      <w:r>
        <w:rPr>
          <w:rFonts w:ascii="Arial" w:cs="Arial" w:eastAsia="Arial" w:hAnsi="Arial"/>
          <w:sz w:val="16"/>
          <w:szCs w:val="16"/>
          <w:color w:val="auto"/>
        </w:rPr>
        <w:t>The grant date fair value of equity awards provided to our named executive officers in fiscal 2014 was substantially less than those made in the three prior years.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1340"/>
        <w:spacing w:after="0"/>
        <w:rPr>
          <w:sz w:val="20"/>
          <w:szCs w:val="20"/>
          <w:color w:val="auto"/>
        </w:rPr>
      </w:pPr>
      <w:r>
        <w:rPr>
          <w:rFonts w:ascii="Arial" w:cs="Arial" w:eastAsia="Arial" w:hAnsi="Arial"/>
          <w:sz w:val="14"/>
          <w:szCs w:val="14"/>
          <w:b w:val="1"/>
          <w:bCs w:val="1"/>
          <w:color w:val="auto"/>
        </w:rPr>
        <w:t>Relevant Section(s) for Further Details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8890</wp:posOffset>
            </wp:positionV>
            <wp:extent cx="311277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311277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“Fiscal 2014 Peer Group” on page 26</w:t>
      </w:r>
      <w:r>
        <w:rPr>
          <w:rFonts w:ascii="Arial" w:cs="Arial" w:eastAsia="Arial" w:hAnsi="Arial"/>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“Fiscal 2014 Salaries” under “Key Elements of Compensation for Fiscal 2014” on page 27.</w:t>
      </w:r>
    </w:p>
    <w:p>
      <w:pPr>
        <w:spacing w:after="0" w:line="389" w:lineRule="exact"/>
        <w:rPr>
          <w:sz w:val="20"/>
          <w:szCs w:val="20"/>
          <w:color w:val="auto"/>
        </w:rPr>
      </w:pPr>
    </w:p>
    <w:p>
      <w:pPr>
        <w:ind w:right="320"/>
        <w:spacing w:after="0" w:line="332" w:lineRule="auto"/>
        <w:rPr>
          <w:sz w:val="20"/>
          <w:szCs w:val="20"/>
          <w:color w:val="auto"/>
        </w:rPr>
      </w:pPr>
      <w:r>
        <w:rPr>
          <w:rFonts w:ascii="Arial" w:cs="Arial" w:eastAsia="Arial" w:hAnsi="Arial"/>
          <w:sz w:val="16"/>
          <w:szCs w:val="16"/>
          <w:b w:val="1"/>
          <w:bCs w:val="1"/>
          <w:i w:val="1"/>
          <w:iCs w:val="1"/>
          <w:color w:val="auto"/>
        </w:rPr>
        <w:t>“Fiscal 2014 Annual Incentive Plan” under “Key Elements of Compensation for Fiscal 2014” on page 28.</w:t>
      </w:r>
    </w:p>
    <w:p>
      <w:pPr>
        <w:spacing w:after="0" w:line="342"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“Fiscal 2014 Long-Term Incentive Awards” under “Key Elements of Compensation for Fiscal 2014” on page 29.</w:t>
      </w:r>
    </w:p>
    <w:p>
      <w:pPr>
        <w:spacing w:after="0" w:line="168" w:lineRule="exact"/>
        <w:rPr>
          <w:sz w:val="20"/>
          <w:szCs w:val="20"/>
          <w:color w:val="auto"/>
        </w:rPr>
      </w:pPr>
    </w:p>
    <w:p>
      <w:pPr>
        <w:sectPr>
          <w:pgSz w:w="11900" w:h="16838" w:orient="portrait"/>
          <w:cols w:equalWidth="0" w:num="2">
            <w:col w:w="6180" w:space="340"/>
            <w:col w:w="4820"/>
          </w:cols>
          <w:pgMar w:left="240" w:top="459" w:right="319" w:bottom="1440" w:gutter="0" w:footer="0" w:header="0"/>
        </w:sectPr>
      </w:pPr>
    </w:p>
    <w:p>
      <w:pPr>
        <w:spacing w:after="0"/>
        <w:rPr>
          <w:sz w:val="20"/>
          <w:szCs w:val="20"/>
          <w:color w:val="auto"/>
        </w:rPr>
      </w:pPr>
      <w:r>
        <w:rPr>
          <w:rFonts w:ascii="Arial" w:cs="Arial" w:eastAsia="Arial" w:hAnsi="Arial"/>
          <w:sz w:val="14"/>
          <w:szCs w:val="14"/>
          <w:b w:val="1"/>
          <w:bCs w:val="1"/>
          <w:color w:val="auto"/>
        </w:rPr>
        <w:t>Additional Fiscal 2015 Decisions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126047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6047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u w:val="single" w:color="auto"/>
          <w:color w:val="auto"/>
        </w:rPr>
        <w:t>Peer Group Changes</w:t>
      </w:r>
    </w:p>
    <w:p>
      <w:pPr>
        <w:spacing w:after="0" w:line="82"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color w:val="auto"/>
        </w:rPr>
        <w:t>For fiscal 2015 the ECC determined to remove one peer due to concerns about the current company size relative to Marvell.</w:t>
      </w:r>
    </w:p>
    <w:p>
      <w:pPr>
        <w:spacing w:after="0" w:line="91" w:lineRule="exact"/>
        <w:rPr>
          <w:sz w:val="20"/>
          <w:szCs w:val="20"/>
          <w:color w:val="auto"/>
        </w:rPr>
      </w:pPr>
    </w:p>
    <w:p>
      <w:pPr>
        <w:spacing w:after="0"/>
        <w:rPr>
          <w:sz w:val="20"/>
          <w:szCs w:val="20"/>
          <w:color w:val="auto"/>
        </w:rPr>
      </w:pPr>
      <w:r>
        <w:rPr>
          <w:rFonts w:ascii="Arial" w:cs="Arial" w:eastAsia="Arial" w:hAnsi="Arial"/>
          <w:sz w:val="18"/>
          <w:szCs w:val="18"/>
          <w:color w:val="auto"/>
        </w:rPr>
        <w:t>CEO Base Salary Freeze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-13970</wp:posOffset>
            </wp:positionV>
            <wp:extent cx="11049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104900" cy="8890"/>
                    </a:xfrm>
                    <a:prstGeom prst="rect">
                      <a:avLst/>
                    </a:prstGeom>
                    <a:noFill/>
                  </pic:spPr>
                </pic:pic>
              </a:graphicData>
            </a:graphic>
          </wp:anchor>
        </w:drawing>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color w:val="auto"/>
        </w:rPr>
        <w:t>Dr. S. Sutardja did not receive a fiscal 2015 base salary increase.</w:t>
      </w:r>
    </w:p>
    <w:p>
      <w:pPr>
        <w:spacing w:after="0" w:line="13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Introduction of Performance-Contingent Equity Awards:</w:t>
      </w:r>
    </w:p>
    <w:p>
      <w:pPr>
        <w:spacing w:after="0" w:line="90"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Long-term incentive awards to named executive officers in fiscal 2015 will primarily be in the form of performance-contingent equity awards with cliff vesting after 3 years, subject to achievement of pre-set financial and strategic goals.</w:t>
      </w:r>
    </w:p>
    <w:p>
      <w:pPr>
        <w:spacing w:after="0" w:line="20" w:lineRule="exact"/>
        <w:rPr>
          <w:sz w:val="20"/>
          <w:szCs w:val="20"/>
          <w:color w:val="auto"/>
        </w:rPr>
      </w:pPr>
      <w:r>
        <w:rPr>
          <w:sz w:val="20"/>
          <w:szCs w:val="20"/>
          <w:color w:val="auto"/>
        </w:rPr>
        <w:br w:type="column"/>
      </w:r>
    </w:p>
    <w:p>
      <w:pPr>
        <w:ind w:left="1900"/>
        <w:spacing w:after="0"/>
        <w:rPr>
          <w:sz w:val="20"/>
          <w:szCs w:val="20"/>
          <w:color w:val="auto"/>
        </w:rPr>
      </w:pPr>
      <w:r>
        <w:rPr>
          <w:rFonts w:ascii="Arial" w:cs="Arial" w:eastAsia="Arial" w:hAnsi="Arial"/>
          <w:sz w:val="14"/>
          <w:szCs w:val="14"/>
          <w:b w:val="1"/>
          <w:bCs w:val="1"/>
          <w:color w:val="auto"/>
        </w:rPr>
        <w:t>Relevant Section(s)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8890</wp:posOffset>
            </wp:positionV>
            <wp:extent cx="311277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3112770" cy="8890"/>
                    </a:xfrm>
                    <a:prstGeom prst="rect">
                      <a:avLst/>
                    </a:prstGeom>
                    <a:noFill/>
                  </pic:spPr>
                </pic:pic>
              </a:graphicData>
            </a:graphic>
          </wp:anchor>
        </w:drawing>
      </w:r>
    </w:p>
    <w:p>
      <w:pPr>
        <w:spacing w:after="0" w:line="296" w:lineRule="exact"/>
        <w:rPr>
          <w:sz w:val="20"/>
          <w:szCs w:val="20"/>
          <w:color w:val="auto"/>
        </w:rPr>
      </w:pPr>
    </w:p>
    <w:p>
      <w:pPr>
        <w:ind w:right="480"/>
        <w:spacing w:after="0" w:line="332" w:lineRule="auto"/>
        <w:rPr>
          <w:sz w:val="20"/>
          <w:szCs w:val="20"/>
          <w:color w:val="auto"/>
        </w:rPr>
      </w:pPr>
      <w:r>
        <w:rPr>
          <w:rFonts w:ascii="Arial" w:cs="Arial" w:eastAsia="Arial" w:hAnsi="Arial"/>
          <w:sz w:val="16"/>
          <w:szCs w:val="16"/>
          <w:b w:val="1"/>
          <w:bCs w:val="1"/>
          <w:i w:val="1"/>
          <w:iCs w:val="1"/>
          <w:color w:val="auto"/>
        </w:rPr>
        <w:t>“Fiscal 2015 Peer Group Revision” under “Key Fiscal 2015 Compensation Program Decisions” on page 38.</w:t>
      </w:r>
    </w:p>
    <w:p>
      <w:pPr>
        <w:spacing w:after="0" w:line="126" w:lineRule="exact"/>
        <w:rPr>
          <w:sz w:val="20"/>
          <w:szCs w:val="20"/>
          <w:color w:val="auto"/>
        </w:rPr>
      </w:pPr>
    </w:p>
    <w:p>
      <w:pPr>
        <w:ind w:right="320"/>
        <w:spacing w:after="0" w:line="268" w:lineRule="auto"/>
        <w:rPr>
          <w:sz w:val="20"/>
          <w:szCs w:val="20"/>
          <w:color w:val="auto"/>
        </w:rPr>
      </w:pPr>
      <w:r>
        <w:rPr>
          <w:rFonts w:ascii="Arial" w:cs="Arial" w:eastAsia="Arial" w:hAnsi="Arial"/>
          <w:sz w:val="18"/>
          <w:szCs w:val="18"/>
          <w:b w:val="1"/>
          <w:bCs w:val="1"/>
          <w:i w:val="1"/>
          <w:iCs w:val="1"/>
          <w:color w:val="auto"/>
        </w:rPr>
        <w:t>“Fiscal 2015 Salaries” under “Key Fiscal 2015 Compensation Program Decisions” on page 38.</w:t>
      </w:r>
    </w:p>
    <w:p>
      <w:pPr>
        <w:spacing w:after="0" w:line="335" w:lineRule="exact"/>
        <w:rPr>
          <w:sz w:val="20"/>
          <w:szCs w:val="20"/>
          <w:color w:val="auto"/>
        </w:rPr>
      </w:pPr>
    </w:p>
    <w:p>
      <w:pPr>
        <w:ind w:right="280"/>
        <w:spacing w:after="0" w:line="332" w:lineRule="auto"/>
        <w:rPr>
          <w:sz w:val="20"/>
          <w:szCs w:val="20"/>
          <w:color w:val="auto"/>
        </w:rPr>
      </w:pPr>
      <w:r>
        <w:rPr>
          <w:rFonts w:ascii="Arial" w:cs="Arial" w:eastAsia="Arial" w:hAnsi="Arial"/>
          <w:sz w:val="16"/>
          <w:szCs w:val="16"/>
          <w:b w:val="1"/>
          <w:bCs w:val="1"/>
          <w:i w:val="1"/>
          <w:iCs w:val="1"/>
          <w:color w:val="auto"/>
        </w:rPr>
        <w:t>“Fiscal 2015 Long-Term Incentive Awards” under “Key Fiscal 2015 Compensation Program Decisions” on page 39.</w:t>
      </w:r>
    </w:p>
    <w:p>
      <w:pPr>
        <w:spacing w:after="0" w:line="355" w:lineRule="exact"/>
        <w:rPr>
          <w:sz w:val="20"/>
          <w:szCs w:val="20"/>
          <w:color w:val="auto"/>
        </w:rPr>
      </w:pPr>
    </w:p>
    <w:p>
      <w:pPr>
        <w:sectPr>
          <w:pgSz w:w="11900" w:h="16838" w:orient="portrait"/>
          <w:cols w:equalWidth="0" w:num="2">
            <w:col w:w="6140" w:space="380"/>
            <w:col w:w="4820"/>
          </w:cols>
          <w:pgMar w:left="240" w:top="459" w:right="319" w:bottom="1440" w:gutter="0" w:footer="0" w:header="0"/>
          <w:type w:val="continuous"/>
        </w:sectPr>
      </w:pPr>
    </w:p>
    <w:p>
      <w:pPr>
        <w:ind w:right="420" w:firstLine="456"/>
        <w:spacing w:after="0" w:line="332" w:lineRule="auto"/>
        <w:rPr>
          <w:sz w:val="20"/>
          <w:szCs w:val="20"/>
          <w:color w:val="auto"/>
        </w:rPr>
      </w:pPr>
      <w:r>
        <w:rPr>
          <w:rFonts w:ascii="Arial" w:cs="Arial" w:eastAsia="Arial" w:hAnsi="Arial"/>
          <w:sz w:val="16"/>
          <w:szCs w:val="16"/>
          <w:color w:val="auto"/>
        </w:rPr>
        <w:t>Additionally, we continue to maintain the good governance pay practices that we described in last year’s proxy statement, including stock ownership guidelines, clawback policies, no gross up provisions, effective risk management, and maintenance of 162(m) eligible plans.</w:t>
      </w:r>
    </w:p>
    <w:p>
      <w:pPr>
        <w:spacing w:after="0" w:line="85"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At the 2014 annual general meeting, we will again hold an annual advisory vote to approve named executive officer compensation. The ECC will continue to consider the results from this year’s and future advisory votes on named executive officer compensation, as well as feedback from shareholders throughout the course of such year.</w:t>
      </w:r>
    </w:p>
    <w:p>
      <w:pPr>
        <w:spacing w:after="0" w:line="12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40"/>
          </w:cols>
          <w:pgMar w:left="240" w:top="459" w:right="319" w:bottom="1440" w:gutter="0" w:footer="0" w:header="0"/>
          <w:type w:val="continuous"/>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CEO Pay Against Company Performance</w:t>
      </w:r>
    </w:p>
    <w:p>
      <w:pPr>
        <w:spacing w:after="0" w:line="9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A key element of our CEO’s compensation is the explicit link between his compensation and both overall business results and individual performance, as discussed more generally below under “Compensation Philosophy.” Marvell made the following key decisions relating to fiscal 2014 and fiscal 2015 compensation of our CEO in light of the company’s fiscal 2014 performance:</w:t>
      </w:r>
    </w:p>
    <w:p>
      <w:pPr>
        <w:spacing w:after="0" w:line="59" w:lineRule="exact"/>
        <w:rPr>
          <w:sz w:val="20"/>
          <w:szCs w:val="20"/>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No annual incentive plan payout for fiscal 2014 under the Section 162(m) plan;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No discretionary bonus for fiscal 2014;</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No base salary increase for fiscal 2014 and 2015;</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6"/>
          <w:szCs w:val="16"/>
          <w:color w:val="auto"/>
        </w:rPr>
      </w:pPr>
      <w:r>
        <w:rPr>
          <w:rFonts w:ascii="Arial" w:cs="Arial" w:eastAsia="Arial" w:hAnsi="Arial"/>
          <w:sz w:val="16"/>
          <w:szCs w:val="16"/>
          <w:color w:val="auto"/>
        </w:rPr>
        <w:t>Challenging annual incentive plan goals for fiscal 2015 that continue to require significant improvement in company financial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Performance contingent RSUs as the primary equity vehicle for fiscal 2015;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Target compensation for fiscal 2015 that remains below the peer group median.</w:t>
      </w:r>
    </w:p>
    <w:p>
      <w:pPr>
        <w:spacing w:after="0" w:line="171"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Although fiscal 2014 saw some performance improvement and significant strategic business changes, the company’s financial results were not sufficient to meet the very demanding fiscal 2014 annual incentive plan goals. As a result, there was no payout our CEO or any other named executive officer under the 162(m) annual incentive plan. Our stock price and market value increased significantly during fiscal 2014, which we believe reflects our strategic achievements and positioning for continued improvement in financial performance. As a result of our stock price performance, the ECC believes our CEO and other named executive officers were appropriately rewarded for fiscal 2014 performance through the increase in value of their equity awards granted in 2014 and in prior years.</w:t>
      </w:r>
    </w:p>
    <w:p>
      <w:pPr>
        <w:spacing w:after="0" w:line="144"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 xml:space="preserve">The relationship between our CEO’s target pay opportunity, realizable pay, and company performance as measured by total shareholder return (each as defined below) further illustrates the alignment of our CEO’s compensation with business performance, and our emphasis on shareholder value creation. While most of the required compensation disclosures discuss pay opportunities, i.e., the awards that </w:t>
      </w:r>
      <w:r>
        <w:rPr>
          <w:rFonts w:ascii="Arial" w:cs="Arial" w:eastAsia="Arial" w:hAnsi="Arial"/>
          <w:sz w:val="18"/>
          <w:szCs w:val="18"/>
          <w:i w:val="1"/>
          <w:iCs w:val="1"/>
          <w:color w:val="auto"/>
        </w:rPr>
        <w:t>may be earned,</w:t>
      </w:r>
      <w:r>
        <w:rPr>
          <w:rFonts w:ascii="Arial" w:cs="Arial" w:eastAsia="Arial" w:hAnsi="Arial"/>
          <w:sz w:val="18"/>
          <w:szCs w:val="18"/>
          <w:color w:val="auto"/>
        </w:rPr>
        <w:t xml:space="preserve"> realizable pay considers actual compensation that was earned or could be earned based on performance.</w:t>
      </w:r>
    </w:p>
    <w:p>
      <w:pPr>
        <w:spacing w:after="0" w:line="62" w:lineRule="exact"/>
        <w:rPr>
          <w:sz w:val="20"/>
          <w:szCs w:val="20"/>
          <w:color w:val="auto"/>
        </w:rPr>
      </w:pPr>
    </w:p>
    <w:p>
      <w:pPr>
        <w:ind w:left="900" w:hanging="325"/>
        <w:spacing w:after="0" w:line="268"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Target pay opportunity for a given fiscal year means the sum of the salary and target cash bonus opportunity in that fiscal year, plus the grant date fair value of all equity (stock options and restricted stock units) granted in the fiscal year;</w:t>
      </w:r>
    </w:p>
    <w:p>
      <w:pPr>
        <w:spacing w:after="0" w:line="50" w:lineRule="exact"/>
        <w:rPr>
          <w:rFonts w:ascii="Arial" w:cs="Arial" w:eastAsia="Arial" w:hAnsi="Arial"/>
          <w:sz w:val="18"/>
          <w:szCs w:val="18"/>
          <w:color w:val="auto"/>
        </w:rPr>
      </w:pPr>
    </w:p>
    <w:p>
      <w:pPr>
        <w:ind w:left="900" w:right="40" w:hanging="325"/>
        <w:spacing w:after="0" w:line="256"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Realizable pay for a given fiscal year means the sum of salary and actual cash bonus paid for that fiscal year, plus the current (2014 fiscal year-end) realizable value of equity granted in that fiscal year. The current realizable value of equity is calculated as the “in the money” value of stock options assuming that any vested stock options remain unexercised plus the market value of restricted stock units assuming that shares underlying any vested restricted stock units are still held by the CEO; and</w:t>
      </w:r>
    </w:p>
    <w:p>
      <w:pPr>
        <w:spacing w:after="0" w:line="62" w:lineRule="exact"/>
        <w:rPr>
          <w:rFonts w:ascii="Arial" w:cs="Arial" w:eastAsia="Arial" w:hAnsi="Arial"/>
          <w:sz w:val="18"/>
          <w:szCs w:val="18"/>
          <w:color w:val="auto"/>
        </w:rPr>
      </w:pPr>
    </w:p>
    <w:p>
      <w:pPr>
        <w:ind w:left="900" w:right="240" w:hanging="325"/>
        <w:spacing w:after="0" w:line="268"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Total shareholder return is the increase in stock price plus reinvested dividends, measured from the start of each fiscal year through the 2014 fiscal year end.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The following graph shows the target pay opportunity and realizable pay of our CEO, Dr. S. Sutardja, for each of fiscal 2012, 2013 and 2014, and the strong correlation of his realizable pay with total shareholder return.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1154430</wp:posOffset>
            </wp:positionH>
            <wp:positionV relativeFrom="paragraph">
              <wp:posOffset>114935</wp:posOffset>
            </wp:positionV>
            <wp:extent cx="4948555" cy="338772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4948555" cy="33877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20" w:type="dxa"/>
            <w:vAlign w:val="bottom"/>
            <w:gridSpan w:val="2"/>
          </w:tcPr>
          <w:p>
            <w:pPr>
              <w:jc w:val="right"/>
              <w:ind w:right="740"/>
              <w:spacing w:after="0"/>
              <w:rPr>
                <w:sz w:val="20"/>
                <w:szCs w:val="20"/>
                <w:color w:val="auto"/>
              </w:rPr>
            </w:pPr>
            <w:r>
              <w:rPr>
                <w:rFonts w:ascii="Arial" w:cs="Arial" w:eastAsia="Arial" w:hAnsi="Arial"/>
                <w:sz w:val="14"/>
                <w:szCs w:val="14"/>
                <w:b w:val="1"/>
                <w:bCs w:val="1"/>
                <w:color w:val="auto"/>
              </w:rPr>
              <w:t>FY2012</w:t>
            </w:r>
          </w:p>
        </w:tc>
        <w:tc>
          <w:tcPr>
            <w:tcW w:w="100" w:type="dxa"/>
            <w:vAlign w:val="bottom"/>
          </w:tcPr>
          <w:p>
            <w:pPr>
              <w:spacing w:after="0"/>
              <w:rPr>
                <w:sz w:val="14"/>
                <w:szCs w:val="14"/>
                <w:color w:val="auto"/>
              </w:rPr>
            </w:pPr>
          </w:p>
        </w:tc>
        <w:tc>
          <w:tcPr>
            <w:tcW w:w="114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FY2013</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FY2014</w:t>
            </w:r>
          </w:p>
        </w:tc>
      </w:tr>
      <w:tr>
        <w:trPr>
          <w:trHeight w:val="210"/>
        </w:trPr>
        <w:tc>
          <w:tcPr>
            <w:tcW w:w="74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Dr. S. Sutardja Target Pay Opportunity</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13,324,040</w:t>
            </w:r>
          </w:p>
        </w:tc>
        <w:tc>
          <w:tcPr>
            <w:tcW w:w="5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13,916,750</w:t>
            </w:r>
          </w:p>
        </w:tc>
        <w:tc>
          <w:tcPr>
            <w:tcW w:w="3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8,385,200</w:t>
            </w:r>
          </w:p>
        </w:tc>
        <w:tc>
          <w:tcPr>
            <w:tcW w:w="200" w:type="dxa"/>
            <w:vAlign w:val="bottom"/>
            <w:tcBorders>
              <w:top w:val="single" w:sz="8" w:color="CCEEFF"/>
            </w:tcBorders>
            <w:shd w:val="clear" w:color="auto" w:fill="CCEEFF"/>
          </w:tcPr>
          <w:p>
            <w:pPr>
              <w:spacing w:after="0"/>
              <w:rPr>
                <w:sz w:val="18"/>
                <w:szCs w:val="18"/>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Dr. S. Sutardja Realizable Pay</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963,076</w:t>
            </w:r>
          </w:p>
        </w:tc>
        <w:tc>
          <w:tcPr>
            <w:tcW w:w="5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tcPr>
          <w:p>
            <w:pPr>
              <w:jc w:val="right"/>
              <w:ind w:right="340"/>
              <w:spacing w:after="0"/>
              <w:rPr>
                <w:sz w:val="20"/>
                <w:szCs w:val="20"/>
                <w:color w:val="auto"/>
              </w:rPr>
            </w:pPr>
            <w:r>
              <w:rPr>
                <w:rFonts w:ascii="Arial" w:cs="Arial" w:eastAsia="Arial" w:hAnsi="Arial"/>
                <w:sz w:val="18"/>
                <w:szCs w:val="18"/>
                <w:color w:val="auto"/>
                <w:w w:val="97"/>
              </w:rPr>
              <w:t>3,836,000</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10,091,000</w:t>
            </w: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 Return (as of FYE 2014)</w:t>
            </w: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-6.5%</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0.0%</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64.7%</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Note: Realizable LTI values based on January 31, 2014 (last trading day of fiscal 2014) MRVL closing price of $14.93.</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chart indicates that Dr. S. Sutardja’s realizable pay over the last few years is well aligned with our stock performance. This is because the largest portion of his target pay opportunity is provided in the form of equity-based long-term incentive awards, of which a majority has been in the form of stock options that have no realizable value if share price has not increased and/or other performance goals have not been met.</w:t>
      </w:r>
    </w:p>
    <w:p>
      <w:pPr>
        <w:spacing w:after="0" w:line="107"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The impact of company performance on Dr. S. Sutardja’s realizable pay highlights the continued alignment of the CEO compensation program with shareholder interests.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2014 Named Executive Officer Compensation Determination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Philosophy</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60" w:hanging="325"/>
        <w:spacing w:after="0" w:line="275" w:lineRule="auto"/>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1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900" w:hanging="325"/>
        <w:spacing w:after="0"/>
        <w:tabs>
          <w:tab w:leader="none" w:pos="900" w:val="left"/>
        </w:tabs>
        <w:numPr>
          <w:ilvl w:val="0"/>
          <w:numId w:val="55"/>
        </w:numPr>
        <w:rPr>
          <w:rFonts w:ascii="Arial" w:cs="Arial" w:eastAsia="Arial" w:hAnsi="Arial"/>
          <w:sz w:val="16"/>
          <w:szCs w:val="16"/>
          <w:color w:val="auto"/>
        </w:rPr>
      </w:pPr>
      <w:r>
        <w:rPr>
          <w:rFonts w:ascii="Arial" w:cs="Arial" w:eastAsia="Arial" w:hAnsi="Arial"/>
          <w:sz w:val="16"/>
          <w:szCs w:val="16"/>
          <w:b w:val="1"/>
          <w:bCs w:val="1"/>
          <w:color w:val="auto"/>
        </w:rPr>
        <w:t xml:space="preserve">Performance 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400" w:hanging="325"/>
        <w:spacing w:after="0" w:line="275" w:lineRule="auto"/>
        <w:tabs>
          <w:tab w:leader="none" w:pos="90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and</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55"/>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ind w:right="380" w:firstLine="456"/>
        <w:spacing w:after="0" w:line="259" w:lineRule="auto"/>
        <w:rPr>
          <w:sz w:val="20"/>
          <w:szCs w:val="20"/>
          <w:color w:val="auto"/>
        </w:rPr>
      </w:pPr>
      <w:r>
        <w:rPr>
          <w:rFonts w:ascii="Arial" w:cs="Arial" w:eastAsia="Arial" w:hAnsi="Arial"/>
          <w:sz w:val="18"/>
          <w:szCs w:val="18"/>
          <w:color w:val="auto"/>
        </w:rPr>
        <w:t>The ECC believes that both the elements and level of fiscal 2014 compensation for executive officers was consistent with the five primary objectives contained in our compensation philosophy as well as the overall goal of emphasizing sustained share price growth. In particular, the ECC believes that the structure and level of our fiscal 2014 compensation was linked to our business performance.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2014 Peer Group</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fiscal 2014, the ECC reviewed its pre-existing peer group for alignment with companies that are similar in revenue, industry segment and/or which compete with us for talent. The ECC utilized competitive market compensation data based on the practices of the revised peer group to guide fiscal 2014 pay decisions:</w:t>
      </w:r>
    </w:p>
    <w:p>
      <w:pPr>
        <w:sectPr>
          <w:pgSz w:w="11900" w:h="16838" w:orient="portrait"/>
          <w:cols w:equalWidth="0" w:num="1">
            <w:col w:w="11320"/>
          </w:cols>
          <w:pgMar w:left="240" w:top="459" w:right="339" w:bottom="1440" w:gutter="0" w:footer="0" w:header="0"/>
        </w:sectPr>
      </w:pPr>
    </w:p>
    <w:p>
      <w:pPr>
        <w:spacing w:after="0" w:line="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2014</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740" w:type="dxa"/>
            <w:vAlign w:val="bottom"/>
            <w:gridSpan w:val="3"/>
          </w:tcPr>
          <w:p>
            <w:pPr>
              <w:ind w:left="440"/>
              <w:spacing w:after="0"/>
              <w:rPr>
                <w:sz w:val="20"/>
                <w:szCs w:val="20"/>
                <w:color w:val="auto"/>
              </w:rPr>
            </w:pPr>
            <w:r>
              <w:rPr>
                <w:rFonts w:ascii="Arial" w:cs="Arial" w:eastAsia="Arial" w:hAnsi="Arial"/>
                <w:sz w:val="14"/>
                <w:szCs w:val="14"/>
                <w:b w:val="1"/>
                <w:bCs w:val="1"/>
                <w:color w:val="auto"/>
              </w:rPr>
              <w:t>Status for Fiscal</w:t>
            </w:r>
          </w:p>
        </w:tc>
      </w:tr>
      <w:tr>
        <w:trPr>
          <w:trHeight w:val="161"/>
        </w:trPr>
        <w:tc>
          <w:tcPr>
            <w:tcW w:w="2600" w:type="dxa"/>
            <w:vAlign w:val="bottom"/>
            <w:gridSpan w:val="2"/>
          </w:tcPr>
          <w:p>
            <w:pPr>
              <w:spacing w:after="0"/>
              <w:rPr>
                <w:sz w:val="20"/>
                <w:szCs w:val="20"/>
                <w:color w:val="auto"/>
              </w:rPr>
            </w:pPr>
            <w:r>
              <w:rPr>
                <w:rFonts w:ascii="Arial" w:cs="Arial" w:eastAsia="Arial" w:hAnsi="Arial"/>
                <w:sz w:val="14"/>
                <w:szCs w:val="14"/>
                <w:b w:val="1"/>
                <w:bCs w:val="1"/>
                <w:color w:val="auto"/>
              </w:rPr>
              <w:t>Company</w:t>
            </w:r>
          </w:p>
        </w:tc>
        <w:tc>
          <w:tcPr>
            <w:tcW w:w="1740" w:type="dxa"/>
            <w:vAlign w:val="bottom"/>
            <w:gridSpan w:val="3"/>
          </w:tcPr>
          <w:p>
            <w:pPr>
              <w:ind w:left="440"/>
              <w:spacing w:after="0"/>
              <w:rPr>
                <w:sz w:val="20"/>
                <w:szCs w:val="20"/>
                <w:color w:val="auto"/>
              </w:rPr>
            </w:pPr>
            <w:r>
              <w:rPr>
                <w:rFonts w:ascii="Arial" w:cs="Arial" w:eastAsia="Arial" w:hAnsi="Arial"/>
                <w:sz w:val="14"/>
                <w:szCs w:val="14"/>
                <w:b w:val="1"/>
                <w:bCs w:val="1"/>
                <w:color w:val="auto"/>
              </w:rPr>
              <w:t>2014 Peer Group</w:t>
            </w:r>
          </w:p>
        </w:tc>
      </w:tr>
      <w:tr>
        <w:trPr>
          <w:trHeight w:val="201"/>
        </w:trPr>
        <w:tc>
          <w:tcPr>
            <w:tcW w:w="6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Adobe</w:t>
            </w:r>
          </w:p>
        </w:tc>
        <w:tc>
          <w:tcPr>
            <w:tcW w:w="2000" w:type="dxa"/>
            <w:vAlign w:val="bottom"/>
          </w:tcPr>
          <w:p>
            <w:pPr>
              <w:spacing w:after="0" w:line="201" w:lineRule="exact"/>
              <w:rPr>
                <w:sz w:val="20"/>
                <w:szCs w:val="20"/>
                <w:color w:val="auto"/>
              </w:rPr>
            </w:pPr>
            <w:r>
              <w:rPr>
                <w:rFonts w:ascii="Arial" w:cs="Arial" w:eastAsia="Arial" w:hAnsi="Arial"/>
                <w:sz w:val="18"/>
                <w:szCs w:val="18"/>
                <w:color w:val="auto"/>
              </w:rPr>
              <w:t>Systems Incorporated</w:t>
            </w:r>
          </w:p>
        </w:tc>
        <w:tc>
          <w:tcPr>
            <w:tcW w:w="440" w:type="dxa"/>
            <w:vAlign w:val="bottom"/>
          </w:tcPr>
          <w:p>
            <w:pPr>
              <w:spacing w:after="0"/>
              <w:rPr>
                <w:sz w:val="17"/>
                <w:szCs w:val="17"/>
                <w:color w:val="auto"/>
              </w:rPr>
            </w:pPr>
          </w:p>
        </w:tc>
        <w:tc>
          <w:tcPr>
            <w:tcW w:w="1040" w:type="dxa"/>
            <w:vAlign w:val="bottom"/>
            <w:tcBorders>
              <w:top w:val="single" w:sz="8" w:color="auto"/>
            </w:tcBorders>
          </w:tcPr>
          <w:p>
            <w:pPr>
              <w:ind w:left="220"/>
              <w:spacing w:after="0" w:line="201" w:lineRule="exact"/>
              <w:rPr>
                <w:sz w:val="20"/>
                <w:szCs w:val="20"/>
                <w:color w:val="auto"/>
              </w:rPr>
            </w:pPr>
            <w:r>
              <w:rPr>
                <w:rFonts w:ascii="Arial" w:cs="Arial" w:eastAsia="Arial" w:hAnsi="Arial"/>
                <w:sz w:val="18"/>
                <w:szCs w:val="18"/>
                <w:color w:val="auto"/>
                <w:w w:val="97"/>
              </w:rPr>
              <w:t>Remained</w:t>
            </w:r>
          </w:p>
        </w:tc>
        <w:tc>
          <w:tcPr>
            <w:tcW w:w="260" w:type="dxa"/>
            <w:vAlign w:val="bottom"/>
          </w:tcPr>
          <w:p>
            <w:pPr>
              <w:spacing w:after="0"/>
              <w:rPr>
                <w:sz w:val="20"/>
                <w:szCs w:val="20"/>
                <w:color w:val="auto"/>
              </w:rPr>
            </w:pPr>
            <w:r>
              <w:rPr>
                <w:rFonts w:ascii="Arial" w:cs="Arial" w:eastAsia="Arial" w:hAnsi="Arial"/>
                <w:sz w:val="16"/>
                <w:szCs w:val="16"/>
                <w:color w:val="auto"/>
                <w:w w:val="70"/>
              </w:rPr>
              <w:t>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Advanced Micro Devices,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Altera Corporation</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5"/>
              </w:rPr>
              <w:t>New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Juniper Networks,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LSI Corporation</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NetApp,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QUALCOMM Incorporated</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16"/>
        </w:trPr>
        <w:tc>
          <w:tcPr>
            <w:tcW w:w="2600" w:type="dxa"/>
            <w:vAlign w:val="bottom"/>
            <w:gridSpan w:val="2"/>
          </w:tcPr>
          <w:p>
            <w:pPr>
              <w:spacing w:after="0"/>
              <w:rPr>
                <w:sz w:val="20"/>
                <w:szCs w:val="20"/>
                <w:color w:val="auto"/>
              </w:rPr>
            </w:pPr>
            <w:r>
              <w:rPr>
                <w:rFonts w:ascii="Arial" w:cs="Arial" w:eastAsia="Arial" w:hAnsi="Arial"/>
                <w:sz w:val="18"/>
                <w:szCs w:val="18"/>
                <w:color w:val="auto"/>
              </w:rPr>
              <w:t>Xilinx, Inc.</w:t>
            </w:r>
          </w:p>
        </w:tc>
        <w:tc>
          <w:tcPr>
            <w:tcW w:w="440" w:type="dxa"/>
            <w:vAlign w:val="bottom"/>
          </w:tcPr>
          <w:p>
            <w:pPr>
              <w:spacing w:after="0"/>
              <w:rPr>
                <w:sz w:val="18"/>
                <w:szCs w:val="18"/>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6"/>
              </w:rPr>
              <w:t>Remained Peer</w:t>
            </w:r>
          </w:p>
        </w:tc>
      </w:tr>
      <w:tr>
        <w:trPr>
          <w:trHeight w:val="222"/>
        </w:trPr>
        <w:tc>
          <w:tcPr>
            <w:tcW w:w="2600" w:type="dxa"/>
            <w:vAlign w:val="bottom"/>
            <w:gridSpan w:val="2"/>
          </w:tcPr>
          <w:p>
            <w:pPr>
              <w:spacing w:after="0"/>
              <w:rPr>
                <w:sz w:val="20"/>
                <w:szCs w:val="20"/>
                <w:color w:val="auto"/>
              </w:rPr>
            </w:pPr>
            <w:r>
              <w:rPr>
                <w:rFonts w:ascii="Arial" w:cs="Arial" w:eastAsia="Arial" w:hAnsi="Arial"/>
                <w:sz w:val="18"/>
                <w:szCs w:val="18"/>
                <w:color w:val="auto"/>
              </w:rPr>
              <w:t>Texas Instruments Inc</w:t>
            </w:r>
          </w:p>
        </w:tc>
        <w:tc>
          <w:tcPr>
            <w:tcW w:w="440" w:type="dxa"/>
            <w:vAlign w:val="bottom"/>
          </w:tcPr>
          <w:p>
            <w:pPr>
              <w:spacing w:after="0"/>
              <w:rPr>
                <w:sz w:val="19"/>
                <w:szCs w:val="19"/>
                <w:color w:val="auto"/>
              </w:rPr>
            </w:pPr>
          </w:p>
        </w:tc>
        <w:tc>
          <w:tcPr>
            <w:tcW w:w="1300" w:type="dxa"/>
            <w:vAlign w:val="bottom"/>
            <w:gridSpan w:val="2"/>
          </w:tcPr>
          <w:p>
            <w:pPr>
              <w:jc w:val="center"/>
              <w:ind w:left="132"/>
              <w:spacing w:after="0"/>
              <w:rPr>
                <w:sz w:val="20"/>
                <w:szCs w:val="20"/>
                <w:color w:val="auto"/>
              </w:rPr>
            </w:pPr>
            <w:r>
              <w:rPr>
                <w:rFonts w:ascii="Arial" w:cs="Arial" w:eastAsia="Arial" w:hAnsi="Arial"/>
                <w:sz w:val="18"/>
                <w:szCs w:val="18"/>
                <w:color w:val="auto"/>
                <w:w w:val="88"/>
              </w:rPr>
              <w:t>Removed</w:t>
            </w:r>
          </w:p>
        </w:tc>
      </w:tr>
    </w:tbl>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b w:val="1"/>
          <w:bCs w:val="1"/>
          <w:color w:val="auto"/>
        </w:rPr>
        <w:t>Description of Fiscal 2014 Peer Group</w:t>
      </w:r>
    </w:p>
    <w:p>
      <w:pPr>
        <w:spacing w:after="0" w:line="83" w:lineRule="exact"/>
        <w:rPr>
          <w:sz w:val="20"/>
          <w:szCs w:val="20"/>
          <w:color w:val="auto"/>
        </w:rPr>
      </w:pPr>
    </w:p>
    <w:p>
      <w:pPr>
        <w:ind w:left="400" w:right="120" w:hanging="392"/>
        <w:spacing w:after="0" w:line="306" w:lineRule="auto"/>
        <w:tabs>
          <w:tab w:leader="none" w:pos="400" w:val="left"/>
        </w:tabs>
        <w:numPr>
          <w:ilvl w:val="0"/>
          <w:numId w:val="56"/>
        </w:numPr>
        <w:rPr>
          <w:rFonts w:ascii="Arial" w:cs="Arial" w:eastAsia="Arial" w:hAnsi="Arial"/>
          <w:sz w:val="16"/>
          <w:szCs w:val="16"/>
          <w:color w:val="auto"/>
        </w:rPr>
      </w:pPr>
      <w:r>
        <w:rPr>
          <w:rFonts w:ascii="Arial" w:cs="Arial" w:eastAsia="Arial" w:hAnsi="Arial"/>
          <w:sz w:val="16"/>
          <w:szCs w:val="16"/>
          <w:color w:val="auto"/>
        </w:rPr>
        <w:t>Consists of semiconductor companies and other similarly-sized companies in the technology industry the executive compensation committee believed to be generally comparable to us in terms of revenue, EBITDA margin and market value.</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from Fiscal 2013 Peer Group</w:t>
      </w:r>
    </w:p>
    <w:p>
      <w:pPr>
        <w:spacing w:after="0" w:line="83" w:lineRule="exact"/>
        <w:rPr>
          <w:sz w:val="20"/>
          <w:szCs w:val="20"/>
          <w:color w:val="auto"/>
        </w:rPr>
      </w:pPr>
    </w:p>
    <w:p>
      <w:pPr>
        <w:ind w:left="400" w:right="640" w:hanging="392"/>
        <w:spacing w:after="0" w:line="268" w:lineRule="auto"/>
        <w:tabs>
          <w:tab w:leader="none" w:pos="4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executive compensation committee took the following actions related to Marvell’s fiscal 2014 peer group:</w:t>
      </w:r>
    </w:p>
    <w:p>
      <w:pPr>
        <w:spacing w:after="0" w:line="37" w:lineRule="exact"/>
        <w:rPr>
          <w:rFonts w:ascii="Arial" w:cs="Arial" w:eastAsia="Arial" w:hAnsi="Arial"/>
          <w:sz w:val="18"/>
          <w:szCs w:val="18"/>
          <w:color w:val="auto"/>
        </w:rPr>
      </w:pPr>
    </w:p>
    <w:p>
      <w:pPr>
        <w:ind w:left="760" w:right="180" w:hanging="293"/>
        <w:spacing w:after="0" w:line="268" w:lineRule="auto"/>
        <w:tabs>
          <w:tab w:leader="none" w:pos="760" w:val="left"/>
        </w:tabs>
        <w:numPr>
          <w:ilvl w:val="1"/>
          <w:numId w:val="57"/>
        </w:numPr>
        <w:rPr>
          <w:rFonts w:ascii="Arial" w:cs="Arial" w:eastAsia="Arial" w:hAnsi="Arial"/>
          <w:sz w:val="18"/>
          <w:szCs w:val="18"/>
          <w:color w:val="auto"/>
        </w:rPr>
      </w:pPr>
      <w:r>
        <w:rPr>
          <w:rFonts w:ascii="Arial" w:cs="Arial" w:eastAsia="Arial" w:hAnsi="Arial"/>
          <w:sz w:val="18"/>
          <w:szCs w:val="18"/>
          <w:color w:val="auto"/>
        </w:rPr>
        <w:t>Removed Texas Instruments Inc. due to concerns over company’s current size relative to that of Marvell;</w:t>
      </w:r>
    </w:p>
    <w:p>
      <w:pPr>
        <w:spacing w:after="0" w:line="37" w:lineRule="exact"/>
        <w:rPr>
          <w:rFonts w:ascii="Arial" w:cs="Arial" w:eastAsia="Arial" w:hAnsi="Arial"/>
          <w:sz w:val="18"/>
          <w:szCs w:val="18"/>
          <w:color w:val="auto"/>
        </w:rPr>
      </w:pPr>
    </w:p>
    <w:p>
      <w:pPr>
        <w:ind w:left="760" w:right="360" w:hanging="293"/>
        <w:spacing w:after="0" w:line="268" w:lineRule="auto"/>
        <w:tabs>
          <w:tab w:leader="none" w:pos="760" w:val="left"/>
        </w:tabs>
        <w:numPr>
          <w:ilvl w:val="1"/>
          <w:numId w:val="57"/>
        </w:numPr>
        <w:rPr>
          <w:rFonts w:ascii="Arial" w:cs="Arial" w:eastAsia="Arial" w:hAnsi="Arial"/>
          <w:sz w:val="18"/>
          <w:szCs w:val="18"/>
          <w:color w:val="auto"/>
        </w:rPr>
      </w:pPr>
      <w:r>
        <w:rPr>
          <w:rFonts w:ascii="Arial" w:cs="Arial" w:eastAsia="Arial" w:hAnsi="Arial"/>
          <w:sz w:val="18"/>
          <w:szCs w:val="18"/>
          <w:color w:val="auto"/>
        </w:rPr>
        <w:t>Included Altera Corp., a smaller company relative to Marvell’s size but one with which Marvell competes for talent; and</w:t>
      </w:r>
    </w:p>
    <w:p>
      <w:pPr>
        <w:spacing w:after="0" w:line="37" w:lineRule="exact"/>
        <w:rPr>
          <w:rFonts w:ascii="Arial" w:cs="Arial" w:eastAsia="Arial" w:hAnsi="Arial"/>
          <w:sz w:val="18"/>
          <w:szCs w:val="18"/>
          <w:color w:val="auto"/>
        </w:rPr>
      </w:pPr>
    </w:p>
    <w:p>
      <w:pPr>
        <w:ind w:left="760" w:right="60" w:hanging="293"/>
        <w:spacing w:after="0" w:line="298" w:lineRule="auto"/>
        <w:tabs>
          <w:tab w:leader="none" w:pos="760" w:val="left"/>
        </w:tabs>
        <w:numPr>
          <w:ilvl w:val="1"/>
          <w:numId w:val="57"/>
        </w:numPr>
        <w:rPr>
          <w:rFonts w:ascii="Arial" w:cs="Arial" w:eastAsia="Arial" w:hAnsi="Arial"/>
          <w:sz w:val="16"/>
          <w:szCs w:val="16"/>
          <w:color w:val="auto"/>
        </w:rPr>
      </w:pPr>
      <w:r>
        <w:rPr>
          <w:rFonts w:ascii="Arial" w:cs="Arial" w:eastAsia="Arial" w:hAnsi="Arial"/>
          <w:sz w:val="16"/>
          <w:szCs w:val="16"/>
          <w:color w:val="auto"/>
        </w:rPr>
        <w:t>Kept Qualcomm Inc. as a peer despite company’s current size relative to that of Marvell because the executive compensation committee determined the company to be a direct competitor with Marvell, both in terms of business and talent. Qualcomm has since been dropped from the peer group for FY2015.</w:t>
      </w:r>
    </w:p>
    <w:p>
      <w:pPr>
        <w:spacing w:after="0" w:line="200" w:lineRule="exact"/>
        <w:rPr>
          <w:sz w:val="20"/>
          <w:szCs w:val="20"/>
          <w:color w:val="auto"/>
        </w:rPr>
      </w:pPr>
    </w:p>
    <w:p>
      <w:pPr>
        <w:sectPr>
          <w:pgSz w:w="11900" w:h="16838" w:orient="portrait"/>
          <w:cols w:equalWidth="0" w:num="2">
            <w:col w:w="4340" w:space="560"/>
            <w:col w:w="6420"/>
          </w:cols>
          <w:pgMar w:left="240" w:top="459" w:right="339" w:bottom="1440" w:gutter="0" w:footer="0" w:header="0"/>
          <w:type w:val="continuous"/>
        </w:sectPr>
      </w:pPr>
    </w:p>
    <w:p>
      <w:pPr>
        <w:spacing w:after="0" w:line="7" w:lineRule="exact"/>
        <w:rPr>
          <w:sz w:val="20"/>
          <w:szCs w:val="20"/>
          <w:color w:val="auto"/>
        </w:rPr>
      </w:pPr>
    </w:p>
    <w:p>
      <w:pPr>
        <w:jc w:val="center"/>
        <w:ind w:right="-99"/>
        <w:spacing w:after="0"/>
        <w:rPr>
          <w:sz w:val="20"/>
          <w:szCs w:val="20"/>
          <w:color w:val="auto"/>
        </w:rPr>
      </w:pPr>
      <w:r>
        <w:rPr>
          <w:rFonts w:ascii="Arial" w:cs="Arial" w:eastAsia="Arial" w:hAnsi="Arial"/>
          <w:sz w:val="16"/>
          <w:szCs w:val="16"/>
          <w:color w:val="auto"/>
        </w:rPr>
        <w:t>-26-</w:t>
      </w:r>
    </w:p>
    <w:p>
      <w:pPr>
        <w:sectPr>
          <w:pgSz w:w="11900" w:h="16838" w:orient="portrait"/>
          <w:cols w:equalWidth="0" w:num="1">
            <w:col w:w="11320"/>
          </w:cols>
          <w:pgMar w:left="240" w:top="459" w:right="339" w:bottom="1440" w:gutter="0" w:footer="0" w:header="0"/>
          <w:type w:val="continuous"/>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i w:val="1"/>
          <w:iCs w:val="1"/>
          <w:color w:val="auto"/>
        </w:rPr>
        <w:t xml:space="preserve">The Determination Process </w:t>
      </w:r>
      <w:r>
        <w:rPr>
          <w:rFonts w:ascii="Arial" w:cs="Arial" w:eastAsia="Arial" w:hAnsi="Arial"/>
          <w:sz w:val="18"/>
          <w:szCs w:val="18"/>
          <w:color w:val="auto"/>
        </w:rPr>
        <w:t>After establishing our guiding principles and amending the peer group as outlined above, the ECC then determined the amount</w:t>
      </w:r>
      <w:r>
        <w:rPr>
          <w:rFonts w:ascii="Arial" w:cs="Arial" w:eastAsia="Arial" w:hAnsi="Arial"/>
          <w:sz w:val="18"/>
          <w:szCs w:val="18"/>
          <w:i w:val="1"/>
          <w:iCs w:val="1"/>
          <w:color w:val="auto"/>
        </w:rPr>
        <w:t xml:space="preserve"> </w:t>
      </w:r>
      <w:r>
        <w:rPr>
          <w:rFonts w:ascii="Arial" w:cs="Arial" w:eastAsia="Arial" w:hAnsi="Arial"/>
          <w:sz w:val="18"/>
          <w:szCs w:val="18"/>
          <w:color w:val="auto"/>
        </w:rPr>
        <w:t>of each compensation element for the named executive officers in a two-step process, as follows:</w:t>
      </w:r>
    </w:p>
    <w:p>
      <w:pPr>
        <w:sectPr>
          <w:pgSz w:w="11900" w:h="16838" w:orient="portrait"/>
          <w:cols w:equalWidth="0" w:num="1">
            <w:col w:w="11420"/>
          </w:cols>
          <w:pgMar w:left="240" w:top="459" w:right="239" w:bottom="1440" w:gutter="0" w:footer="0" w:header="0"/>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jc w:val="both"/>
        <w:ind w:left="220" w:right="3270" w:hanging="212"/>
        <w:spacing w:after="0" w:line="359" w:lineRule="auto"/>
        <w:tabs>
          <w:tab w:leader="none" w:pos="179" w:val="left"/>
        </w:tabs>
        <w:numPr>
          <w:ilvl w:val="0"/>
          <w:numId w:val="58"/>
        </w:numPr>
        <w:rPr>
          <w:rFonts w:ascii="Arial" w:cs="Arial" w:eastAsia="Arial" w:hAnsi="Arial"/>
          <w:sz w:val="15"/>
          <w:szCs w:val="15"/>
          <w:color w:val="auto"/>
        </w:rPr>
      </w:pPr>
      <w:r>
        <w:rPr>
          <w:rFonts w:ascii="Arial" w:cs="Arial" w:eastAsia="Arial" w:hAnsi="Arial"/>
          <w:sz w:val="15"/>
          <w:szCs w:val="15"/>
          <w:color w:val="auto"/>
        </w:rPr>
        <w:t>Evaluate each element of compensation separately</w:t>
      </w:r>
    </w:p>
    <w:p>
      <w:pPr>
        <w:spacing w:after="0" w:line="299" w:lineRule="exact"/>
        <w:rPr>
          <w:rFonts w:ascii="Arial" w:cs="Arial" w:eastAsia="Arial" w:hAnsi="Arial"/>
          <w:sz w:val="15"/>
          <w:szCs w:val="15"/>
          <w:color w:val="auto"/>
        </w:rPr>
      </w:pPr>
    </w:p>
    <w:p>
      <w:pPr>
        <w:ind w:left="220" w:right="3030" w:hanging="212"/>
        <w:spacing w:after="0" w:line="298" w:lineRule="auto"/>
        <w:tabs>
          <w:tab w:leader="none" w:pos="179" w:val="left"/>
        </w:tabs>
        <w:numPr>
          <w:ilvl w:val="0"/>
          <w:numId w:val="58"/>
        </w:numPr>
        <w:rPr>
          <w:rFonts w:ascii="Arial" w:cs="Arial" w:eastAsia="Arial" w:hAnsi="Arial"/>
          <w:sz w:val="16"/>
          <w:szCs w:val="16"/>
          <w:color w:val="auto"/>
        </w:rPr>
      </w:pPr>
      <w:r>
        <w:rPr>
          <w:rFonts w:ascii="Arial" w:cs="Arial" w:eastAsia="Arial" w:hAnsi="Arial"/>
          <w:sz w:val="16"/>
          <w:szCs w:val="16"/>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62" w:lineRule="exact"/>
        <w:rPr>
          <w:sz w:val="20"/>
          <w:szCs w:val="20"/>
          <w:color w:val="auto"/>
        </w:rPr>
      </w:pPr>
    </w:p>
    <w:p>
      <w:pPr>
        <w:jc w:val="center"/>
        <w:ind w:right="-9"/>
        <w:spacing w:after="0"/>
        <w:rPr>
          <w:sz w:val="20"/>
          <w:szCs w:val="20"/>
          <w:color w:val="auto"/>
        </w:rPr>
      </w:pP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0</wp:posOffset>
            </wp:positionV>
            <wp:extent cx="347345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ind w:left="10"/>
        <w:spacing w:after="0" w:line="254" w:lineRule="auto"/>
        <w:rPr>
          <w:sz w:val="20"/>
          <w:szCs w:val="20"/>
          <w:color w:val="auto"/>
        </w:rPr>
      </w:pPr>
      <w:r>
        <w:rPr>
          <w:rFonts w:ascii="Arial" w:cs="Arial" w:eastAsia="Arial" w:hAnsi="Arial"/>
          <w:sz w:val="18"/>
          <w:szCs w:val="18"/>
          <w:color w:val="auto"/>
        </w:rPr>
        <w:t>Ensure that each component of compensation meets the desired objectives for that element (i.e., base salary, target annual incentive opportunity and equity awards).</w:t>
      </w:r>
    </w:p>
    <w:p>
      <w:pPr>
        <w:spacing w:after="0" w:line="145" w:lineRule="exact"/>
        <w:rPr>
          <w:sz w:val="20"/>
          <w:szCs w:val="20"/>
          <w:color w:val="auto"/>
        </w:rPr>
      </w:pPr>
    </w:p>
    <w:p>
      <w:pPr>
        <w:ind w:left="10"/>
        <w:spacing w:after="0"/>
        <w:rPr>
          <w:sz w:val="20"/>
          <w:szCs w:val="20"/>
          <w:color w:val="auto"/>
        </w:rPr>
      </w:pPr>
      <w:r>
        <w:rPr>
          <w:rFonts w:ascii="Arial" w:cs="Arial" w:eastAsia="Arial" w:hAnsi="Arial"/>
          <w:sz w:val="18"/>
          <w:szCs w:val="18"/>
          <w:color w:val="auto"/>
        </w:rPr>
        <w:t>Ensure that:</w:t>
      </w:r>
    </w:p>
    <w:p>
      <w:pPr>
        <w:spacing w:after="0" w:line="90" w:lineRule="exact"/>
        <w:rPr>
          <w:sz w:val="20"/>
          <w:szCs w:val="20"/>
          <w:color w:val="auto"/>
        </w:rPr>
      </w:pPr>
    </w:p>
    <w:p>
      <w:pPr>
        <w:ind w:left="10" w:right="240" w:hanging="10"/>
        <w:spacing w:after="0" w:line="268" w:lineRule="auto"/>
        <w:tabs>
          <w:tab w:leader="none" w:pos="247" w:val="left"/>
        </w:tabs>
        <w:numPr>
          <w:ilvl w:val="0"/>
          <w:numId w:val="59"/>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when compared against the peer group; and</w:t>
      </w:r>
    </w:p>
    <w:p>
      <w:pPr>
        <w:spacing w:after="0" w:line="50" w:lineRule="exact"/>
        <w:rPr>
          <w:rFonts w:ascii="Arial" w:cs="Arial" w:eastAsia="Arial" w:hAnsi="Arial"/>
          <w:sz w:val="18"/>
          <w:szCs w:val="18"/>
          <w:color w:val="auto"/>
        </w:rPr>
      </w:pPr>
    </w:p>
    <w:p>
      <w:pPr>
        <w:ind w:left="10" w:right="280" w:hanging="10"/>
        <w:spacing w:after="0" w:line="332" w:lineRule="auto"/>
        <w:tabs>
          <w:tab w:leader="none" w:pos="247" w:val="left"/>
        </w:tabs>
        <w:numPr>
          <w:ilvl w:val="0"/>
          <w:numId w:val="59"/>
        </w:numPr>
        <w:rPr>
          <w:rFonts w:ascii="Arial" w:cs="Arial" w:eastAsia="Arial" w:hAnsi="Arial"/>
          <w:sz w:val="16"/>
          <w:szCs w:val="16"/>
          <w:color w:val="auto"/>
        </w:rPr>
      </w:pPr>
      <w:r>
        <w:rPr>
          <w:rFonts w:ascii="Arial" w:cs="Arial" w:eastAsia="Arial" w:hAnsi="Arial"/>
          <w:sz w:val="16"/>
          <w:szCs w:val="16"/>
          <w:color w:val="auto"/>
        </w:rPr>
        <w:t>Compensation is consistent with market practices and all decisions are based on the judgment of the members of the ECC.</w:t>
      </w:r>
    </w:p>
    <w:p>
      <w:pPr>
        <w:spacing w:after="0" w:line="99" w:lineRule="exact"/>
        <w:rPr>
          <w:sz w:val="20"/>
          <w:szCs w:val="20"/>
          <w:color w:val="auto"/>
        </w:rPr>
      </w:pPr>
    </w:p>
    <w:p>
      <w:pPr>
        <w:sectPr>
          <w:pgSz w:w="11900" w:h="16838" w:orient="portrait"/>
          <w:cols w:equalWidth="0" w:num="2">
            <w:col w:w="5230" w:space="720"/>
            <w:col w:w="5470"/>
          </w:cols>
          <w:pgMar w:left="240" w:top="459" w:right="239" w:bottom="1440" w:gutter="0" w:footer="0" w:header="0"/>
          <w:type w:val="continuous"/>
        </w:sectPr>
      </w:pPr>
    </w:p>
    <w:p>
      <w:pPr>
        <w:ind w:right="660" w:firstLine="456"/>
        <w:spacing w:after="0" w:line="332" w:lineRule="auto"/>
        <w:rPr>
          <w:sz w:val="20"/>
          <w:szCs w:val="20"/>
          <w:color w:val="auto"/>
        </w:rPr>
      </w:pPr>
      <w:r>
        <w:rPr>
          <w:rFonts w:ascii="Arial" w:cs="Arial" w:eastAsia="Arial" w:hAnsi="Arial"/>
          <w:sz w:val="16"/>
          <w:szCs w:val="16"/>
          <w:color w:val="auto"/>
        </w:rPr>
        <w:t>As a starting point, the ECC reviewed competitive compensation market data collected and analyzed by Mercer from the compensation peer group described above. The compensation data represented the most recently available data at the conclusion of calendar year 2012.</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Elements of Compensation for Fiscal 2014</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2014 Salaries</w:t>
      </w:r>
    </w:p>
    <w:p>
      <w:pPr>
        <w:spacing w:after="0" w:line="90"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Following a year-end assessment of the named executive officers’ individual performance, the company’s financial performance, and a review of named executive officer compensation relative to our peer companies, the ECC decided to maintain fiscal 2013 base salary levels for Dr. S. Sutardja, our CEO and Dr. P. Sutardja, our former CTO. Mr. Feller, our then interim CFO, received an adjustment in relation to his role as Controller.</w:t>
      </w:r>
    </w:p>
    <w:p>
      <w:pPr>
        <w:spacing w:after="0" w:line="107"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The resulting fiscal 2014 named executive officer salaries were below the median of peer company salary data (as available at the time that the ECC approved our fiscal 2014 compensation programs).</w:t>
      </w:r>
    </w:p>
    <w:p>
      <w:pPr>
        <w:spacing w:after="0" w:line="156"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1400" w:type="dxa"/>
            <w:vAlign w:val="bottom"/>
            <w:vMerge w:val="restart"/>
          </w:tcPr>
          <w:p>
            <w:pPr>
              <w:spacing w:after="0"/>
              <w:rPr>
                <w:sz w:val="14"/>
                <w:szCs w:val="14"/>
                <w:color w:val="auto"/>
              </w:rPr>
            </w:pPr>
          </w:p>
        </w:tc>
        <w:tc>
          <w:tcPr>
            <w:tcW w:w="1900" w:type="dxa"/>
            <w:vAlign w:val="bottom"/>
            <w:gridSpan w:val="3"/>
          </w:tcPr>
          <w:p>
            <w:pPr>
              <w:ind w:left="960"/>
              <w:spacing w:after="0"/>
              <w:rPr>
                <w:sz w:val="20"/>
                <w:szCs w:val="20"/>
                <w:color w:val="auto"/>
              </w:rPr>
            </w:pPr>
            <w:r>
              <w:rPr>
                <w:rFonts w:ascii="Arial" w:cs="Arial" w:eastAsia="Arial" w:hAnsi="Arial"/>
                <w:sz w:val="14"/>
                <w:szCs w:val="14"/>
                <w:b w:val="1"/>
                <w:bCs w:val="1"/>
                <w:color w:val="auto"/>
                <w:w w:val="82"/>
              </w:rPr>
              <w:t>Fiscal 2014 Base</w:t>
            </w:r>
          </w:p>
        </w:tc>
        <w:tc>
          <w:tcPr>
            <w:tcW w:w="1900" w:type="dxa"/>
            <w:vAlign w:val="bottom"/>
            <w:gridSpan w:val="3"/>
          </w:tcPr>
          <w:p>
            <w:pPr>
              <w:jc w:val="right"/>
              <w:spacing w:after="0"/>
              <w:rPr>
                <w:sz w:val="20"/>
                <w:szCs w:val="20"/>
                <w:color w:val="auto"/>
              </w:rPr>
            </w:pPr>
            <w:r>
              <w:rPr>
                <w:rFonts w:ascii="Arial" w:cs="Arial" w:eastAsia="Arial" w:hAnsi="Arial"/>
                <w:sz w:val="14"/>
                <w:szCs w:val="14"/>
                <w:b w:val="1"/>
                <w:bCs w:val="1"/>
                <w:color w:val="auto"/>
              </w:rPr>
              <w:t>Fiscal 2013 Base</w:t>
            </w:r>
          </w:p>
        </w:tc>
        <w:tc>
          <w:tcPr>
            <w:tcW w:w="19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Fiscal 2014 %</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1400" w:type="dxa"/>
            <w:vAlign w:val="bottom"/>
            <w:vMerge w:val="continue"/>
          </w:tcPr>
          <w:p>
            <w:pPr>
              <w:spacing w:after="0"/>
              <w:rPr>
                <w:sz w:val="12"/>
                <w:szCs w:val="12"/>
                <w:color w:val="auto"/>
              </w:rPr>
            </w:pPr>
          </w:p>
        </w:tc>
        <w:tc>
          <w:tcPr>
            <w:tcW w:w="9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jc w:val="right"/>
              <w:ind w:right="197"/>
              <w:spacing w:after="0" w:line="148" w:lineRule="exact"/>
              <w:rPr>
                <w:sz w:val="20"/>
                <w:szCs w:val="20"/>
                <w:color w:val="auto"/>
              </w:rPr>
            </w:pPr>
            <w:r>
              <w:rPr>
                <w:rFonts w:ascii="Arial" w:cs="Arial" w:eastAsia="Arial" w:hAnsi="Arial"/>
                <w:sz w:val="14"/>
                <w:szCs w:val="14"/>
                <w:b w:val="1"/>
                <w:bCs w:val="1"/>
                <w:color w:val="auto"/>
              </w:rPr>
              <w:t>Salary</w:t>
            </w:r>
          </w:p>
        </w:tc>
        <w:tc>
          <w:tcPr>
            <w:tcW w:w="9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jc w:val="right"/>
              <w:ind w:right="217"/>
              <w:spacing w:after="0" w:line="148" w:lineRule="exact"/>
              <w:rPr>
                <w:sz w:val="20"/>
                <w:szCs w:val="20"/>
                <w:color w:val="auto"/>
              </w:rPr>
            </w:pPr>
            <w:r>
              <w:rPr>
                <w:rFonts w:ascii="Arial" w:cs="Arial" w:eastAsia="Arial" w:hAnsi="Arial"/>
                <w:sz w:val="14"/>
                <w:szCs w:val="14"/>
                <w:b w:val="1"/>
                <w:bCs w:val="1"/>
                <w:color w:val="auto"/>
              </w:rPr>
              <w:t>Salary</w:t>
            </w:r>
          </w:p>
        </w:tc>
        <w:tc>
          <w:tcPr>
            <w:tcW w:w="940" w:type="dxa"/>
            <w:vAlign w:val="bottom"/>
          </w:tcPr>
          <w:p>
            <w:pPr>
              <w:spacing w:after="0"/>
              <w:rPr>
                <w:sz w:val="12"/>
                <w:szCs w:val="12"/>
                <w:color w:val="auto"/>
              </w:rPr>
            </w:pPr>
          </w:p>
        </w:tc>
        <w:tc>
          <w:tcPr>
            <w:tcW w:w="102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rPr>
              <w:t>Increase</w:t>
            </w:r>
          </w:p>
        </w:tc>
        <w:tc>
          <w:tcPr>
            <w:tcW w:w="0" w:type="dxa"/>
            <w:vAlign w:val="bottom"/>
          </w:tcPr>
          <w:p>
            <w:pPr>
              <w:spacing w:after="0"/>
              <w:rPr>
                <w:sz w:val="1"/>
                <w:szCs w:val="1"/>
                <w:color w:val="auto"/>
              </w:rPr>
            </w:pPr>
          </w:p>
        </w:tc>
      </w:tr>
      <w:tr>
        <w:trPr>
          <w:trHeight w:val="20"/>
        </w:trPr>
        <w:tc>
          <w:tcPr>
            <w:tcW w:w="20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 Sutardja</w:t>
            </w:r>
          </w:p>
        </w:tc>
        <w:tc>
          <w:tcPr>
            <w:tcW w:w="96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96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940" w:type="dxa"/>
            <w:vAlign w:val="bottom"/>
            <w:vMerge w:val="restart"/>
            <w:shd w:val="clear" w:color="auto" w:fill="CCEEFF"/>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00" w:type="dxa"/>
            <w:vAlign w:val="bottom"/>
            <w:gridSpan w:val="2"/>
            <w:vMerge w:val="continue"/>
            <w:shd w:val="clear" w:color="auto" w:fill="CCEEFF"/>
          </w:tcPr>
          <w:p>
            <w:pPr>
              <w:spacing w:after="0"/>
              <w:rPr>
                <w:sz w:val="17"/>
                <w:szCs w:val="17"/>
                <w:color w:val="auto"/>
              </w:rPr>
            </w:pPr>
          </w:p>
        </w:tc>
        <w:tc>
          <w:tcPr>
            <w:tcW w:w="96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96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940" w:type="dxa"/>
            <w:vAlign w:val="bottom"/>
            <w:vMerge w:val="continue"/>
            <w:shd w:val="clear" w:color="auto" w:fill="CCEEFF"/>
          </w:tcPr>
          <w:p>
            <w:pPr>
              <w:spacing w:after="0"/>
              <w:rPr>
                <w:sz w:val="17"/>
                <w:szCs w:val="17"/>
                <w:color w:val="auto"/>
              </w:rPr>
            </w:pPr>
          </w:p>
        </w:tc>
        <w:tc>
          <w:tcPr>
            <w:tcW w:w="102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r>
        <w:trPr>
          <w:trHeight w:val="216"/>
        </w:trPr>
        <w:tc>
          <w:tcPr>
            <w:tcW w:w="2000" w:type="dxa"/>
            <w:vAlign w:val="bottom"/>
            <w:gridSpan w:val="2"/>
          </w:tcPr>
          <w:p>
            <w:pPr>
              <w:spacing w:after="0"/>
              <w:rPr>
                <w:sz w:val="20"/>
                <w:szCs w:val="20"/>
                <w:color w:val="auto"/>
              </w:rPr>
            </w:pPr>
            <w:r>
              <w:rPr>
                <w:rFonts w:ascii="Arial" w:cs="Arial" w:eastAsia="Arial" w:hAnsi="Arial"/>
                <w:sz w:val="18"/>
                <w:szCs w:val="18"/>
                <w:color w:val="auto"/>
              </w:rPr>
              <w:t>Mr. Feller</w:t>
            </w:r>
            <w:r>
              <w:rPr>
                <w:rFonts w:ascii="Arial" w:cs="Arial" w:eastAsia="Arial" w:hAnsi="Arial"/>
                <w:sz w:val="11"/>
                <w:szCs w:val="11"/>
                <w:color w:val="auto"/>
              </w:rPr>
              <w:t>1</w:t>
            </w:r>
          </w:p>
        </w:tc>
        <w:tc>
          <w:tcPr>
            <w:tcW w:w="1140" w:type="dxa"/>
            <w:vAlign w:val="bottom"/>
            <w:gridSpan w:val="2"/>
          </w:tcPr>
          <w:p>
            <w:pPr>
              <w:ind w:left="96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285,000</w:t>
            </w:r>
          </w:p>
        </w:tc>
        <w:tc>
          <w:tcPr>
            <w:tcW w:w="1140" w:type="dxa"/>
            <w:vAlign w:val="bottom"/>
            <w:gridSpan w:val="2"/>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274,010</w:t>
            </w:r>
          </w:p>
        </w:tc>
        <w:tc>
          <w:tcPr>
            <w:tcW w:w="1960" w:type="dxa"/>
            <w:vAlign w:val="bottom"/>
            <w:gridSpan w:val="3"/>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2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 Sutardja</w:t>
            </w:r>
          </w:p>
        </w:tc>
        <w:tc>
          <w:tcPr>
            <w:tcW w:w="1140" w:type="dxa"/>
            <w:vAlign w:val="bottom"/>
            <w:gridSpan w:val="2"/>
            <w:shd w:val="clear" w:color="auto" w:fill="CCEEFF"/>
          </w:tcPr>
          <w:p>
            <w:pPr>
              <w:ind w:left="9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425,000</w:t>
            </w:r>
          </w:p>
        </w:tc>
        <w:tc>
          <w:tcPr>
            <w:tcW w:w="1140" w:type="dxa"/>
            <w:vAlign w:val="bottom"/>
            <w:gridSpan w:val="2"/>
            <w:shd w:val="clear" w:color="auto" w:fill="CCEEFF"/>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425,000</w:t>
            </w:r>
          </w:p>
        </w:tc>
        <w:tc>
          <w:tcPr>
            <w:tcW w:w="1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80" w:hanging="452"/>
        <w:spacing w:after="0" w:line="268" w:lineRule="auto"/>
        <w:tabs>
          <w:tab w:leader="none" w:pos="460" w:val="left"/>
        </w:tabs>
        <w:numPr>
          <w:ilvl w:val="0"/>
          <w:numId w:val="60"/>
        </w:numPr>
        <w:rPr>
          <w:rFonts w:ascii="Arial" w:cs="Arial" w:eastAsia="Arial" w:hAnsi="Arial"/>
          <w:sz w:val="18"/>
          <w:szCs w:val="18"/>
          <w:color w:val="auto"/>
        </w:rPr>
      </w:pPr>
      <w:r>
        <w:rPr>
          <w:rFonts w:ascii="Arial" w:cs="Arial" w:eastAsia="Arial" w:hAnsi="Arial"/>
          <w:sz w:val="18"/>
          <w:szCs w:val="18"/>
          <w:color w:val="auto"/>
        </w:rPr>
        <w:t>Mr. Feller’s fiscal 2014 base salary of $285,000 was based on his role as Controller. He received a supplemental $ 50,000 (annualized) for his service as interim Chief Financial Officer.</w:t>
      </w:r>
    </w:p>
    <w:p>
      <w:pPr>
        <w:spacing w:after="0" w:line="132" w:lineRule="exact"/>
        <w:rPr>
          <w:sz w:val="20"/>
          <w:szCs w:val="20"/>
          <w:color w:val="auto"/>
        </w:rPr>
      </w:pPr>
    </w:p>
    <w:p>
      <w:pPr>
        <w:ind w:right="320" w:firstLine="456"/>
        <w:spacing w:after="0" w:line="306" w:lineRule="auto"/>
        <w:rPr>
          <w:sz w:val="20"/>
          <w:szCs w:val="20"/>
          <w:color w:val="auto"/>
        </w:rPr>
      </w:pPr>
      <w:r>
        <w:rPr>
          <w:rFonts w:ascii="Arial" w:cs="Arial" w:eastAsia="Arial" w:hAnsi="Arial"/>
          <w:sz w:val="16"/>
          <w:szCs w:val="16"/>
          <w:color w:val="auto"/>
        </w:rPr>
        <w:t>Ms. Dai, Mr. Rashkin, and Dr. Wu were not named executive officers at the time of the year-end assessment, and as such, their fiscal 2014 base salaries were not determined by the ECC. Fiscal 2014 base salaries for Ms. Dai, Mr Rashkin and Dr. Wu were as determined for their prior roles for Marvell Semiconductor, Inc. as Vice President, Datacom, Project Manager and Vice President, Data Storage Technology, respectively.</w:t>
      </w:r>
    </w:p>
    <w:p>
      <w:pPr>
        <w:spacing w:after="0" w:line="13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1360" w:type="dxa"/>
            <w:vAlign w:val="bottom"/>
            <w:vMerge w:val="restart"/>
          </w:tcPr>
          <w:p>
            <w:pPr>
              <w:spacing w:after="0"/>
              <w:rPr>
                <w:sz w:val="14"/>
                <w:szCs w:val="14"/>
                <w:color w:val="auto"/>
              </w:rPr>
            </w:pPr>
          </w:p>
        </w:tc>
        <w:tc>
          <w:tcPr>
            <w:tcW w:w="2000" w:type="dxa"/>
            <w:vAlign w:val="bottom"/>
            <w:gridSpan w:val="3"/>
          </w:tcPr>
          <w:p>
            <w:pPr>
              <w:jc w:val="right"/>
              <w:spacing w:after="0"/>
              <w:rPr>
                <w:sz w:val="20"/>
                <w:szCs w:val="20"/>
                <w:color w:val="auto"/>
              </w:rPr>
            </w:pPr>
            <w:r>
              <w:rPr>
                <w:rFonts w:ascii="Arial" w:cs="Arial" w:eastAsia="Arial" w:hAnsi="Arial"/>
                <w:sz w:val="14"/>
                <w:szCs w:val="14"/>
                <w:b w:val="1"/>
                <w:bCs w:val="1"/>
                <w:color w:val="auto"/>
              </w:rPr>
              <w:t>Fiscal 2014 Base</w:t>
            </w:r>
          </w:p>
        </w:tc>
        <w:tc>
          <w:tcPr>
            <w:tcW w:w="1860" w:type="dxa"/>
            <w:vAlign w:val="bottom"/>
            <w:gridSpan w:val="3"/>
          </w:tcPr>
          <w:p>
            <w:pPr>
              <w:ind w:left="920"/>
              <w:spacing w:after="0"/>
              <w:rPr>
                <w:sz w:val="20"/>
                <w:szCs w:val="20"/>
                <w:color w:val="auto"/>
              </w:rPr>
            </w:pPr>
            <w:r>
              <w:rPr>
                <w:rFonts w:ascii="Arial" w:cs="Arial" w:eastAsia="Arial" w:hAnsi="Arial"/>
                <w:sz w:val="14"/>
                <w:szCs w:val="14"/>
                <w:b w:val="1"/>
                <w:bCs w:val="1"/>
                <w:color w:val="auto"/>
                <w:w w:val="82"/>
              </w:rPr>
              <w:t>Fiscal 2013 Base</w:t>
            </w:r>
          </w:p>
        </w:tc>
        <w:tc>
          <w:tcPr>
            <w:tcW w:w="194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Fiscal 2014 %</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1360" w:type="dxa"/>
            <w:vAlign w:val="bottom"/>
            <w:vMerge w:val="continue"/>
          </w:tcPr>
          <w:p>
            <w:pPr>
              <w:spacing w:after="0"/>
              <w:rPr>
                <w:sz w:val="12"/>
                <w:szCs w:val="12"/>
                <w:color w:val="auto"/>
              </w:rPr>
            </w:pPr>
          </w:p>
        </w:tc>
        <w:tc>
          <w:tcPr>
            <w:tcW w:w="10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jc w:val="right"/>
              <w:ind w:right="197"/>
              <w:spacing w:after="0" w:line="148" w:lineRule="exact"/>
              <w:rPr>
                <w:sz w:val="20"/>
                <w:szCs w:val="20"/>
                <w:color w:val="auto"/>
              </w:rPr>
            </w:pPr>
            <w:r>
              <w:rPr>
                <w:rFonts w:ascii="Arial" w:cs="Arial" w:eastAsia="Arial" w:hAnsi="Arial"/>
                <w:sz w:val="14"/>
                <w:szCs w:val="14"/>
                <w:b w:val="1"/>
                <w:bCs w:val="1"/>
                <w:color w:val="auto"/>
              </w:rPr>
              <w:t>Salary</w:t>
            </w:r>
          </w:p>
        </w:tc>
        <w:tc>
          <w:tcPr>
            <w:tcW w:w="9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jc w:val="right"/>
              <w:ind w:right="197"/>
              <w:spacing w:after="0" w:line="148" w:lineRule="exact"/>
              <w:rPr>
                <w:sz w:val="20"/>
                <w:szCs w:val="20"/>
                <w:color w:val="auto"/>
              </w:rPr>
            </w:pPr>
            <w:r>
              <w:rPr>
                <w:rFonts w:ascii="Arial" w:cs="Arial" w:eastAsia="Arial" w:hAnsi="Arial"/>
                <w:sz w:val="14"/>
                <w:szCs w:val="14"/>
                <w:b w:val="1"/>
                <w:bCs w:val="1"/>
                <w:color w:val="auto"/>
              </w:rPr>
              <w:t>Salary</w:t>
            </w:r>
          </w:p>
        </w:tc>
        <w:tc>
          <w:tcPr>
            <w:tcW w:w="920" w:type="dxa"/>
            <w:vAlign w:val="bottom"/>
          </w:tcPr>
          <w:p>
            <w:pPr>
              <w:spacing w:after="0"/>
              <w:rPr>
                <w:sz w:val="12"/>
                <w:szCs w:val="12"/>
                <w:color w:val="auto"/>
              </w:rPr>
            </w:pPr>
          </w:p>
        </w:tc>
        <w:tc>
          <w:tcPr>
            <w:tcW w:w="102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rPr>
              <w:t>Increase</w:t>
            </w:r>
          </w:p>
        </w:tc>
        <w:tc>
          <w:tcPr>
            <w:tcW w:w="0" w:type="dxa"/>
            <w:vAlign w:val="bottom"/>
          </w:tcPr>
          <w:p>
            <w:pPr>
              <w:spacing w:after="0"/>
              <w:rPr>
                <w:sz w:val="1"/>
                <w:szCs w:val="1"/>
                <w:color w:val="auto"/>
              </w:rPr>
            </w:pPr>
          </w:p>
        </w:tc>
      </w:tr>
      <w:tr>
        <w:trPr>
          <w:trHeight w:val="20"/>
        </w:trPr>
        <w:tc>
          <w:tcPr>
            <w:tcW w:w="196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Ms. Dai</w:t>
            </w:r>
          </w:p>
        </w:tc>
        <w:tc>
          <w:tcPr>
            <w:tcW w:w="106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920" w:type="dxa"/>
            <w:vAlign w:val="bottom"/>
            <w:vMerge w:val="restart"/>
            <w:shd w:val="clear" w:color="auto" w:fill="CCEEFF"/>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920" w:type="dxa"/>
            <w:vAlign w:val="bottom"/>
            <w:vMerge w:val="restart"/>
            <w:shd w:val="clear" w:color="auto" w:fill="CCEEFF"/>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1960" w:type="dxa"/>
            <w:vAlign w:val="bottom"/>
            <w:gridSpan w:val="2"/>
            <w:vMerge w:val="continue"/>
            <w:shd w:val="clear" w:color="auto" w:fill="CCEEFF"/>
          </w:tcPr>
          <w:p>
            <w:pPr>
              <w:spacing w:after="0"/>
              <w:rPr>
                <w:sz w:val="17"/>
                <w:szCs w:val="17"/>
                <w:color w:val="auto"/>
              </w:rPr>
            </w:pPr>
          </w:p>
        </w:tc>
        <w:tc>
          <w:tcPr>
            <w:tcW w:w="106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510,000</w:t>
            </w:r>
          </w:p>
        </w:tc>
        <w:tc>
          <w:tcPr>
            <w:tcW w:w="920" w:type="dxa"/>
            <w:vAlign w:val="bottom"/>
            <w:vMerge w:val="continue"/>
            <w:shd w:val="clear" w:color="auto" w:fill="CCEEFF"/>
          </w:tcPr>
          <w:p>
            <w:pPr>
              <w:spacing w:after="0"/>
              <w:rPr>
                <w:sz w:val="17"/>
                <w:szCs w:val="17"/>
                <w:color w:val="auto"/>
              </w:rPr>
            </w:pPr>
          </w:p>
        </w:tc>
        <w:tc>
          <w:tcPr>
            <w:tcW w:w="18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510,000</w:t>
            </w:r>
          </w:p>
        </w:tc>
        <w:tc>
          <w:tcPr>
            <w:tcW w:w="920" w:type="dxa"/>
            <w:vAlign w:val="bottom"/>
            <w:vMerge w:val="continue"/>
            <w:shd w:val="clear" w:color="auto" w:fill="CCEEFF"/>
          </w:tcPr>
          <w:p>
            <w:pPr>
              <w:spacing w:after="0"/>
              <w:rPr>
                <w:sz w:val="17"/>
                <w:szCs w:val="17"/>
                <w:color w:val="auto"/>
              </w:rPr>
            </w:pPr>
          </w:p>
        </w:tc>
        <w:tc>
          <w:tcPr>
            <w:tcW w:w="102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r>
        <w:trPr>
          <w:trHeight w:val="216"/>
        </w:trPr>
        <w:tc>
          <w:tcPr>
            <w:tcW w:w="1960" w:type="dxa"/>
            <w:vAlign w:val="bottom"/>
            <w:gridSpan w:val="2"/>
          </w:tcPr>
          <w:p>
            <w:pPr>
              <w:spacing w:after="0"/>
              <w:rPr>
                <w:sz w:val="20"/>
                <w:szCs w:val="20"/>
                <w:color w:val="auto"/>
              </w:rPr>
            </w:pPr>
            <w:r>
              <w:rPr>
                <w:rFonts w:ascii="Arial" w:cs="Arial" w:eastAsia="Arial" w:hAnsi="Arial"/>
                <w:sz w:val="18"/>
                <w:szCs w:val="18"/>
                <w:color w:val="auto"/>
              </w:rPr>
              <w:t>Mr. Rashkin</w:t>
            </w:r>
            <w:r>
              <w:rPr>
                <w:rFonts w:ascii="Arial" w:cs="Arial" w:eastAsia="Arial" w:hAnsi="Arial"/>
                <w:sz w:val="11"/>
                <w:szCs w:val="11"/>
                <w:color w:val="auto"/>
              </w:rPr>
              <w:t>1</w:t>
            </w:r>
          </w:p>
        </w:tc>
        <w:tc>
          <w:tcPr>
            <w:tcW w:w="1240" w:type="dxa"/>
            <w:vAlign w:val="bottom"/>
            <w:gridSpan w:val="2"/>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120,000</w:t>
            </w:r>
          </w:p>
        </w:tc>
        <w:tc>
          <w:tcPr>
            <w:tcW w:w="110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120,000</w:t>
            </w:r>
          </w:p>
        </w:tc>
        <w:tc>
          <w:tcPr>
            <w:tcW w:w="1940" w:type="dxa"/>
            <w:vAlign w:val="bottom"/>
            <w:gridSpan w:val="3"/>
          </w:tcPr>
          <w:p>
            <w:pPr>
              <w:jc w:val="right"/>
              <w:ind w:right="60"/>
              <w:spacing w:after="0"/>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r>
        <w:trPr>
          <w:trHeight w:val="216"/>
        </w:trPr>
        <w:tc>
          <w:tcPr>
            <w:tcW w:w="19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Wu</w:t>
            </w:r>
          </w:p>
        </w:tc>
        <w:tc>
          <w:tcPr>
            <w:tcW w:w="1240" w:type="dxa"/>
            <w:vAlign w:val="bottom"/>
            <w:gridSpan w:val="2"/>
            <w:shd w:val="clear" w:color="auto" w:fill="CCEEFF"/>
          </w:tcPr>
          <w:p>
            <w:pPr>
              <w:jc w:val="right"/>
              <w:ind w:right="23"/>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312,833</w:t>
            </w:r>
          </w:p>
        </w:tc>
        <w:tc>
          <w:tcPr>
            <w:tcW w:w="110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284,394</w:t>
            </w:r>
          </w:p>
        </w:tc>
        <w:tc>
          <w:tcPr>
            <w:tcW w:w="19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120" w:hanging="452"/>
        <w:spacing w:after="0" w:line="268" w:lineRule="auto"/>
        <w:tabs>
          <w:tab w:leader="none" w:pos="4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Mr. Rashkin’s fiscal 2013 and 2014 salary reflects his part-time role at the time that the salary was determined and was calculated as 75% of an equivalent full-timesalary of $160,000.</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type w:val="continuous"/>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No changes were made to the compensation for Ms. Dai, Mr. Rashkin, and Dr. Wu during fiscal 2014 in relation to their appointment as executive officers.</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The ECC is considering their current roles in determining appropriate compensation for fiscal 2015. For more information, please see “Key Fiscal 2015</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Compensation Program Decisions” below.</w:t>
      </w:r>
    </w:p>
    <w:p>
      <w:pPr>
        <w:spacing w:after="0" w:line="24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2014 Annual Incentive Plan</w:t>
      </w:r>
    </w:p>
    <w:p>
      <w:pPr>
        <w:spacing w:after="0" w:line="9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The fiscal 2014 annual incentive plan for named executive officers was funded based on a combination of aggressive revenue, net operating profit and net operating margin goals. The funding amount varied based on the achievement of goals at threshold, target and maximum levels. The funding formula was a pre-established, objective formula, and the fiscal 2014 incentive plan was intended to qualify under Section 162(m) of the Internal Revenue Code of 1986, as amended (the “Code”).</w:t>
      </w:r>
    </w:p>
    <w:p>
      <w:pPr>
        <w:spacing w:after="0" w:line="143"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establish fiscal 2014 plan goals the ECC first determined threshold, target and maximum performance objectives for revenue and net operating margin. Then the ECC set the annual incentive plan performance goals to be the net operating profit resulting from achievement of the threshold, target and maximum objectives for both revenue and net operating margin.</w:t>
      </w:r>
    </w:p>
    <w:p>
      <w:pPr>
        <w:spacing w:after="0" w:line="164"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780" w:type="dxa"/>
            <w:vAlign w:val="bottom"/>
            <w:vMerge w:val="restart"/>
          </w:tcPr>
          <w:p>
            <w:pPr>
              <w:spacing w:after="0"/>
              <w:rPr>
                <w:sz w:val="20"/>
                <w:szCs w:val="20"/>
                <w:color w:val="auto"/>
              </w:rPr>
            </w:pPr>
            <w:r>
              <w:rPr>
                <w:rFonts w:ascii="Arial" w:cs="Arial" w:eastAsia="Arial" w:hAnsi="Arial"/>
                <w:sz w:val="14"/>
                <w:szCs w:val="14"/>
                <w:b w:val="1"/>
                <w:bCs w:val="1"/>
                <w:color w:val="auto"/>
              </w:rPr>
              <w:t>Level of</w:t>
            </w:r>
          </w:p>
        </w:tc>
        <w:tc>
          <w:tcPr>
            <w:tcW w:w="23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80" w:type="dxa"/>
            <w:vAlign w:val="bottom"/>
            <w:gridSpan w:val="3"/>
          </w:tcPr>
          <w:p>
            <w:pPr>
              <w:ind w:left="40"/>
              <w:spacing w:after="0"/>
              <w:rPr>
                <w:sz w:val="20"/>
                <w:szCs w:val="20"/>
                <w:color w:val="auto"/>
              </w:rPr>
            </w:pPr>
            <w:r>
              <w:rPr>
                <w:rFonts w:ascii="Arial" w:cs="Arial" w:eastAsia="Arial" w:hAnsi="Arial"/>
                <w:sz w:val="14"/>
                <w:szCs w:val="14"/>
                <w:b w:val="1"/>
                <w:bCs w:val="1"/>
                <w:color w:val="auto"/>
              </w:rPr>
              <w:t>Non-GAAP Net</w:t>
            </w:r>
          </w:p>
        </w:tc>
        <w:tc>
          <w:tcPr>
            <w:tcW w:w="0" w:type="dxa"/>
            <w:vAlign w:val="bottom"/>
          </w:tcPr>
          <w:p>
            <w:pPr>
              <w:spacing w:after="0"/>
              <w:rPr>
                <w:sz w:val="1"/>
                <w:szCs w:val="1"/>
                <w:color w:val="auto"/>
              </w:rPr>
            </w:pPr>
          </w:p>
        </w:tc>
      </w:tr>
      <w:tr>
        <w:trPr>
          <w:trHeight w:val="134"/>
        </w:trPr>
        <w:tc>
          <w:tcPr>
            <w:tcW w:w="780" w:type="dxa"/>
            <w:vAlign w:val="bottom"/>
            <w:vMerge w:val="continue"/>
          </w:tcPr>
          <w:p>
            <w:pPr>
              <w:spacing w:after="0"/>
              <w:rPr>
                <w:sz w:val="11"/>
                <w:szCs w:val="11"/>
                <w:color w:val="auto"/>
              </w:rPr>
            </w:pPr>
          </w:p>
        </w:tc>
        <w:tc>
          <w:tcPr>
            <w:tcW w:w="2800" w:type="dxa"/>
            <w:vAlign w:val="bottom"/>
            <w:gridSpan w:val="2"/>
          </w:tcPr>
          <w:p>
            <w:pPr>
              <w:jc w:val="right"/>
              <w:spacing w:after="0" w:line="135" w:lineRule="exact"/>
              <w:rPr>
                <w:sz w:val="20"/>
                <w:szCs w:val="20"/>
                <w:color w:val="auto"/>
              </w:rPr>
            </w:pPr>
            <w:r>
              <w:rPr>
                <w:rFonts w:ascii="Arial" w:cs="Arial" w:eastAsia="Arial" w:hAnsi="Arial"/>
                <w:sz w:val="14"/>
                <w:szCs w:val="14"/>
                <w:b w:val="1"/>
                <w:bCs w:val="1"/>
                <w:color w:val="auto"/>
              </w:rPr>
              <w:t>Revenue</w:t>
            </w:r>
          </w:p>
        </w:tc>
        <w:tc>
          <w:tcPr>
            <w:tcW w:w="980" w:type="dxa"/>
            <w:vAlign w:val="bottom"/>
          </w:tcPr>
          <w:p>
            <w:pPr>
              <w:spacing w:after="0"/>
              <w:rPr>
                <w:sz w:val="11"/>
                <w:szCs w:val="11"/>
                <w:color w:val="auto"/>
              </w:rPr>
            </w:pPr>
          </w:p>
        </w:tc>
        <w:tc>
          <w:tcPr>
            <w:tcW w:w="1660" w:type="dxa"/>
            <w:vAlign w:val="bottom"/>
            <w:gridSpan w:val="2"/>
          </w:tcPr>
          <w:p>
            <w:pPr>
              <w:jc w:val="right"/>
              <w:ind w:right="680"/>
              <w:spacing w:after="0" w:line="135" w:lineRule="exact"/>
              <w:rPr>
                <w:sz w:val="20"/>
                <w:szCs w:val="20"/>
                <w:color w:val="auto"/>
              </w:rPr>
            </w:pPr>
            <w:r>
              <w:rPr>
                <w:rFonts w:ascii="Arial" w:cs="Arial" w:eastAsia="Arial" w:hAnsi="Arial"/>
                <w:sz w:val="14"/>
                <w:szCs w:val="14"/>
                <w:b w:val="1"/>
                <w:bCs w:val="1"/>
                <w:color w:val="auto"/>
                <w:w w:val="97"/>
              </w:rPr>
              <w:t>Non-GAAP Net</w:t>
            </w:r>
          </w:p>
        </w:tc>
        <w:tc>
          <w:tcPr>
            <w:tcW w:w="1540" w:type="dxa"/>
            <w:vAlign w:val="bottom"/>
            <w:gridSpan w:val="4"/>
          </w:tcPr>
          <w:p>
            <w:pPr>
              <w:ind w:left="460"/>
              <w:spacing w:after="0" w:line="135" w:lineRule="exact"/>
              <w:rPr>
                <w:sz w:val="20"/>
                <w:szCs w:val="20"/>
                <w:color w:val="auto"/>
              </w:rPr>
            </w:pPr>
            <w:r>
              <w:rPr>
                <w:rFonts w:ascii="Arial" w:cs="Arial" w:eastAsia="Arial" w:hAnsi="Arial"/>
                <w:sz w:val="14"/>
                <w:szCs w:val="14"/>
                <w:b w:val="1"/>
                <w:bCs w:val="1"/>
                <w:color w:val="auto"/>
                <w:w w:val="99"/>
              </w:rPr>
              <w:t>Operating Profit</w:t>
            </w:r>
          </w:p>
        </w:tc>
        <w:tc>
          <w:tcPr>
            <w:tcW w:w="0" w:type="dxa"/>
            <w:vAlign w:val="bottom"/>
          </w:tcPr>
          <w:p>
            <w:pPr>
              <w:spacing w:after="0"/>
              <w:rPr>
                <w:sz w:val="1"/>
                <w:szCs w:val="1"/>
                <w:color w:val="auto"/>
              </w:rPr>
            </w:pPr>
          </w:p>
        </w:tc>
      </w:tr>
      <w:tr>
        <w:trPr>
          <w:trHeight w:val="149"/>
        </w:trPr>
        <w:tc>
          <w:tcPr>
            <w:tcW w:w="780" w:type="dxa"/>
            <w:vAlign w:val="bottom"/>
            <w:tcBorders>
              <w:bottom w:val="single" w:sz="8" w:color="auto"/>
            </w:tcBorders>
          </w:tcPr>
          <w:p>
            <w:pPr>
              <w:spacing w:after="0" w:line="129" w:lineRule="exact"/>
              <w:rPr>
                <w:sz w:val="20"/>
                <w:szCs w:val="20"/>
                <w:color w:val="auto"/>
              </w:rPr>
            </w:pPr>
            <w:r>
              <w:rPr>
                <w:rFonts w:ascii="Arial" w:cs="Arial" w:eastAsia="Arial" w:hAnsi="Arial"/>
                <w:sz w:val="14"/>
                <w:szCs w:val="14"/>
                <w:b w:val="1"/>
                <w:bCs w:val="1"/>
                <w:color w:val="auto"/>
                <w:w w:val="87"/>
              </w:rPr>
              <w:t>Achievement</w:t>
            </w:r>
          </w:p>
        </w:tc>
        <w:tc>
          <w:tcPr>
            <w:tcW w:w="2300" w:type="dxa"/>
            <w:vAlign w:val="bottom"/>
          </w:tcPr>
          <w:p>
            <w:pPr>
              <w:spacing w:after="0"/>
              <w:rPr>
                <w:sz w:val="12"/>
                <w:szCs w:val="12"/>
                <w:color w:val="auto"/>
              </w:rPr>
            </w:pPr>
          </w:p>
        </w:tc>
        <w:tc>
          <w:tcPr>
            <w:tcW w:w="500" w:type="dxa"/>
            <w:vAlign w:val="bottom"/>
          </w:tcPr>
          <w:p>
            <w:pPr>
              <w:jc w:val="right"/>
              <w:ind w:right="42"/>
              <w:spacing w:after="0" w:line="129" w:lineRule="exact"/>
              <w:rPr>
                <w:sz w:val="20"/>
                <w:szCs w:val="20"/>
                <w:color w:val="auto"/>
              </w:rPr>
            </w:pPr>
            <w:r>
              <w:rPr>
                <w:rFonts w:ascii="Arial" w:cs="Arial" w:eastAsia="Arial" w:hAnsi="Arial"/>
                <w:sz w:val="14"/>
                <w:szCs w:val="14"/>
                <w:b w:val="1"/>
                <w:bCs w:val="1"/>
                <w:color w:val="auto"/>
              </w:rPr>
              <w:t>($M)</w:t>
            </w:r>
          </w:p>
        </w:tc>
        <w:tc>
          <w:tcPr>
            <w:tcW w:w="2640" w:type="dxa"/>
            <w:vAlign w:val="bottom"/>
            <w:gridSpan w:val="3"/>
          </w:tcPr>
          <w:p>
            <w:pPr>
              <w:jc w:val="right"/>
              <w:ind w:right="600"/>
              <w:spacing w:after="0" w:line="129" w:lineRule="exact"/>
              <w:rPr>
                <w:sz w:val="20"/>
                <w:szCs w:val="20"/>
                <w:color w:val="auto"/>
              </w:rPr>
            </w:pPr>
            <w:r>
              <w:rPr>
                <w:rFonts w:ascii="Arial" w:cs="Arial" w:eastAsia="Arial" w:hAnsi="Arial"/>
                <w:sz w:val="14"/>
                <w:szCs w:val="14"/>
                <w:b w:val="1"/>
                <w:bCs w:val="1"/>
                <w:color w:val="auto"/>
              </w:rPr>
              <w:t>Operating Margin</w:t>
            </w:r>
          </w:p>
        </w:tc>
        <w:tc>
          <w:tcPr>
            <w:tcW w:w="9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rPr>
              <w:t>($</w:t>
            </w:r>
          </w:p>
        </w:tc>
        <w:tc>
          <w:tcPr>
            <w:tcW w:w="62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rPr>
              <w:t>M)</w:t>
            </w:r>
          </w:p>
        </w:tc>
        <w:tc>
          <w:tcPr>
            <w:tcW w:w="0" w:type="dxa"/>
            <w:vAlign w:val="bottom"/>
          </w:tcPr>
          <w:p>
            <w:pPr>
              <w:spacing w:after="0"/>
              <w:rPr>
                <w:sz w:val="1"/>
                <w:szCs w:val="1"/>
                <w:color w:val="auto"/>
              </w:rPr>
            </w:pPr>
          </w:p>
        </w:tc>
      </w:tr>
      <w:tr>
        <w:trPr>
          <w:trHeight w:val="20"/>
        </w:trPr>
        <w:tc>
          <w:tcPr>
            <w:tcW w:w="780" w:type="dxa"/>
            <w:vAlign w:val="bottom"/>
            <w:tcBorders>
              <w:bottom w:val="single" w:sz="8" w:color="CCEEFF"/>
            </w:tcBorders>
          </w:tcPr>
          <w:p>
            <w:pPr>
              <w:spacing w:after="0" w:line="20" w:lineRule="exact"/>
              <w:rPr>
                <w:sz w:val="1"/>
                <w:szCs w:val="1"/>
                <w:color w:val="auto"/>
              </w:rPr>
            </w:pPr>
          </w:p>
        </w:tc>
        <w:tc>
          <w:tcPr>
            <w:tcW w:w="2300" w:type="dxa"/>
            <w:vAlign w:val="bottom"/>
            <w:tcBorders>
              <w:bottom w:val="single" w:sz="8" w:color="CCEEFF"/>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CCEEFF"/>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7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w w:val="94"/>
              </w:rPr>
              <w:t>Threshold</w:t>
            </w:r>
          </w:p>
        </w:tc>
        <w:tc>
          <w:tcPr>
            <w:tcW w:w="2300" w:type="dxa"/>
            <w:vAlign w:val="bottom"/>
            <w:shd w:val="clear" w:color="auto" w:fill="CCEEFF"/>
          </w:tcPr>
          <w:p>
            <w:pPr>
              <w:spacing w:after="0"/>
              <w:rPr>
                <w:sz w:val="17"/>
                <w:szCs w:val="17"/>
                <w:color w:val="auto"/>
              </w:rPr>
            </w:pPr>
          </w:p>
        </w:tc>
        <w:tc>
          <w:tcPr>
            <w:tcW w:w="5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83"/>
              </w:rPr>
              <w:t>$3,332</w:t>
            </w:r>
          </w:p>
        </w:tc>
        <w:tc>
          <w:tcPr>
            <w:tcW w:w="980" w:type="dxa"/>
            <w:vAlign w:val="bottom"/>
            <w:shd w:val="clear" w:color="auto" w:fill="CCEEFF"/>
          </w:tcPr>
          <w:p>
            <w:pPr>
              <w:spacing w:after="0"/>
              <w:rPr>
                <w:sz w:val="17"/>
                <w:szCs w:val="17"/>
                <w:color w:val="auto"/>
              </w:rPr>
            </w:pPr>
          </w:p>
        </w:tc>
        <w:tc>
          <w:tcPr>
            <w:tcW w:w="1660" w:type="dxa"/>
            <w:vAlign w:val="bottom"/>
            <w:gridSpan w:val="2"/>
            <w:shd w:val="clear" w:color="auto" w:fill="CCEEFF"/>
          </w:tcPr>
          <w:p>
            <w:pPr>
              <w:jc w:val="right"/>
              <w:ind w:right="440"/>
              <w:spacing w:after="0" w:line="196" w:lineRule="exact"/>
              <w:rPr>
                <w:sz w:val="20"/>
                <w:szCs w:val="20"/>
                <w:color w:val="auto"/>
              </w:rPr>
            </w:pPr>
            <w:r>
              <w:rPr>
                <w:rFonts w:ascii="Arial" w:cs="Arial" w:eastAsia="Arial" w:hAnsi="Arial"/>
                <w:sz w:val="18"/>
                <w:szCs w:val="18"/>
                <w:color w:val="auto"/>
              </w:rPr>
              <w:t>17.3%</w:t>
            </w:r>
          </w:p>
        </w:tc>
        <w:tc>
          <w:tcPr>
            <w:tcW w:w="4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576</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80" w:type="dxa"/>
            <w:vAlign w:val="bottom"/>
          </w:tcPr>
          <w:p>
            <w:pPr>
              <w:spacing w:after="0"/>
              <w:rPr>
                <w:sz w:val="20"/>
                <w:szCs w:val="20"/>
                <w:color w:val="auto"/>
              </w:rPr>
            </w:pPr>
            <w:r>
              <w:rPr>
                <w:rFonts w:ascii="Arial" w:cs="Arial" w:eastAsia="Arial" w:hAnsi="Arial"/>
                <w:sz w:val="18"/>
                <w:szCs w:val="18"/>
                <w:color w:val="auto"/>
              </w:rPr>
              <w:t>Target</w:t>
            </w:r>
          </w:p>
        </w:tc>
        <w:tc>
          <w:tcPr>
            <w:tcW w:w="2800" w:type="dxa"/>
            <w:vAlign w:val="bottom"/>
            <w:gridSpan w:val="2"/>
          </w:tcPr>
          <w:p>
            <w:pPr>
              <w:jc w:val="right"/>
              <w:spacing w:after="0"/>
              <w:rPr>
                <w:sz w:val="20"/>
                <w:szCs w:val="20"/>
                <w:color w:val="auto"/>
              </w:rPr>
            </w:pPr>
            <w:r>
              <w:rPr>
                <w:rFonts w:ascii="Arial" w:cs="Arial" w:eastAsia="Arial" w:hAnsi="Arial"/>
                <w:sz w:val="18"/>
                <w:szCs w:val="18"/>
                <w:color w:val="auto"/>
              </w:rPr>
              <w:t>$3,507</w:t>
            </w:r>
          </w:p>
        </w:tc>
        <w:tc>
          <w:tcPr>
            <w:tcW w:w="2640" w:type="dxa"/>
            <w:vAlign w:val="bottom"/>
            <w:gridSpan w:val="3"/>
          </w:tcPr>
          <w:p>
            <w:pPr>
              <w:jc w:val="right"/>
              <w:ind w:right="440"/>
              <w:spacing w:after="0"/>
              <w:rPr>
                <w:sz w:val="20"/>
                <w:szCs w:val="20"/>
                <w:color w:val="auto"/>
              </w:rPr>
            </w:pPr>
            <w:r>
              <w:rPr>
                <w:rFonts w:ascii="Arial" w:cs="Arial" w:eastAsia="Arial" w:hAnsi="Arial"/>
                <w:sz w:val="18"/>
                <w:szCs w:val="18"/>
                <w:color w:val="auto"/>
              </w:rPr>
              <w:t>18.1%</w:t>
            </w:r>
          </w:p>
        </w:tc>
        <w:tc>
          <w:tcPr>
            <w:tcW w:w="92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634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0" w:type="dxa"/>
            <w:vAlign w:val="bottom"/>
            <w:shd w:val="clear" w:color="auto" w:fill="CCEEFF"/>
          </w:tcPr>
          <w:p>
            <w:pPr>
              <w:spacing w:after="0"/>
              <w:rPr>
                <w:sz w:val="20"/>
                <w:szCs w:val="20"/>
                <w:color w:val="auto"/>
              </w:rPr>
            </w:pPr>
            <w:r>
              <w:rPr>
                <w:rFonts w:ascii="Arial" w:cs="Arial" w:eastAsia="Arial" w:hAnsi="Arial"/>
                <w:sz w:val="18"/>
                <w:szCs w:val="18"/>
                <w:color w:val="auto"/>
                <w:w w:val="97"/>
              </w:rPr>
              <w:t>Maximum</w:t>
            </w:r>
          </w:p>
        </w:tc>
        <w:tc>
          <w:tcPr>
            <w:tcW w:w="2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$3,994</w:t>
            </w:r>
          </w:p>
        </w:tc>
        <w:tc>
          <w:tcPr>
            <w:tcW w:w="264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23.0%</w:t>
            </w:r>
          </w:p>
        </w:tc>
        <w:tc>
          <w:tcPr>
            <w:tcW w:w="92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jc w:val="both"/>
        <w:ind w:right="360" w:firstLine="456"/>
        <w:spacing w:after="0" w:line="259" w:lineRule="auto"/>
        <w:rPr>
          <w:sz w:val="20"/>
          <w:szCs w:val="20"/>
          <w:color w:val="auto"/>
        </w:rPr>
      </w:pPr>
      <w:r>
        <w:rPr>
          <w:rFonts w:ascii="Arial" w:cs="Arial" w:eastAsia="Arial" w:hAnsi="Arial"/>
          <w:sz w:val="18"/>
          <w:szCs w:val="18"/>
          <w:color w:val="auto"/>
        </w:rPr>
        <w:t>Note: For purposes of the 2014 annual incentive plan, non-GAAP net operating profit and non-GAAP net operating margin are calculated by adjusting operating profit and operating margin calculated under generally accepted accounting principles (“GAAP”) to exclude the impact of (i) non-cash stock-based compensation charges recognized under FASB ASC Topic 718 and (ii) non-recurring items.</w:t>
      </w:r>
    </w:p>
    <w:p>
      <w:pPr>
        <w:spacing w:after="0" w:line="14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For fiscal 2014, the ECC set very challenging company goals that were based on significant improvements in company financial performance. Furthermore, the ECC considered the absolute level of financial performance goals for fiscal 2014 and determined that the target and maximum annual incentive payouts for named executive officers needed to be recalibrated specifically for fiscal 2014. Based on this review, the named executive officer target opportunities for fiscal 2014 were set significantly lower than in fiscal 2013 and significantly lower than typical market practice. The incentive opportunity for achievement of target performance for Dr. S. Sutardja, Mr. Feller and Dr. P. Sutardja was set at only 25% of the fiscal 2013 level, and the maximum opportunity was calibrated to align with the fiscal 2013 target opportunity.</w:t>
      </w:r>
    </w:p>
    <w:p>
      <w:pPr>
        <w:spacing w:after="0" w:line="15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30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340" w:type="dxa"/>
            <w:vAlign w:val="bottom"/>
            <w:gridSpan w:val="7"/>
          </w:tcPr>
          <w:p>
            <w:pPr>
              <w:jc w:val="right"/>
              <w:ind w:right="880"/>
              <w:spacing w:after="0"/>
              <w:rPr>
                <w:sz w:val="20"/>
                <w:szCs w:val="20"/>
                <w:color w:val="auto"/>
              </w:rPr>
            </w:pPr>
            <w:r>
              <w:rPr>
                <w:rFonts w:ascii="Arial" w:cs="Arial" w:eastAsia="Arial" w:hAnsi="Arial"/>
                <w:sz w:val="14"/>
                <w:szCs w:val="14"/>
                <w:b w:val="1"/>
                <w:bCs w:val="1"/>
                <w:color w:val="auto"/>
                <w:w w:val="88"/>
              </w:rPr>
              <w:t>Fiscal 2013 Annual Incentive Opportunity</w:t>
            </w:r>
          </w:p>
        </w:tc>
        <w:tc>
          <w:tcPr>
            <w:tcW w:w="600" w:type="dxa"/>
            <w:vAlign w:val="bottom"/>
          </w:tcPr>
          <w:p>
            <w:pPr>
              <w:spacing w:after="0"/>
              <w:rPr>
                <w:sz w:val="14"/>
                <w:szCs w:val="14"/>
                <w:color w:val="auto"/>
              </w:rPr>
            </w:pPr>
          </w:p>
        </w:tc>
        <w:tc>
          <w:tcPr>
            <w:tcW w:w="3280" w:type="dxa"/>
            <w:vAlign w:val="bottom"/>
            <w:gridSpan w:val="7"/>
          </w:tcPr>
          <w:p>
            <w:pPr>
              <w:jc w:val="right"/>
              <w:ind w:right="820"/>
              <w:spacing w:after="0"/>
              <w:rPr>
                <w:sz w:val="20"/>
                <w:szCs w:val="20"/>
                <w:color w:val="auto"/>
              </w:rPr>
            </w:pPr>
            <w:r>
              <w:rPr>
                <w:rFonts w:ascii="Arial" w:cs="Arial" w:eastAsia="Arial" w:hAnsi="Arial"/>
                <w:sz w:val="14"/>
                <w:szCs w:val="14"/>
                <w:b w:val="1"/>
                <w:bCs w:val="1"/>
                <w:color w:val="auto"/>
                <w:w w:val="88"/>
              </w:rPr>
              <w:t>Fiscal 2014 Annual Incentive Opportunity</w:t>
            </w:r>
          </w:p>
        </w:tc>
        <w:tc>
          <w:tcPr>
            <w:tcW w:w="0" w:type="dxa"/>
            <w:vAlign w:val="bottom"/>
          </w:tcPr>
          <w:p>
            <w:pPr>
              <w:spacing w:after="0"/>
              <w:rPr>
                <w:sz w:val="1"/>
                <w:szCs w:val="1"/>
                <w:color w:val="auto"/>
              </w:rPr>
            </w:pPr>
          </w:p>
        </w:tc>
      </w:tr>
      <w:tr>
        <w:trPr>
          <w:trHeight w:val="176"/>
        </w:trPr>
        <w:tc>
          <w:tcPr>
            <w:tcW w:w="600" w:type="dxa"/>
            <w:vAlign w:val="bottom"/>
          </w:tcPr>
          <w:p>
            <w:pPr>
              <w:spacing w:after="0"/>
              <w:rPr>
                <w:sz w:val="15"/>
                <w:szCs w:val="15"/>
                <w:color w:val="auto"/>
              </w:rPr>
            </w:pPr>
          </w:p>
        </w:tc>
        <w:tc>
          <w:tcPr>
            <w:tcW w:w="3000" w:type="dxa"/>
            <w:vAlign w:val="bottom"/>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2060" w:type="dxa"/>
            <w:vAlign w:val="bottom"/>
            <w:tcBorders>
              <w:bottom w:val="single" w:sz="8" w:color="auto"/>
            </w:tcBorders>
            <w:gridSpan w:val="4"/>
          </w:tcPr>
          <w:p>
            <w:pPr>
              <w:jc w:val="right"/>
              <w:ind w:right="520"/>
              <w:spacing w:after="0" w:line="176" w:lineRule="exact"/>
              <w:rPr>
                <w:sz w:val="20"/>
                <w:szCs w:val="20"/>
                <w:color w:val="auto"/>
              </w:rPr>
            </w:pPr>
            <w:r>
              <w:rPr>
                <w:rFonts w:ascii="Arial" w:cs="Arial" w:eastAsia="Arial" w:hAnsi="Arial"/>
                <w:sz w:val="13"/>
                <w:szCs w:val="13"/>
                <w:b w:val="1"/>
                <w:bCs w:val="1"/>
                <w:color w:val="auto"/>
              </w:rPr>
              <w:t>(% of Base Salary</w:t>
            </w:r>
            <w:r>
              <w:rPr>
                <w:rFonts w:ascii="Arial" w:cs="Arial" w:eastAsia="Arial" w:hAnsi="Arial"/>
                <w:sz w:val="20"/>
                <w:szCs w:val="20"/>
                <w:b w:val="1"/>
                <w:bCs w:val="1"/>
                <w:color w:val="auto"/>
                <w:vertAlign w:val="superscript"/>
              </w:rPr>
              <w:t>1</w:t>
            </w:r>
            <w:r>
              <w:rPr>
                <w:rFonts w:ascii="Arial" w:cs="Arial" w:eastAsia="Arial" w:hAnsi="Arial"/>
                <w:sz w:val="13"/>
                <w:szCs w:val="13"/>
                <w:b w:val="1"/>
                <w:bCs w:val="1"/>
                <w:color w:val="auto"/>
              </w:rPr>
              <w:t>)</w:t>
            </w:r>
          </w:p>
        </w:tc>
        <w:tc>
          <w:tcPr>
            <w:tcW w:w="760" w:type="dxa"/>
            <w:vAlign w:val="bottom"/>
            <w:tcBorders>
              <w:bottom w:val="single" w:sz="8" w:color="auto"/>
            </w:tcBorders>
          </w:tcPr>
          <w:p>
            <w:pPr>
              <w:spacing w:after="0"/>
              <w:rPr>
                <w:sz w:val="15"/>
                <w:szCs w:val="15"/>
                <w:color w:val="auto"/>
              </w:rPr>
            </w:pPr>
          </w:p>
        </w:tc>
        <w:tc>
          <w:tcPr>
            <w:tcW w:w="260" w:type="dxa"/>
            <w:vAlign w:val="bottom"/>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2060" w:type="dxa"/>
            <w:vAlign w:val="bottom"/>
            <w:tcBorders>
              <w:bottom w:val="single" w:sz="8" w:color="auto"/>
            </w:tcBorders>
            <w:gridSpan w:val="4"/>
          </w:tcPr>
          <w:p>
            <w:pPr>
              <w:jc w:val="right"/>
              <w:ind w:right="500"/>
              <w:spacing w:after="0" w:line="176" w:lineRule="exact"/>
              <w:rPr>
                <w:sz w:val="20"/>
                <w:szCs w:val="20"/>
                <w:color w:val="auto"/>
              </w:rPr>
            </w:pPr>
            <w:r>
              <w:rPr>
                <w:rFonts w:ascii="Arial" w:cs="Arial" w:eastAsia="Arial" w:hAnsi="Arial"/>
                <w:sz w:val="13"/>
                <w:szCs w:val="13"/>
                <w:b w:val="1"/>
                <w:bCs w:val="1"/>
                <w:color w:val="auto"/>
              </w:rPr>
              <w:t>(% of Base Salary</w:t>
            </w:r>
            <w:r>
              <w:rPr>
                <w:rFonts w:ascii="Arial" w:cs="Arial" w:eastAsia="Arial" w:hAnsi="Arial"/>
                <w:sz w:val="20"/>
                <w:szCs w:val="20"/>
                <w:b w:val="1"/>
                <w:bCs w:val="1"/>
                <w:color w:val="auto"/>
                <w:vertAlign w:val="superscript"/>
              </w:rPr>
              <w:t>1</w:t>
            </w:r>
            <w:r>
              <w:rPr>
                <w:rFonts w:ascii="Arial" w:cs="Arial" w:eastAsia="Arial" w:hAnsi="Arial"/>
                <w:sz w:val="13"/>
                <w:szCs w:val="13"/>
                <w:b w:val="1"/>
                <w:bCs w:val="1"/>
                <w:color w:val="auto"/>
              </w:rPr>
              <w:t>)</w:t>
            </w:r>
          </w:p>
        </w:tc>
        <w:tc>
          <w:tcPr>
            <w:tcW w:w="76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3000" w:type="dxa"/>
            <w:vAlign w:val="bottom"/>
            <w:vMerge w:val="restart"/>
          </w:tcPr>
          <w:p>
            <w:pPr>
              <w:spacing w:after="0"/>
              <w:rPr>
                <w:sz w:val="11"/>
                <w:szCs w:val="11"/>
                <w:color w:val="auto"/>
              </w:rPr>
            </w:pPr>
          </w:p>
        </w:tc>
        <w:tc>
          <w:tcPr>
            <w:tcW w:w="860" w:type="dxa"/>
            <w:vAlign w:val="bottom"/>
            <w:gridSpan w:val="2"/>
          </w:tcPr>
          <w:p>
            <w:pPr>
              <w:jc w:val="right"/>
              <w:ind w:right="312"/>
              <w:spacing w:after="0" w:line="129" w:lineRule="exact"/>
              <w:rPr>
                <w:sz w:val="20"/>
                <w:szCs w:val="20"/>
                <w:color w:val="auto"/>
              </w:rPr>
            </w:pPr>
            <w:r>
              <w:rPr>
                <w:rFonts w:ascii="Arial" w:cs="Arial" w:eastAsia="Arial" w:hAnsi="Arial"/>
                <w:sz w:val="14"/>
                <w:szCs w:val="14"/>
                <w:b w:val="1"/>
                <w:bCs w:val="1"/>
                <w:color w:val="auto"/>
              </w:rPr>
              <w:t>Below</w:t>
            </w:r>
          </w:p>
        </w:tc>
        <w:tc>
          <w:tcPr>
            <w:tcW w:w="1040" w:type="dxa"/>
            <w:vAlign w:val="bottom"/>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88"/>
              </w:rPr>
              <w:t>Threshold</w:t>
            </w:r>
          </w:p>
        </w:tc>
        <w:tc>
          <w:tcPr>
            <w:tcW w:w="1020" w:type="dxa"/>
            <w:vAlign w:val="bottom"/>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rPr>
              <w:t>Target</w:t>
            </w:r>
          </w:p>
        </w:tc>
        <w:tc>
          <w:tcPr>
            <w:tcW w:w="76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Maximum</w:t>
            </w:r>
          </w:p>
        </w:tc>
        <w:tc>
          <w:tcPr>
            <w:tcW w:w="260" w:type="dxa"/>
            <w:vAlign w:val="bottom"/>
          </w:tcPr>
          <w:p>
            <w:pPr>
              <w:spacing w:after="0"/>
              <w:rPr>
                <w:sz w:val="11"/>
                <w:szCs w:val="11"/>
                <w:color w:val="auto"/>
              </w:rPr>
            </w:pPr>
          </w:p>
        </w:tc>
        <w:tc>
          <w:tcPr>
            <w:tcW w:w="860" w:type="dxa"/>
            <w:vAlign w:val="bottom"/>
            <w:gridSpan w:val="2"/>
          </w:tcPr>
          <w:p>
            <w:pPr>
              <w:jc w:val="right"/>
              <w:ind w:right="312"/>
              <w:spacing w:after="0" w:line="129" w:lineRule="exact"/>
              <w:rPr>
                <w:sz w:val="20"/>
                <w:szCs w:val="20"/>
                <w:color w:val="auto"/>
              </w:rPr>
            </w:pPr>
            <w:r>
              <w:rPr>
                <w:rFonts w:ascii="Arial" w:cs="Arial" w:eastAsia="Arial" w:hAnsi="Arial"/>
                <w:sz w:val="14"/>
                <w:szCs w:val="14"/>
                <w:b w:val="1"/>
                <w:bCs w:val="1"/>
                <w:color w:val="auto"/>
              </w:rPr>
              <w:t>Below</w:t>
            </w:r>
          </w:p>
        </w:tc>
        <w:tc>
          <w:tcPr>
            <w:tcW w:w="1040" w:type="dxa"/>
            <w:vAlign w:val="bottom"/>
            <w:gridSpan w:val="2"/>
          </w:tcPr>
          <w:p>
            <w:pPr>
              <w:jc w:val="right"/>
              <w:ind w:right="360"/>
              <w:spacing w:after="0" w:line="129" w:lineRule="exact"/>
              <w:rPr>
                <w:sz w:val="20"/>
                <w:szCs w:val="20"/>
                <w:color w:val="auto"/>
              </w:rPr>
            </w:pPr>
            <w:r>
              <w:rPr>
                <w:rFonts w:ascii="Arial" w:cs="Arial" w:eastAsia="Arial" w:hAnsi="Arial"/>
                <w:sz w:val="14"/>
                <w:szCs w:val="14"/>
                <w:b w:val="1"/>
                <w:bCs w:val="1"/>
                <w:color w:val="auto"/>
                <w:w w:val="97"/>
              </w:rPr>
              <w:t>Threshold</w:t>
            </w:r>
          </w:p>
        </w:tc>
        <w:tc>
          <w:tcPr>
            <w:tcW w:w="1020" w:type="dxa"/>
            <w:vAlign w:val="bottom"/>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rPr>
              <w:t>Target</w:t>
            </w:r>
          </w:p>
        </w:tc>
        <w:tc>
          <w:tcPr>
            <w:tcW w:w="76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Maximum</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3000" w:type="dxa"/>
            <w:vAlign w:val="bottom"/>
            <w:vMerge w:val="continue"/>
          </w:tcPr>
          <w:p>
            <w:pPr>
              <w:spacing w:after="0"/>
              <w:rPr>
                <w:sz w:val="12"/>
                <w:szCs w:val="12"/>
                <w:color w:val="auto"/>
              </w:rPr>
            </w:pPr>
          </w:p>
        </w:tc>
        <w:tc>
          <w:tcPr>
            <w:tcW w:w="860" w:type="dxa"/>
            <w:vAlign w:val="bottom"/>
            <w:gridSpan w:val="2"/>
          </w:tcPr>
          <w:p>
            <w:pPr>
              <w:jc w:val="right"/>
              <w:ind w:right="192"/>
              <w:spacing w:after="0" w:line="148" w:lineRule="exact"/>
              <w:rPr>
                <w:sz w:val="20"/>
                <w:szCs w:val="20"/>
                <w:color w:val="auto"/>
              </w:rPr>
            </w:pPr>
            <w:r>
              <w:rPr>
                <w:rFonts w:ascii="Arial" w:cs="Arial" w:eastAsia="Arial" w:hAnsi="Arial"/>
                <w:sz w:val="14"/>
                <w:szCs w:val="14"/>
                <w:b w:val="1"/>
                <w:bCs w:val="1"/>
                <w:color w:val="auto"/>
                <w:w w:val="85"/>
              </w:rPr>
              <w:t>Threshold</w:t>
            </w:r>
          </w:p>
        </w:tc>
        <w:tc>
          <w:tcPr>
            <w:tcW w:w="104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88"/>
              </w:rPr>
              <w:t>Performance</w:t>
            </w:r>
          </w:p>
        </w:tc>
        <w:tc>
          <w:tcPr>
            <w:tcW w:w="1020" w:type="dxa"/>
            <w:vAlign w:val="bottom"/>
            <w:gridSpan w:val="2"/>
          </w:tcPr>
          <w:p>
            <w:pPr>
              <w:jc w:val="right"/>
              <w:ind w:right="280"/>
              <w:spacing w:after="0" w:line="148" w:lineRule="exact"/>
              <w:rPr>
                <w:sz w:val="20"/>
                <w:szCs w:val="20"/>
                <w:color w:val="auto"/>
              </w:rPr>
            </w:pPr>
            <w:r>
              <w:rPr>
                <w:rFonts w:ascii="Arial" w:cs="Arial" w:eastAsia="Arial" w:hAnsi="Arial"/>
                <w:sz w:val="14"/>
                <w:szCs w:val="14"/>
                <w:b w:val="1"/>
                <w:bCs w:val="1"/>
                <w:color w:val="auto"/>
                <w:w w:val="84"/>
              </w:rPr>
              <w:t>Performance</w:t>
            </w:r>
          </w:p>
        </w:tc>
        <w:tc>
          <w:tcPr>
            <w:tcW w:w="1020" w:type="dxa"/>
            <w:vAlign w:val="bottom"/>
            <w:gridSpan w:val="2"/>
          </w:tcPr>
          <w:p>
            <w:pPr>
              <w:jc w:val="right"/>
              <w:ind w:right="26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860" w:type="dxa"/>
            <w:vAlign w:val="bottom"/>
            <w:gridSpan w:val="2"/>
          </w:tcPr>
          <w:p>
            <w:pPr>
              <w:jc w:val="right"/>
              <w:ind w:right="192"/>
              <w:spacing w:after="0" w:line="148" w:lineRule="exact"/>
              <w:rPr>
                <w:sz w:val="20"/>
                <w:szCs w:val="20"/>
                <w:color w:val="auto"/>
              </w:rPr>
            </w:pPr>
            <w:r>
              <w:rPr>
                <w:rFonts w:ascii="Arial" w:cs="Arial" w:eastAsia="Arial" w:hAnsi="Arial"/>
                <w:sz w:val="14"/>
                <w:szCs w:val="14"/>
                <w:b w:val="1"/>
                <w:bCs w:val="1"/>
                <w:color w:val="auto"/>
                <w:w w:val="85"/>
              </w:rPr>
              <w:t>Threshold</w:t>
            </w:r>
          </w:p>
        </w:tc>
        <w:tc>
          <w:tcPr>
            <w:tcW w:w="1040" w:type="dxa"/>
            <w:vAlign w:val="bottom"/>
            <w:gridSpan w:val="2"/>
          </w:tcPr>
          <w:p>
            <w:pPr>
              <w:jc w:val="right"/>
              <w:ind w:right="28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1020" w:type="dxa"/>
            <w:vAlign w:val="bottom"/>
            <w:gridSpan w:val="2"/>
          </w:tcPr>
          <w:p>
            <w:pPr>
              <w:jc w:val="right"/>
              <w:ind w:right="280"/>
              <w:spacing w:after="0" w:line="148" w:lineRule="exact"/>
              <w:rPr>
                <w:sz w:val="20"/>
                <w:szCs w:val="20"/>
                <w:color w:val="auto"/>
              </w:rPr>
            </w:pPr>
            <w:r>
              <w:rPr>
                <w:rFonts w:ascii="Arial" w:cs="Arial" w:eastAsia="Arial" w:hAnsi="Arial"/>
                <w:sz w:val="14"/>
                <w:szCs w:val="14"/>
                <w:b w:val="1"/>
                <w:bCs w:val="1"/>
                <w:color w:val="auto"/>
                <w:w w:val="84"/>
              </w:rPr>
              <w:t>Performance</w:t>
            </w:r>
          </w:p>
        </w:tc>
        <w:tc>
          <w:tcPr>
            <w:tcW w:w="96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20"/>
        </w:trPr>
        <w:tc>
          <w:tcPr>
            <w:tcW w:w="36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 Sutardja</w:t>
            </w:r>
          </w:p>
        </w:tc>
        <w:tc>
          <w:tcPr>
            <w:tcW w:w="60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80" w:type="dxa"/>
            <w:vAlign w:val="bottom"/>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8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8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600" w:type="dxa"/>
            <w:vAlign w:val="bottom"/>
            <w:gridSpan w:val="2"/>
            <w:vMerge w:val="continue"/>
            <w:shd w:val="clear" w:color="auto" w:fill="CCEEFF"/>
          </w:tcPr>
          <w:p>
            <w:pPr>
              <w:spacing w:after="0"/>
              <w:rPr>
                <w:sz w:val="17"/>
                <w:szCs w:val="17"/>
                <w:color w:val="auto"/>
              </w:rPr>
            </w:pPr>
          </w:p>
        </w:tc>
        <w:tc>
          <w:tcPr>
            <w:tcW w:w="860" w:type="dxa"/>
            <w:vAlign w:val="bottom"/>
            <w:gridSpan w:val="2"/>
            <w:shd w:val="clear" w:color="auto" w:fill="CCEEFF"/>
          </w:tcPr>
          <w:p>
            <w:pPr>
              <w:jc w:val="right"/>
              <w:ind w:right="52"/>
              <w:spacing w:after="0" w:line="203" w:lineRule="exact"/>
              <w:rPr>
                <w:sz w:val="20"/>
                <w:szCs w:val="20"/>
                <w:color w:val="auto"/>
              </w:rPr>
            </w:pPr>
            <w:r>
              <w:rPr>
                <w:rFonts w:ascii="Arial" w:cs="Arial" w:eastAsia="Arial" w:hAnsi="Arial"/>
                <w:sz w:val="18"/>
                <w:szCs w:val="18"/>
                <w:color w:val="auto"/>
              </w:rPr>
              <w:t>0%</w:t>
            </w:r>
          </w:p>
        </w:tc>
        <w:tc>
          <w:tcPr>
            <w:tcW w:w="1040" w:type="dxa"/>
            <w:vAlign w:val="bottom"/>
            <w:gridSpan w:val="2"/>
            <w:shd w:val="clear" w:color="auto" w:fill="CCEEFF"/>
          </w:tcPr>
          <w:p>
            <w:pPr>
              <w:jc w:val="center"/>
              <w:ind w:left="243"/>
              <w:spacing w:after="0" w:line="203" w:lineRule="exact"/>
              <w:rPr>
                <w:sz w:val="20"/>
                <w:szCs w:val="20"/>
                <w:color w:val="auto"/>
              </w:rPr>
            </w:pPr>
            <w:r>
              <w:rPr>
                <w:rFonts w:ascii="Arial" w:cs="Arial" w:eastAsia="Arial" w:hAnsi="Arial"/>
                <w:sz w:val="18"/>
                <w:szCs w:val="18"/>
                <w:color w:val="auto"/>
                <w:w w:val="86"/>
              </w:rPr>
              <w:t>37.5%</w:t>
            </w:r>
          </w:p>
        </w:tc>
        <w:tc>
          <w:tcPr>
            <w:tcW w:w="1020" w:type="dxa"/>
            <w:vAlign w:val="bottom"/>
            <w:gridSpan w:val="2"/>
            <w:shd w:val="clear" w:color="auto" w:fill="CCEEFF"/>
          </w:tcPr>
          <w:p>
            <w:pPr>
              <w:jc w:val="right"/>
              <w:ind w:right="120"/>
              <w:spacing w:after="0" w:line="203" w:lineRule="exact"/>
              <w:rPr>
                <w:sz w:val="20"/>
                <w:szCs w:val="20"/>
                <w:color w:val="auto"/>
              </w:rPr>
            </w:pPr>
            <w:r>
              <w:rPr>
                <w:rFonts w:ascii="Arial" w:cs="Arial" w:eastAsia="Arial" w:hAnsi="Arial"/>
                <w:sz w:val="18"/>
                <w:szCs w:val="18"/>
                <w:color w:val="auto"/>
              </w:rPr>
              <w:t>150%</w:t>
            </w:r>
          </w:p>
        </w:tc>
        <w:tc>
          <w:tcPr>
            <w:tcW w:w="1020" w:type="dxa"/>
            <w:vAlign w:val="bottom"/>
            <w:gridSpan w:val="2"/>
            <w:shd w:val="clear" w:color="auto" w:fill="CCEEFF"/>
          </w:tcPr>
          <w:p>
            <w:pPr>
              <w:jc w:val="right"/>
              <w:ind w:right="120"/>
              <w:spacing w:after="0" w:line="203" w:lineRule="exact"/>
              <w:rPr>
                <w:sz w:val="20"/>
                <w:szCs w:val="20"/>
                <w:color w:val="auto"/>
              </w:rPr>
            </w:pPr>
            <w:r>
              <w:rPr>
                <w:rFonts w:ascii="Arial" w:cs="Arial" w:eastAsia="Arial" w:hAnsi="Arial"/>
                <w:sz w:val="18"/>
                <w:szCs w:val="18"/>
                <w:color w:val="auto"/>
              </w:rPr>
              <w:t>300%</w:t>
            </w:r>
          </w:p>
        </w:tc>
        <w:tc>
          <w:tcPr>
            <w:tcW w:w="860" w:type="dxa"/>
            <w:vAlign w:val="bottom"/>
            <w:gridSpan w:val="2"/>
            <w:shd w:val="clear" w:color="auto" w:fill="CCEEFF"/>
          </w:tcPr>
          <w:p>
            <w:pPr>
              <w:jc w:val="right"/>
              <w:ind w:right="52"/>
              <w:spacing w:after="0" w:line="203" w:lineRule="exact"/>
              <w:rPr>
                <w:sz w:val="20"/>
                <w:szCs w:val="20"/>
                <w:color w:val="auto"/>
              </w:rPr>
            </w:pPr>
            <w:r>
              <w:rPr>
                <w:rFonts w:ascii="Arial" w:cs="Arial" w:eastAsia="Arial" w:hAnsi="Arial"/>
                <w:sz w:val="18"/>
                <w:szCs w:val="18"/>
                <w:color w:val="auto"/>
              </w:rPr>
              <w:t>0%</w:t>
            </w:r>
          </w:p>
        </w:tc>
        <w:tc>
          <w:tcPr>
            <w:tcW w:w="1040" w:type="dxa"/>
            <w:vAlign w:val="bottom"/>
            <w:gridSpan w:val="2"/>
            <w:shd w:val="clear" w:color="auto" w:fill="CCEEFF"/>
          </w:tcPr>
          <w:p>
            <w:pPr>
              <w:jc w:val="right"/>
              <w:ind w:right="120"/>
              <w:spacing w:after="0" w:line="203" w:lineRule="exact"/>
              <w:rPr>
                <w:sz w:val="20"/>
                <w:szCs w:val="20"/>
                <w:color w:val="auto"/>
              </w:rPr>
            </w:pPr>
            <w:r>
              <w:rPr>
                <w:rFonts w:ascii="Arial" w:cs="Arial" w:eastAsia="Arial" w:hAnsi="Arial"/>
                <w:sz w:val="18"/>
                <w:szCs w:val="18"/>
                <w:color w:val="auto"/>
              </w:rPr>
              <w:t>18.75%</w:t>
            </w:r>
          </w:p>
        </w:tc>
        <w:tc>
          <w:tcPr>
            <w:tcW w:w="1020" w:type="dxa"/>
            <w:vAlign w:val="bottom"/>
            <w:gridSpan w:val="2"/>
            <w:shd w:val="clear" w:color="auto" w:fill="CCEEFF"/>
          </w:tcPr>
          <w:p>
            <w:pPr>
              <w:jc w:val="right"/>
              <w:ind w:right="120"/>
              <w:spacing w:after="0" w:line="203" w:lineRule="exact"/>
              <w:rPr>
                <w:sz w:val="20"/>
                <w:szCs w:val="20"/>
                <w:color w:val="auto"/>
              </w:rPr>
            </w:pPr>
            <w:r>
              <w:rPr>
                <w:rFonts w:ascii="Arial" w:cs="Arial" w:eastAsia="Arial" w:hAnsi="Arial"/>
                <w:sz w:val="18"/>
                <w:szCs w:val="18"/>
                <w:color w:val="auto"/>
              </w:rPr>
              <w:t>37.5%</w:t>
            </w:r>
          </w:p>
        </w:tc>
        <w:tc>
          <w:tcPr>
            <w:tcW w:w="9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16"/>
        </w:trPr>
        <w:tc>
          <w:tcPr>
            <w:tcW w:w="3600" w:type="dxa"/>
            <w:vAlign w:val="bottom"/>
            <w:gridSpan w:val="2"/>
          </w:tcPr>
          <w:p>
            <w:pPr>
              <w:spacing w:after="0"/>
              <w:rPr>
                <w:sz w:val="20"/>
                <w:szCs w:val="20"/>
                <w:color w:val="auto"/>
              </w:rPr>
            </w:pPr>
            <w:r>
              <w:rPr>
                <w:rFonts w:ascii="Arial" w:cs="Arial" w:eastAsia="Arial" w:hAnsi="Arial"/>
                <w:sz w:val="18"/>
                <w:szCs w:val="18"/>
                <w:color w:val="auto"/>
              </w:rPr>
              <w:t>Mr. Feller</w:t>
            </w:r>
            <w:r>
              <w:rPr>
                <w:rFonts w:ascii="Arial" w:cs="Arial" w:eastAsia="Arial" w:hAnsi="Arial"/>
                <w:sz w:val="11"/>
                <w:szCs w:val="11"/>
                <w:color w:val="auto"/>
              </w:rPr>
              <w:t>2</w:t>
            </w:r>
          </w:p>
        </w:tc>
        <w:tc>
          <w:tcPr>
            <w:tcW w:w="860" w:type="dxa"/>
            <w:vAlign w:val="bottom"/>
            <w:gridSpan w:val="2"/>
          </w:tcPr>
          <w:p>
            <w:pPr>
              <w:jc w:val="right"/>
              <w:ind w:right="192"/>
              <w:spacing w:after="0"/>
              <w:rPr>
                <w:sz w:val="20"/>
                <w:szCs w:val="20"/>
                <w:color w:val="auto"/>
              </w:rPr>
            </w:pPr>
            <w:r>
              <w:rPr>
                <w:rFonts w:ascii="Arial" w:cs="Arial" w:eastAsia="Arial" w:hAnsi="Arial"/>
                <w:sz w:val="18"/>
                <w:szCs w:val="18"/>
                <w:color w:val="auto"/>
              </w:rPr>
              <w:t>n/a</w:t>
            </w:r>
          </w:p>
        </w:tc>
        <w:tc>
          <w:tcPr>
            <w:tcW w:w="1040" w:type="dxa"/>
            <w:vAlign w:val="bottom"/>
            <w:gridSpan w:val="2"/>
          </w:tcPr>
          <w:p>
            <w:pPr>
              <w:jc w:val="center"/>
              <w:ind w:left="183"/>
              <w:spacing w:after="0"/>
              <w:rPr>
                <w:sz w:val="20"/>
                <w:szCs w:val="20"/>
                <w:color w:val="auto"/>
              </w:rPr>
            </w:pPr>
            <w:r>
              <w:rPr>
                <w:rFonts w:ascii="Arial" w:cs="Arial" w:eastAsia="Arial" w:hAnsi="Arial"/>
                <w:sz w:val="18"/>
                <w:szCs w:val="18"/>
                <w:color w:val="auto"/>
                <w:w w:val="87"/>
              </w:rPr>
              <w:t>n/a</w:t>
            </w: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40%</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n/a</w:t>
            </w:r>
          </w:p>
        </w:tc>
        <w:tc>
          <w:tcPr>
            <w:tcW w:w="860" w:type="dxa"/>
            <w:vAlign w:val="bottom"/>
            <w:gridSpan w:val="2"/>
          </w:tcPr>
          <w:p>
            <w:pPr>
              <w:jc w:val="right"/>
              <w:ind w:right="52"/>
              <w:spacing w:after="0"/>
              <w:rPr>
                <w:sz w:val="20"/>
                <w:szCs w:val="20"/>
                <w:color w:val="auto"/>
              </w:rPr>
            </w:pPr>
            <w:r>
              <w:rPr>
                <w:rFonts w:ascii="Arial" w:cs="Arial" w:eastAsia="Arial" w:hAnsi="Arial"/>
                <w:sz w:val="18"/>
                <w:szCs w:val="18"/>
                <w:color w:val="auto"/>
              </w:rPr>
              <w:t>0%</w:t>
            </w: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5%</w:t>
            </w: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10%</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3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 Sutardja</w:t>
            </w:r>
          </w:p>
        </w:tc>
        <w:tc>
          <w:tcPr>
            <w:tcW w:w="8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0%</w:t>
            </w:r>
          </w:p>
        </w:tc>
        <w:tc>
          <w:tcPr>
            <w:tcW w:w="1040" w:type="dxa"/>
            <w:vAlign w:val="bottom"/>
            <w:gridSpan w:val="2"/>
            <w:shd w:val="clear" w:color="auto" w:fill="CCEEFF"/>
          </w:tcPr>
          <w:p>
            <w:pPr>
              <w:jc w:val="center"/>
              <w:ind w:left="243"/>
              <w:spacing w:after="0"/>
              <w:rPr>
                <w:sz w:val="20"/>
                <w:szCs w:val="20"/>
                <w:color w:val="auto"/>
              </w:rPr>
            </w:pPr>
            <w:r>
              <w:rPr>
                <w:rFonts w:ascii="Arial" w:cs="Arial" w:eastAsia="Arial" w:hAnsi="Arial"/>
                <w:sz w:val="18"/>
                <w:szCs w:val="18"/>
                <w:color w:val="auto"/>
                <w:w w:val="86"/>
              </w:rPr>
              <w:t>12.5%</w:t>
            </w: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50%</w:t>
            </w: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100%</w:t>
            </w:r>
          </w:p>
        </w:tc>
        <w:tc>
          <w:tcPr>
            <w:tcW w:w="8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0%</w:t>
            </w: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6.25%</w:t>
            </w: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12.5%</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62"/>
        </w:numPr>
        <w:rPr>
          <w:rFonts w:ascii="Arial" w:cs="Arial" w:eastAsia="Arial" w:hAnsi="Arial"/>
          <w:sz w:val="16"/>
          <w:szCs w:val="16"/>
          <w:color w:val="auto"/>
        </w:rPr>
      </w:pPr>
      <w:r>
        <w:rPr>
          <w:rFonts w:ascii="Arial" w:cs="Arial" w:eastAsia="Arial" w:hAnsi="Arial"/>
          <w:sz w:val="16"/>
          <w:szCs w:val="16"/>
          <w:color w:val="auto"/>
        </w:rPr>
        <w:t>Annual incentive payout is calculated using a straight line interpolation for performance between threshold and target or between target and maximum.</w:t>
      </w:r>
    </w:p>
    <w:p>
      <w:pPr>
        <w:spacing w:after="0" w:line="38" w:lineRule="exact"/>
        <w:rPr>
          <w:rFonts w:ascii="Arial" w:cs="Arial" w:eastAsia="Arial" w:hAnsi="Arial"/>
          <w:sz w:val="16"/>
          <w:szCs w:val="16"/>
          <w:color w:val="auto"/>
        </w:rPr>
      </w:pPr>
    </w:p>
    <w:p>
      <w:pPr>
        <w:ind w:left="460" w:hanging="452"/>
        <w:spacing w:after="0"/>
        <w:tabs>
          <w:tab w:leader="none" w:pos="460" w:val="left"/>
        </w:tabs>
        <w:numPr>
          <w:ilvl w:val="0"/>
          <w:numId w:val="62"/>
        </w:numPr>
        <w:rPr>
          <w:rFonts w:ascii="Arial" w:cs="Arial" w:eastAsia="Arial" w:hAnsi="Arial"/>
          <w:sz w:val="18"/>
          <w:szCs w:val="18"/>
          <w:color w:val="auto"/>
        </w:rPr>
      </w:pPr>
      <w:r>
        <w:rPr>
          <w:rFonts w:ascii="Arial" w:cs="Arial" w:eastAsia="Arial" w:hAnsi="Arial"/>
          <w:sz w:val="18"/>
          <w:szCs w:val="18"/>
          <w:color w:val="auto"/>
        </w:rPr>
        <w:t>Mr Feller was not a participant in the fiscal 2013 Section 162(m) annual incentive plan.</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Despite fiscal 2014 being the start of a turnaround for the company, both for top and bottom line financial growth, the improvement in company financial performance was not sufficient to result in any annual incentive plan payouts for named executive officers under the fiscal 2014 annual incentive plan.</w:t>
      </w:r>
    </w:p>
    <w:p>
      <w:pPr>
        <w:spacing w:after="0" w:line="109"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Actual Fiscal</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00" w:type="dxa"/>
            <w:vAlign w:val="bottom"/>
            <w:gridSpan w:val="2"/>
          </w:tcPr>
          <w:p>
            <w:pPr>
              <w:jc w:val="right"/>
              <w:ind w:right="32"/>
              <w:spacing w:after="0" w:line="149" w:lineRule="exact"/>
              <w:rPr>
                <w:sz w:val="20"/>
                <w:szCs w:val="20"/>
                <w:color w:val="auto"/>
              </w:rPr>
            </w:pPr>
            <w:r>
              <w:rPr>
                <w:rFonts w:ascii="Arial" w:cs="Arial" w:eastAsia="Arial" w:hAnsi="Arial"/>
                <w:sz w:val="14"/>
                <w:szCs w:val="14"/>
                <w:b w:val="1"/>
                <w:bCs w:val="1"/>
                <w:color w:val="auto"/>
                <w:w w:val="87"/>
              </w:rPr>
              <w:t>Fiscal 2014 Target</w:t>
            </w:r>
          </w:p>
        </w:tc>
        <w:tc>
          <w:tcPr>
            <w:tcW w:w="940" w:type="dxa"/>
            <w:vAlign w:val="bottom"/>
          </w:tcPr>
          <w:p>
            <w:pPr>
              <w:spacing w:after="0"/>
              <w:rPr>
                <w:sz w:val="12"/>
                <w:szCs w:val="12"/>
                <w:color w:val="auto"/>
              </w:rPr>
            </w:pPr>
          </w:p>
        </w:tc>
        <w:tc>
          <w:tcPr>
            <w:tcW w:w="11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2014 Annual</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1280" w:type="dxa"/>
            <w:vAlign w:val="bottom"/>
            <w:vMerge w:val="restart"/>
          </w:tcPr>
          <w:p>
            <w:pPr>
              <w:spacing w:after="0"/>
              <w:rPr>
                <w:sz w:val="12"/>
                <w:szCs w:val="12"/>
                <w:color w:val="auto"/>
              </w:rPr>
            </w:pPr>
          </w:p>
        </w:tc>
        <w:tc>
          <w:tcPr>
            <w:tcW w:w="8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5"/>
              </w:rPr>
              <w:t>Fiscal 2014</w:t>
            </w:r>
          </w:p>
        </w:tc>
        <w:tc>
          <w:tcPr>
            <w:tcW w:w="2220" w:type="dxa"/>
            <w:vAlign w:val="bottom"/>
            <w:gridSpan w:val="4"/>
          </w:tcPr>
          <w:p>
            <w:pPr>
              <w:jc w:val="right"/>
              <w:spacing w:after="0" w:line="149" w:lineRule="exact"/>
              <w:rPr>
                <w:sz w:val="20"/>
                <w:szCs w:val="20"/>
                <w:color w:val="auto"/>
              </w:rPr>
            </w:pPr>
            <w:r>
              <w:rPr>
                <w:rFonts w:ascii="Arial" w:cs="Arial" w:eastAsia="Arial" w:hAnsi="Arial"/>
                <w:sz w:val="14"/>
                <w:szCs w:val="14"/>
                <w:b w:val="1"/>
                <w:bCs w:val="1"/>
                <w:color w:val="auto"/>
              </w:rPr>
              <w:t>Incentive Opportunity</w:t>
            </w:r>
          </w:p>
        </w:tc>
        <w:tc>
          <w:tcPr>
            <w:tcW w:w="2120" w:type="dxa"/>
            <w:vAlign w:val="bottom"/>
            <w:gridSpan w:val="3"/>
          </w:tcPr>
          <w:p>
            <w:pPr>
              <w:jc w:val="center"/>
              <w:ind w:left="639"/>
              <w:spacing w:after="0" w:line="149" w:lineRule="exact"/>
              <w:rPr>
                <w:sz w:val="20"/>
                <w:szCs w:val="20"/>
                <w:color w:val="auto"/>
              </w:rPr>
            </w:pPr>
            <w:r>
              <w:rPr>
                <w:rFonts w:ascii="Arial" w:cs="Arial" w:eastAsia="Arial" w:hAnsi="Arial"/>
                <w:sz w:val="14"/>
                <w:szCs w:val="14"/>
                <w:b w:val="1"/>
                <w:bCs w:val="1"/>
                <w:color w:val="auto"/>
                <w:w w:val="86"/>
              </w:rPr>
              <w:t>Incentive Payout</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1280" w:type="dxa"/>
            <w:vAlign w:val="bottom"/>
            <w:vMerge w:val="continue"/>
          </w:tcPr>
          <w:p>
            <w:pPr>
              <w:spacing w:after="0"/>
              <w:rPr>
                <w:sz w:val="12"/>
                <w:szCs w:val="12"/>
                <w:color w:val="auto"/>
              </w:rPr>
            </w:pPr>
          </w:p>
        </w:tc>
        <w:tc>
          <w:tcPr>
            <w:tcW w:w="1540" w:type="dxa"/>
            <w:vAlign w:val="bottom"/>
            <w:gridSpan w:val="2"/>
          </w:tcPr>
          <w:p>
            <w:pPr>
              <w:jc w:val="right"/>
              <w:spacing w:after="0" w:line="148" w:lineRule="exact"/>
              <w:rPr>
                <w:sz w:val="20"/>
                <w:szCs w:val="20"/>
                <w:color w:val="auto"/>
              </w:rPr>
            </w:pPr>
            <w:r>
              <w:rPr>
                <w:rFonts w:ascii="Arial" w:cs="Arial" w:eastAsia="Arial" w:hAnsi="Arial"/>
                <w:sz w:val="14"/>
                <w:szCs w:val="14"/>
                <w:b w:val="1"/>
                <w:bCs w:val="1"/>
                <w:color w:val="auto"/>
              </w:rPr>
              <w:t>Base Salary</w:t>
            </w:r>
          </w:p>
        </w:tc>
        <w:tc>
          <w:tcPr>
            <w:tcW w:w="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00" w:type="dxa"/>
            <w:vAlign w:val="bottom"/>
            <w:gridSpan w:val="2"/>
          </w:tcPr>
          <w:p>
            <w:pPr>
              <w:jc w:val="right"/>
              <w:ind w:right="12"/>
              <w:spacing w:after="0" w:line="148" w:lineRule="exact"/>
              <w:rPr>
                <w:sz w:val="20"/>
                <w:szCs w:val="20"/>
                <w:color w:val="auto"/>
              </w:rPr>
            </w:pPr>
            <w:r>
              <w:rPr>
                <w:rFonts w:ascii="Arial" w:cs="Arial" w:eastAsia="Arial" w:hAnsi="Arial"/>
                <w:sz w:val="14"/>
                <w:szCs w:val="14"/>
                <w:b w:val="1"/>
                <w:bCs w:val="1"/>
                <w:color w:val="auto"/>
                <w:w w:val="88"/>
              </w:rPr>
              <w:t>(% of Base Salary)</w:t>
            </w:r>
          </w:p>
        </w:tc>
        <w:tc>
          <w:tcPr>
            <w:tcW w:w="940" w:type="dxa"/>
            <w:vAlign w:val="bottom"/>
          </w:tcPr>
          <w:p>
            <w:pPr>
              <w:spacing w:after="0"/>
              <w:rPr>
                <w:sz w:val="12"/>
                <w:szCs w:val="12"/>
                <w:color w:val="auto"/>
              </w:rPr>
            </w:pPr>
          </w:p>
        </w:tc>
        <w:tc>
          <w:tcPr>
            <w:tcW w:w="1180" w:type="dxa"/>
            <w:vAlign w:val="bottom"/>
            <w:gridSpan w:val="2"/>
          </w:tcPr>
          <w:p>
            <w:pPr>
              <w:jc w:val="center"/>
              <w:ind w:right="200"/>
              <w:spacing w:after="0" w:line="148" w:lineRule="exact"/>
              <w:rPr>
                <w:sz w:val="20"/>
                <w:szCs w:val="20"/>
                <w:color w:val="auto"/>
              </w:rPr>
            </w:pPr>
            <w:r>
              <w:rPr>
                <w:rFonts w:ascii="Arial" w:cs="Arial" w:eastAsia="Arial" w:hAnsi="Arial"/>
                <w:sz w:val="14"/>
                <w:szCs w:val="14"/>
                <w:b w:val="1"/>
                <w:bCs w:val="1"/>
                <w:color w:val="auto"/>
                <w:w w:val="91"/>
              </w:rPr>
              <w:t>(% of Target)</w:t>
            </w:r>
          </w:p>
        </w:tc>
        <w:tc>
          <w:tcPr>
            <w:tcW w:w="0" w:type="dxa"/>
            <w:vAlign w:val="bottom"/>
          </w:tcPr>
          <w:p>
            <w:pPr>
              <w:spacing w:after="0"/>
              <w:rPr>
                <w:sz w:val="1"/>
                <w:szCs w:val="1"/>
                <w:color w:val="auto"/>
              </w:rPr>
            </w:pPr>
          </w:p>
        </w:tc>
      </w:tr>
      <w:tr>
        <w:trPr>
          <w:trHeight w:val="20"/>
        </w:trPr>
        <w:tc>
          <w:tcPr>
            <w:tcW w:w="188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 Sutardja</w:t>
            </w:r>
          </w:p>
        </w:tc>
        <w:tc>
          <w:tcPr>
            <w:tcW w:w="860" w:type="dxa"/>
            <w:vAlign w:val="bottom"/>
            <w:vMerge w:val="restart"/>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940" w:type="dxa"/>
            <w:vAlign w:val="bottom"/>
            <w:vMerge w:val="restart"/>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940" w:type="dxa"/>
            <w:vAlign w:val="bottom"/>
            <w:vMerge w:val="restart"/>
            <w:shd w:val="clear" w:color="auto" w:fill="CCEEFF"/>
          </w:tcPr>
          <w:p>
            <w:pPr>
              <w:spacing w:after="0" w:line="20" w:lineRule="exact"/>
              <w:rPr>
                <w:sz w:val="1"/>
                <w:szCs w:val="1"/>
                <w:color w:val="auto"/>
              </w:rPr>
            </w:pPr>
          </w:p>
        </w:tc>
        <w:tc>
          <w:tcPr>
            <w:tcW w:w="9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1880" w:type="dxa"/>
            <w:vAlign w:val="bottom"/>
            <w:gridSpan w:val="2"/>
            <w:vMerge w:val="continue"/>
            <w:shd w:val="clear" w:color="auto" w:fill="CCEEFF"/>
          </w:tcPr>
          <w:p>
            <w:pPr>
              <w:spacing w:after="0"/>
              <w:rPr>
                <w:sz w:val="17"/>
                <w:szCs w:val="17"/>
                <w:color w:val="auto"/>
              </w:rPr>
            </w:pPr>
          </w:p>
        </w:tc>
        <w:tc>
          <w:tcPr>
            <w:tcW w:w="860" w:type="dxa"/>
            <w:vAlign w:val="bottom"/>
            <w:vMerge w:val="continue"/>
            <w:shd w:val="clear" w:color="auto" w:fill="CCEEFF"/>
          </w:tcPr>
          <w:p>
            <w:pPr>
              <w:spacing w:after="0"/>
              <w:rPr>
                <w:sz w:val="17"/>
                <w:szCs w:val="17"/>
                <w:color w:val="auto"/>
              </w:rPr>
            </w:pPr>
          </w:p>
        </w:tc>
        <w:tc>
          <w:tcPr>
            <w:tcW w:w="6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2"/>
              </w:rPr>
              <w:t>$ 850,000</w:t>
            </w:r>
          </w:p>
        </w:tc>
        <w:tc>
          <w:tcPr>
            <w:tcW w:w="940" w:type="dxa"/>
            <w:vAlign w:val="bottom"/>
            <w:vMerge w:val="continue"/>
            <w:shd w:val="clear" w:color="auto" w:fill="CCEEFF"/>
          </w:tcPr>
          <w:p>
            <w:pPr>
              <w:spacing w:after="0"/>
              <w:rPr>
                <w:sz w:val="17"/>
                <w:szCs w:val="17"/>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318,750</w:t>
            </w:r>
          </w:p>
        </w:tc>
        <w:tc>
          <w:tcPr>
            <w:tcW w:w="5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8"/>
              </w:rPr>
              <w:t>(37.5%)</w:t>
            </w:r>
          </w:p>
        </w:tc>
        <w:tc>
          <w:tcPr>
            <w:tcW w:w="940" w:type="dxa"/>
            <w:vAlign w:val="bottom"/>
            <w:vMerge w:val="continue"/>
            <w:shd w:val="clear" w:color="auto" w:fill="CCEEFF"/>
          </w:tcPr>
          <w:p>
            <w:pPr>
              <w:spacing w:after="0"/>
              <w:rPr>
                <w:sz w:val="17"/>
                <w:szCs w:val="17"/>
                <w:color w:val="auto"/>
              </w:rPr>
            </w:pPr>
          </w:p>
        </w:tc>
        <w:tc>
          <w:tcPr>
            <w:tcW w:w="118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1880" w:type="dxa"/>
            <w:vAlign w:val="bottom"/>
            <w:gridSpan w:val="2"/>
          </w:tcPr>
          <w:p>
            <w:pPr>
              <w:spacing w:after="0"/>
              <w:rPr>
                <w:sz w:val="20"/>
                <w:szCs w:val="20"/>
                <w:color w:val="auto"/>
              </w:rPr>
            </w:pPr>
            <w:r>
              <w:rPr>
                <w:rFonts w:ascii="Arial" w:cs="Arial" w:eastAsia="Arial" w:hAnsi="Arial"/>
                <w:sz w:val="18"/>
                <w:szCs w:val="18"/>
                <w:color w:val="auto"/>
              </w:rPr>
              <w:t>Mr. Feller</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$ 285,000</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28,500</w:t>
            </w:r>
          </w:p>
        </w:tc>
        <w:tc>
          <w:tcPr>
            <w:tcW w:w="580" w:type="dxa"/>
            <w:vAlign w:val="bottom"/>
          </w:tcPr>
          <w:p>
            <w:pPr>
              <w:jc w:val="right"/>
              <w:spacing w:after="0"/>
              <w:rPr>
                <w:sz w:val="20"/>
                <w:szCs w:val="20"/>
                <w:color w:val="auto"/>
              </w:rPr>
            </w:pPr>
            <w:r>
              <w:rPr>
                <w:rFonts w:ascii="Arial" w:cs="Arial" w:eastAsia="Arial" w:hAnsi="Arial"/>
                <w:sz w:val="18"/>
                <w:szCs w:val="18"/>
                <w:color w:val="auto"/>
                <w:w w:val="88"/>
              </w:rPr>
              <w:t>(10.0%)</w:t>
            </w:r>
          </w:p>
        </w:tc>
        <w:tc>
          <w:tcPr>
            <w:tcW w:w="2120" w:type="dxa"/>
            <w:vAlign w:val="bottom"/>
            <w:gridSpan w:val="3"/>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18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 Sutardja</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$ 425,000</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53,125</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(12.5%)</w:t>
            </w:r>
          </w:p>
        </w:tc>
        <w:tc>
          <w:tcPr>
            <w:tcW w:w="21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Ms. Dai, Mr. Rashkin and Dr. Wu were not participants in the fiscal 2014 Section 162(m) annual incentive plan as they were not named executive officers at the time the plan goals were determined by the ECC and did not receive any cash incentive payout for fiscal 2014.</w:t>
      </w:r>
    </w:p>
    <w:p>
      <w:pPr>
        <w:spacing w:after="0" w:line="132"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ECC remains determined to continue to review incentive opportunities relative to the difficulty of plan goals and affordability of payouts relative to financial performance.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2014 Long-Term Incentive Awards</w:t>
      </w:r>
    </w:p>
    <w:p>
      <w:pPr>
        <w:spacing w:after="0" w:line="90" w:lineRule="exact"/>
        <w:rPr>
          <w:sz w:val="20"/>
          <w:szCs w:val="20"/>
          <w:color w:val="auto"/>
        </w:rPr>
      </w:pPr>
    </w:p>
    <w:p>
      <w:pPr>
        <w:ind w:right="620" w:firstLine="456"/>
        <w:spacing w:after="0" w:line="259" w:lineRule="auto"/>
        <w:rPr>
          <w:sz w:val="20"/>
          <w:szCs w:val="20"/>
          <w:color w:val="auto"/>
        </w:rPr>
      </w:pPr>
      <w:r>
        <w:rPr>
          <w:rFonts w:ascii="Arial" w:cs="Arial" w:eastAsia="Arial" w:hAnsi="Arial"/>
          <w:sz w:val="18"/>
          <w:szCs w:val="18"/>
          <w:color w:val="auto"/>
        </w:rPr>
        <w:t>Marvell’s executive compensation packages are designed to ensure that a substantial portion of named executive officer compensation is linked to incentivizing and rewarding increases in our market capitalization through sustained share price growth. For fiscal 2014, the ECC decided to grant named executive officers stock options and service based RSUs for the following reasons:</w:t>
      </w:r>
    </w:p>
    <w:p>
      <w:pPr>
        <w:spacing w:after="0" w:line="59" w:lineRule="exact"/>
        <w:rPr>
          <w:sz w:val="20"/>
          <w:szCs w:val="20"/>
          <w:color w:val="auto"/>
        </w:rPr>
      </w:pPr>
    </w:p>
    <w:p>
      <w:pPr>
        <w:ind w:left="900" w:right="40" w:hanging="325"/>
        <w:spacing w:after="0" w:line="306" w:lineRule="auto"/>
        <w:tabs>
          <w:tab w:leader="none" w:pos="900" w:val="left"/>
        </w:tabs>
        <w:numPr>
          <w:ilvl w:val="0"/>
          <w:numId w:val="63"/>
        </w:numPr>
        <w:rPr>
          <w:rFonts w:ascii="Arial" w:cs="Arial" w:eastAsia="Arial" w:hAnsi="Arial"/>
          <w:sz w:val="16"/>
          <w:szCs w:val="16"/>
          <w:color w:val="auto"/>
        </w:rPr>
      </w:pPr>
      <w:r>
        <w:rPr>
          <w:rFonts w:ascii="Arial" w:cs="Arial" w:eastAsia="Arial" w:hAnsi="Arial"/>
          <w:sz w:val="16"/>
          <w:szCs w:val="16"/>
          <w:color w:val="auto"/>
        </w:rPr>
        <w:t>The majority of the equity awards to named executive officers were granted as stock options to emphasize shareholder value creation. A significantly smaller portion of equity awards were granted as service based RSUs. In determining to grant service based RSUs the ECC noted that a substantial portion (40%) of outstanding named executive officer equity awards were already subject to performance-contingent vesting.</w:t>
      </w:r>
    </w:p>
    <w:p>
      <w:pPr>
        <w:spacing w:after="0" w:line="25" w:lineRule="exact"/>
        <w:rPr>
          <w:rFonts w:ascii="Arial" w:cs="Arial" w:eastAsia="Arial" w:hAnsi="Arial"/>
          <w:sz w:val="16"/>
          <w:szCs w:val="16"/>
          <w:color w:val="auto"/>
        </w:rPr>
      </w:pPr>
    </w:p>
    <w:p>
      <w:pPr>
        <w:jc w:val="both"/>
        <w:ind w:left="900" w:right="220" w:hanging="325"/>
        <w:spacing w:after="0" w:line="306" w:lineRule="auto"/>
        <w:tabs>
          <w:tab w:leader="none" w:pos="900" w:val="left"/>
        </w:tabs>
        <w:numPr>
          <w:ilvl w:val="0"/>
          <w:numId w:val="63"/>
        </w:numPr>
        <w:rPr>
          <w:rFonts w:ascii="Arial" w:cs="Arial" w:eastAsia="Arial" w:hAnsi="Arial"/>
          <w:sz w:val="16"/>
          <w:szCs w:val="16"/>
          <w:color w:val="auto"/>
        </w:rPr>
      </w:pPr>
      <w:r>
        <w:rPr>
          <w:rFonts w:ascii="Arial" w:cs="Arial" w:eastAsia="Arial" w:hAnsi="Arial"/>
          <w:sz w:val="16"/>
          <w:szCs w:val="16"/>
          <w:color w:val="auto"/>
        </w:rPr>
        <w:t>The stock options and service based RSUs were considered a combination grant by the ECC, with service based RSUs representing approximately 25% of total grant value and vesting after one year, and stock options representing 75% of total grant value and vesting in three equal installments after years 2, 3 and 4, such that approximately 25% of the total grant value vests each year for 4 years.</w:t>
      </w:r>
    </w:p>
    <w:p>
      <w:pPr>
        <w:spacing w:after="0" w:line="25" w:lineRule="exact"/>
        <w:rPr>
          <w:rFonts w:ascii="Arial" w:cs="Arial" w:eastAsia="Arial" w:hAnsi="Arial"/>
          <w:sz w:val="16"/>
          <w:szCs w:val="16"/>
          <w:color w:val="auto"/>
        </w:rPr>
      </w:pPr>
    </w:p>
    <w:p>
      <w:pPr>
        <w:ind w:left="900" w:right="60" w:hanging="325"/>
        <w:spacing w:after="0" w:line="268"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mix and vesting schedule was consistent with equity awards made to all employees that received stock options during the fiscal 2014 focal grant cycle.</w:t>
      </w:r>
    </w:p>
    <w:p>
      <w:pPr>
        <w:spacing w:after="0" w:line="132" w:lineRule="exact"/>
        <w:rPr>
          <w:sz w:val="20"/>
          <w:szCs w:val="20"/>
          <w:color w:val="auto"/>
        </w:rPr>
      </w:pPr>
    </w:p>
    <w:p>
      <w:pPr>
        <w:jc w:val="both"/>
        <w:ind w:right="320" w:firstLine="456"/>
        <w:spacing w:after="0" w:line="259" w:lineRule="auto"/>
        <w:rPr>
          <w:sz w:val="20"/>
          <w:szCs w:val="20"/>
          <w:color w:val="auto"/>
        </w:rPr>
      </w:pPr>
      <w:r>
        <w:rPr>
          <w:rFonts w:ascii="Arial" w:cs="Arial" w:eastAsia="Arial" w:hAnsi="Arial"/>
          <w:sz w:val="18"/>
          <w:szCs w:val="18"/>
          <w:color w:val="auto"/>
        </w:rPr>
        <w:t>Each of the foregoing stock option and service based RSU awards were made pursuant to the 1995 Stock Plan and were granted on April 30, 2013. The exercise price of each stock option award was equal to $10.76, the closing price of our common shares as reported on the NASDAQ Global Select Market on April 30, 2013.</w:t>
      </w:r>
    </w:p>
    <w:p>
      <w:pPr>
        <w:spacing w:after="0" w:line="14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In light of company financial performance and shareholder feedback, the grant value of equity awards made to named executive officers in fiscal 2014 was substantially less than in the prior three fiscal years, with named executive officers receiving an average of 40% of fiscal 2013 equity value. The tables below provide the number of shares underlying the equity awards granted on April 30, 2013.</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Awards to executives who were named executive officers at the time of focal grants included: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0"/>
              </w:rPr>
              <w:t>RSUs</w:t>
            </w:r>
          </w:p>
        </w:tc>
        <w:tc>
          <w:tcPr>
            <w:tcW w:w="740" w:type="dxa"/>
            <w:vAlign w:val="bottom"/>
            <w:tcBorders>
              <w:bottom w:val="single" w:sz="8" w:color="auto"/>
            </w:tcBorders>
          </w:tcPr>
          <w:p>
            <w:pPr>
              <w:spacing w:after="0"/>
              <w:rPr>
                <w:sz w:val="14"/>
                <w:szCs w:val="14"/>
                <w:color w:val="auto"/>
              </w:rPr>
            </w:pPr>
          </w:p>
        </w:tc>
        <w:tc>
          <w:tcPr>
            <w:tcW w:w="320" w:type="dxa"/>
            <w:vAlign w:val="bottom"/>
          </w:tcPr>
          <w:p>
            <w:pPr>
              <w:spacing w:after="0"/>
              <w:rPr>
                <w:sz w:val="14"/>
                <w:szCs w:val="14"/>
                <w:color w:val="auto"/>
              </w:rPr>
            </w:pPr>
          </w:p>
        </w:tc>
        <w:tc>
          <w:tcPr>
            <w:tcW w:w="1960" w:type="dxa"/>
            <w:vAlign w:val="bottom"/>
            <w:tcBorders>
              <w:bottom w:val="single" w:sz="8" w:color="auto"/>
            </w:tcBorders>
            <w:gridSpan w:val="4"/>
          </w:tcPr>
          <w:p>
            <w:pPr>
              <w:jc w:val="right"/>
              <w:ind w:right="500"/>
              <w:spacing w:after="0"/>
              <w:rPr>
                <w:sz w:val="20"/>
                <w:szCs w:val="20"/>
                <w:color w:val="auto"/>
              </w:rPr>
            </w:pPr>
            <w:r>
              <w:rPr>
                <w:rFonts w:ascii="Arial" w:cs="Arial" w:eastAsia="Arial" w:hAnsi="Arial"/>
                <w:sz w:val="14"/>
                <w:szCs w:val="14"/>
                <w:b w:val="1"/>
                <w:bCs w:val="1"/>
                <w:color w:val="auto"/>
              </w:rPr>
              <w:t>Stock Options</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700" w:type="dxa"/>
            <w:vAlign w:val="bottom"/>
            <w:vMerge w:val="restart"/>
          </w:tcPr>
          <w:p>
            <w:pPr>
              <w:spacing w:after="0"/>
              <w:rPr>
                <w:sz w:val="11"/>
                <w:szCs w:val="11"/>
                <w:color w:val="auto"/>
              </w:rPr>
            </w:pPr>
          </w:p>
        </w:tc>
        <w:tc>
          <w:tcPr>
            <w:tcW w:w="2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40" w:type="dxa"/>
            <w:vAlign w:val="bottom"/>
          </w:tcPr>
          <w:p>
            <w:pPr>
              <w:jc w:val="center"/>
              <w:ind w:right="20"/>
              <w:spacing w:after="0" w:line="129" w:lineRule="exact"/>
              <w:rPr>
                <w:sz w:val="20"/>
                <w:szCs w:val="20"/>
                <w:color w:val="auto"/>
              </w:rPr>
            </w:pPr>
            <w:r>
              <w:rPr>
                <w:rFonts w:ascii="Arial" w:cs="Arial" w:eastAsia="Arial" w:hAnsi="Arial"/>
                <w:sz w:val="14"/>
                <w:szCs w:val="14"/>
                <w:b w:val="1"/>
                <w:bCs w:val="1"/>
                <w:color w:val="auto"/>
                <w:w w:val="96"/>
              </w:rPr>
              <w:t>Grant</w:t>
            </w:r>
          </w:p>
        </w:tc>
        <w:tc>
          <w:tcPr>
            <w:tcW w:w="3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40" w:type="dxa"/>
            <w:vAlign w:val="bottom"/>
          </w:tcPr>
          <w:p>
            <w:pPr>
              <w:jc w:val="right"/>
              <w:ind w:right="160"/>
              <w:spacing w:after="0" w:line="129" w:lineRule="exact"/>
              <w:rPr>
                <w:sz w:val="20"/>
                <w:szCs w:val="20"/>
                <w:color w:val="auto"/>
              </w:rPr>
            </w:pPr>
            <w:r>
              <w:rPr>
                <w:rFonts w:ascii="Arial" w:cs="Arial" w:eastAsia="Arial" w:hAnsi="Arial"/>
                <w:sz w:val="14"/>
                <w:szCs w:val="14"/>
                <w:b w:val="1"/>
                <w:bCs w:val="1"/>
                <w:color w:val="auto"/>
              </w:rPr>
              <w:t>Grant</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2700" w:type="dxa"/>
            <w:vAlign w:val="bottom"/>
            <w:vMerge w:val="continue"/>
          </w:tcPr>
          <w:p>
            <w:pPr>
              <w:spacing w:after="0"/>
              <w:rPr>
                <w:sz w:val="14"/>
                <w:szCs w:val="14"/>
                <w:color w:val="auto"/>
              </w:rPr>
            </w:pPr>
          </w:p>
        </w:tc>
        <w:tc>
          <w:tcPr>
            <w:tcW w:w="2740" w:type="dxa"/>
            <w:vAlign w:val="bottom"/>
          </w:tcPr>
          <w:p>
            <w:pPr>
              <w:spacing w:after="0"/>
              <w:rPr>
                <w:sz w:val="14"/>
                <w:szCs w:val="14"/>
                <w:color w:val="auto"/>
              </w:rPr>
            </w:pPr>
          </w:p>
        </w:tc>
        <w:tc>
          <w:tcPr>
            <w:tcW w:w="700" w:type="dxa"/>
            <w:vAlign w:val="bottom"/>
            <w:gridSpan w:val="2"/>
          </w:tcPr>
          <w:p>
            <w:pPr>
              <w:ind w:left="80"/>
              <w:spacing w:after="0" w:line="148" w:lineRule="exact"/>
              <w:rPr>
                <w:sz w:val="20"/>
                <w:szCs w:val="20"/>
                <w:color w:val="auto"/>
              </w:rPr>
            </w:pPr>
            <w:r>
              <w:rPr>
                <w:rFonts w:ascii="Arial" w:cs="Arial" w:eastAsia="Arial" w:hAnsi="Arial"/>
                <w:sz w:val="14"/>
                <w:szCs w:val="14"/>
                <w:b w:val="1"/>
                <w:bCs w:val="1"/>
                <w:color w:val="auto"/>
              </w:rPr>
              <w:t>Number</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420"/>
              <w:spacing w:after="0" w:line="148" w:lineRule="exact"/>
              <w:rPr>
                <w:sz w:val="20"/>
                <w:szCs w:val="20"/>
                <w:color w:val="auto"/>
              </w:rPr>
            </w:pPr>
            <w:r>
              <w:rPr>
                <w:rFonts w:ascii="Arial" w:cs="Arial" w:eastAsia="Arial" w:hAnsi="Arial"/>
                <w:sz w:val="14"/>
                <w:szCs w:val="14"/>
                <w:b w:val="1"/>
                <w:bCs w:val="1"/>
                <w:color w:val="auto"/>
                <w:w w:val="89"/>
              </w:rPr>
              <w:t>Date Value</w:t>
            </w:r>
          </w:p>
        </w:tc>
        <w:tc>
          <w:tcPr>
            <w:tcW w:w="800" w:type="dxa"/>
            <w:vAlign w:val="bottom"/>
          </w:tcPr>
          <w:p>
            <w:pPr>
              <w:jc w:val="right"/>
              <w:ind w:right="80"/>
              <w:spacing w:after="0" w:line="148" w:lineRule="exact"/>
              <w:rPr>
                <w:sz w:val="20"/>
                <w:szCs w:val="20"/>
                <w:color w:val="auto"/>
              </w:rPr>
            </w:pPr>
            <w:r>
              <w:rPr>
                <w:rFonts w:ascii="Arial" w:cs="Arial" w:eastAsia="Arial" w:hAnsi="Arial"/>
                <w:sz w:val="14"/>
                <w:szCs w:val="14"/>
                <w:b w:val="1"/>
                <w:bCs w:val="1"/>
                <w:color w:val="auto"/>
              </w:rPr>
              <w:t>Number</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right"/>
              <w:ind w:right="20"/>
              <w:spacing w:after="0" w:line="148" w:lineRule="exact"/>
              <w:rPr>
                <w:sz w:val="20"/>
                <w:szCs w:val="20"/>
                <w:color w:val="auto"/>
              </w:rPr>
            </w:pPr>
            <w:r>
              <w:rPr>
                <w:rFonts w:ascii="Arial" w:cs="Arial" w:eastAsia="Arial" w:hAnsi="Arial"/>
                <w:sz w:val="14"/>
                <w:szCs w:val="14"/>
                <w:b w:val="1"/>
                <w:bCs w:val="1"/>
                <w:color w:val="auto"/>
                <w:w w:val="86"/>
              </w:rPr>
              <w:t>Date Value</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Total Value</w:t>
            </w:r>
          </w:p>
        </w:tc>
        <w:tc>
          <w:tcPr>
            <w:tcW w:w="0" w:type="dxa"/>
            <w:vAlign w:val="bottom"/>
          </w:tcPr>
          <w:p>
            <w:pPr>
              <w:spacing w:after="0"/>
              <w:rPr>
                <w:sz w:val="1"/>
                <w:szCs w:val="1"/>
                <w:color w:val="auto"/>
              </w:rPr>
            </w:pPr>
          </w:p>
        </w:tc>
      </w:tr>
      <w:tr>
        <w:trPr>
          <w:trHeight w:val="203"/>
        </w:trPr>
        <w:tc>
          <w:tcPr>
            <w:tcW w:w="33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 Sutardja</w:t>
            </w:r>
          </w:p>
        </w:tc>
        <w:tc>
          <w:tcPr>
            <w:tcW w:w="274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8"/>
              </w:rPr>
              <w:t>200,000</w:t>
            </w:r>
          </w:p>
        </w:tc>
        <w:tc>
          <w:tcPr>
            <w:tcW w:w="4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2,104,000</w:t>
            </w:r>
          </w:p>
        </w:tc>
        <w:tc>
          <w:tcPr>
            <w:tcW w:w="32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1,500,000</w:t>
            </w: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5,112,450</w:t>
            </w: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7,216,450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300" w:type="dxa"/>
            <w:vAlign w:val="bottom"/>
            <w:gridSpan w:val="2"/>
          </w:tcPr>
          <w:p>
            <w:pPr>
              <w:spacing w:after="0"/>
              <w:rPr>
                <w:sz w:val="20"/>
                <w:szCs w:val="20"/>
                <w:color w:val="auto"/>
              </w:rPr>
            </w:pPr>
            <w:r>
              <w:rPr>
                <w:rFonts w:ascii="Arial" w:cs="Arial" w:eastAsia="Arial" w:hAnsi="Arial"/>
                <w:sz w:val="18"/>
                <w:szCs w:val="18"/>
                <w:color w:val="auto"/>
              </w:rPr>
              <w:t>Mr. Feller</w:t>
            </w:r>
          </w:p>
        </w:tc>
        <w:tc>
          <w:tcPr>
            <w:tcW w:w="3440" w:type="dxa"/>
            <w:vAlign w:val="bottom"/>
            <w:gridSpan w:val="3"/>
          </w:tcPr>
          <w:p>
            <w:pPr>
              <w:jc w:val="right"/>
              <w:ind w:right="40"/>
              <w:spacing w:after="0"/>
              <w:rPr>
                <w:sz w:val="20"/>
                <w:szCs w:val="20"/>
                <w:color w:val="auto"/>
              </w:rPr>
            </w:pPr>
            <w:r>
              <w:rPr>
                <w:rFonts w:ascii="Arial" w:cs="Arial" w:eastAsia="Arial" w:hAnsi="Arial"/>
                <w:sz w:val="18"/>
                <w:szCs w:val="18"/>
                <w:color w:val="auto"/>
              </w:rPr>
              <w:t>4,000</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42,080</w:t>
            </w:r>
          </w:p>
        </w:tc>
        <w:tc>
          <w:tcPr>
            <w:tcW w:w="3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45,000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153,374</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195,454</w:t>
            </w:r>
          </w:p>
        </w:tc>
        <w:tc>
          <w:tcPr>
            <w:tcW w:w="0" w:type="dxa"/>
            <w:vAlign w:val="bottom"/>
          </w:tcPr>
          <w:p>
            <w:pPr>
              <w:spacing w:after="0"/>
              <w:rPr>
                <w:sz w:val="1"/>
                <w:szCs w:val="1"/>
                <w:color w:val="auto"/>
              </w:rPr>
            </w:pPr>
          </w:p>
        </w:tc>
      </w:tr>
      <w:tr>
        <w:trPr>
          <w:trHeight w:val="216"/>
        </w:trPr>
        <w:tc>
          <w:tcPr>
            <w:tcW w:w="3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 Sutardja</w:t>
            </w:r>
          </w:p>
        </w:tc>
        <w:tc>
          <w:tcPr>
            <w:tcW w:w="3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20,000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210,400</w:t>
            </w:r>
          </w:p>
        </w:tc>
        <w:tc>
          <w:tcPr>
            <w:tcW w:w="3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150,000</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511,245</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721,645</w:t>
            </w:r>
          </w:p>
        </w:tc>
        <w:tc>
          <w:tcPr>
            <w:tcW w:w="0" w:type="dxa"/>
            <w:vAlign w:val="bottom"/>
          </w:tcPr>
          <w:p>
            <w:pPr>
              <w:spacing w:after="0"/>
              <w:rPr>
                <w:sz w:val="1"/>
                <w:szCs w:val="1"/>
                <w:color w:val="auto"/>
              </w:rPr>
            </w:pPr>
          </w:p>
        </w:tc>
      </w:tr>
      <w:tr>
        <w:trPr>
          <w:trHeight w:val="363"/>
        </w:trPr>
        <w:tc>
          <w:tcPr>
            <w:tcW w:w="6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2740" w:type="dxa"/>
            <w:vAlign w:val="bottom"/>
          </w:tcPr>
          <w:p>
            <w:pPr>
              <w:jc w:val="right"/>
              <w:ind w:right="92"/>
              <w:spacing w:after="0"/>
              <w:rPr>
                <w:sz w:val="20"/>
                <w:szCs w:val="20"/>
                <w:color w:val="auto"/>
              </w:rPr>
            </w:pPr>
            <w:r>
              <w:rPr>
                <w:rFonts w:ascii="Arial" w:cs="Arial" w:eastAsia="Arial" w:hAnsi="Arial"/>
                <w:sz w:val="18"/>
                <w:szCs w:val="18"/>
                <w:color w:val="auto"/>
              </w:rPr>
              <w:t>-29-</w:t>
            </w: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Awards to other current named executive officers who were not named executive officers at the time included: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0" w:type="dxa"/>
            <w:vAlign w:val="bottom"/>
            <w:gridSpan w:val="2"/>
          </w:tcPr>
          <w:p>
            <w:pPr>
              <w:jc w:val="right"/>
              <w:spacing w:after="0"/>
              <w:rPr>
                <w:sz w:val="20"/>
                <w:szCs w:val="20"/>
                <w:color w:val="auto"/>
              </w:rPr>
            </w:pPr>
            <w:r>
              <w:rPr>
                <w:rFonts w:ascii="Arial" w:cs="Arial" w:eastAsia="Arial" w:hAnsi="Arial"/>
                <w:sz w:val="14"/>
                <w:szCs w:val="14"/>
                <w:b w:val="1"/>
                <w:bCs w:val="1"/>
                <w:color w:val="auto"/>
              </w:rPr>
              <w:t>RSUs</w:t>
            </w:r>
          </w:p>
        </w:tc>
        <w:tc>
          <w:tcPr>
            <w:tcW w:w="7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140" w:type="dxa"/>
            <w:vAlign w:val="bottom"/>
            <w:gridSpan w:val="5"/>
          </w:tcPr>
          <w:p>
            <w:pPr>
              <w:jc w:val="right"/>
              <w:ind w:right="820"/>
              <w:spacing w:after="0"/>
              <w:rPr>
                <w:sz w:val="20"/>
                <w:szCs w:val="20"/>
                <w:color w:val="auto"/>
              </w:rPr>
            </w:pPr>
            <w:r>
              <w:rPr>
                <w:rFonts w:ascii="Arial" w:cs="Arial" w:eastAsia="Arial" w:hAnsi="Arial"/>
                <w:sz w:val="14"/>
                <w:szCs w:val="14"/>
                <w:b w:val="1"/>
                <w:bCs w:val="1"/>
                <w:color w:val="auto"/>
              </w:rPr>
              <w:t>Stock Options</w:t>
            </w:r>
          </w:p>
        </w:tc>
        <w:tc>
          <w:tcPr>
            <w:tcW w:w="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5560" w:type="dxa"/>
            <w:vAlign w:val="bottom"/>
            <w:vMerge w:val="restart"/>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ind w:right="20"/>
              <w:spacing w:after="0" w:line="129" w:lineRule="exact"/>
              <w:rPr>
                <w:sz w:val="20"/>
                <w:szCs w:val="20"/>
                <w:color w:val="auto"/>
              </w:rPr>
            </w:pPr>
            <w:r>
              <w:rPr>
                <w:rFonts w:ascii="Arial" w:cs="Arial" w:eastAsia="Arial" w:hAnsi="Arial"/>
                <w:sz w:val="14"/>
                <w:szCs w:val="14"/>
                <w:b w:val="1"/>
                <w:bCs w:val="1"/>
                <w:color w:val="auto"/>
                <w:w w:val="96"/>
              </w:rPr>
              <w:t>Grant</w:t>
            </w:r>
          </w:p>
        </w:tc>
        <w:tc>
          <w:tcPr>
            <w:tcW w:w="320" w:type="dxa"/>
            <w:vAlign w:val="bottom"/>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ind w:right="160"/>
              <w:spacing w:after="0" w:line="129" w:lineRule="exact"/>
              <w:rPr>
                <w:sz w:val="20"/>
                <w:szCs w:val="20"/>
                <w:color w:val="auto"/>
              </w:rPr>
            </w:pPr>
            <w:r>
              <w:rPr>
                <w:rFonts w:ascii="Arial" w:cs="Arial" w:eastAsia="Arial" w:hAnsi="Arial"/>
                <w:sz w:val="14"/>
                <w:szCs w:val="14"/>
                <w:b w:val="1"/>
                <w:bCs w:val="1"/>
                <w:color w:val="auto"/>
              </w:rPr>
              <w:t>Grant</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5560" w:type="dxa"/>
            <w:vAlign w:val="bottom"/>
            <w:vMerge w:val="continue"/>
          </w:tcPr>
          <w:p>
            <w:pPr>
              <w:spacing w:after="0"/>
              <w:rPr>
                <w:sz w:val="14"/>
                <w:szCs w:val="14"/>
                <w:color w:val="auto"/>
              </w:rPr>
            </w:pPr>
          </w:p>
        </w:tc>
        <w:tc>
          <w:tcPr>
            <w:tcW w:w="660" w:type="dxa"/>
            <w:vAlign w:val="bottom"/>
          </w:tcPr>
          <w:p>
            <w:pPr>
              <w:jc w:val="right"/>
              <w:ind w:right="17"/>
              <w:spacing w:after="0" w:line="148" w:lineRule="exact"/>
              <w:rPr>
                <w:sz w:val="20"/>
                <w:szCs w:val="20"/>
                <w:color w:val="auto"/>
              </w:rPr>
            </w:pPr>
            <w:r>
              <w:rPr>
                <w:rFonts w:ascii="Arial" w:cs="Arial" w:eastAsia="Arial" w:hAnsi="Arial"/>
                <w:sz w:val="14"/>
                <w:szCs w:val="14"/>
                <w:b w:val="1"/>
                <w:bCs w:val="1"/>
                <w:color w:val="auto"/>
              </w:rPr>
              <w:t>Number</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86"/>
              </w:rPr>
              <w:t>Date Value</w:t>
            </w:r>
          </w:p>
        </w:tc>
        <w:tc>
          <w:tcPr>
            <w:tcW w:w="980" w:type="dxa"/>
            <w:vAlign w:val="bottom"/>
            <w:gridSpan w:val="2"/>
          </w:tcPr>
          <w:p>
            <w:pPr>
              <w:ind w:left="100"/>
              <w:spacing w:after="0" w:line="148" w:lineRule="exact"/>
              <w:rPr>
                <w:sz w:val="20"/>
                <w:szCs w:val="20"/>
                <w:color w:val="auto"/>
              </w:rPr>
            </w:pPr>
            <w:r>
              <w:rPr>
                <w:rFonts w:ascii="Arial" w:cs="Arial" w:eastAsia="Arial" w:hAnsi="Arial"/>
                <w:sz w:val="14"/>
                <w:szCs w:val="14"/>
                <w:b w:val="1"/>
                <w:bCs w:val="1"/>
                <w:color w:val="auto"/>
              </w:rPr>
              <w:t>Number</w:t>
            </w:r>
          </w:p>
        </w:tc>
        <w:tc>
          <w:tcPr>
            <w:tcW w:w="100" w:type="dxa"/>
            <w:vAlign w:val="bottom"/>
          </w:tcPr>
          <w:p>
            <w:pPr>
              <w:spacing w:after="0"/>
              <w:rPr>
                <w:sz w:val="14"/>
                <w:szCs w:val="14"/>
                <w:color w:val="auto"/>
              </w:rPr>
            </w:pPr>
          </w:p>
        </w:tc>
        <w:tc>
          <w:tcPr>
            <w:tcW w:w="1060" w:type="dxa"/>
            <w:vAlign w:val="bottom"/>
            <w:gridSpan w:val="2"/>
          </w:tcPr>
          <w:p>
            <w:pPr>
              <w:jc w:val="right"/>
              <w:ind w:right="420"/>
              <w:spacing w:after="0" w:line="148" w:lineRule="exact"/>
              <w:rPr>
                <w:sz w:val="20"/>
                <w:szCs w:val="20"/>
                <w:color w:val="auto"/>
              </w:rPr>
            </w:pPr>
            <w:r>
              <w:rPr>
                <w:rFonts w:ascii="Arial" w:cs="Arial" w:eastAsia="Arial" w:hAnsi="Arial"/>
                <w:sz w:val="14"/>
                <w:szCs w:val="14"/>
                <w:b w:val="1"/>
                <w:bCs w:val="1"/>
                <w:color w:val="auto"/>
                <w:w w:val="86"/>
              </w:rPr>
              <w:t>Date Value</w:t>
            </w:r>
          </w:p>
        </w:tc>
        <w:tc>
          <w:tcPr>
            <w:tcW w:w="100" w:type="dxa"/>
            <w:vAlign w:val="bottom"/>
          </w:tcPr>
          <w:p>
            <w:pPr>
              <w:spacing w:after="0"/>
              <w:rPr>
                <w:sz w:val="14"/>
                <w:szCs w:val="14"/>
                <w:color w:val="auto"/>
              </w:rPr>
            </w:pPr>
          </w:p>
        </w:tc>
        <w:tc>
          <w:tcPr>
            <w:tcW w:w="900" w:type="dxa"/>
            <w:vAlign w:val="bottom"/>
            <w:gridSpan w:val="2"/>
          </w:tcPr>
          <w:p>
            <w:pPr>
              <w:ind w:left="20"/>
              <w:spacing w:after="0" w:line="148" w:lineRule="exact"/>
              <w:rPr>
                <w:sz w:val="20"/>
                <w:szCs w:val="20"/>
                <w:color w:val="auto"/>
              </w:rPr>
            </w:pPr>
            <w:r>
              <w:rPr>
                <w:rFonts w:ascii="Arial" w:cs="Arial" w:eastAsia="Arial" w:hAnsi="Arial"/>
                <w:sz w:val="14"/>
                <w:szCs w:val="14"/>
                <w:b w:val="1"/>
                <w:bCs w:val="1"/>
                <w:color w:val="auto"/>
              </w:rPr>
              <w:t>Total Value</w:t>
            </w:r>
          </w:p>
        </w:tc>
        <w:tc>
          <w:tcPr>
            <w:tcW w:w="0" w:type="dxa"/>
            <w:vAlign w:val="bottom"/>
          </w:tcPr>
          <w:p>
            <w:pPr>
              <w:spacing w:after="0"/>
              <w:rPr>
                <w:sz w:val="1"/>
                <w:szCs w:val="1"/>
                <w:color w:val="auto"/>
              </w:rPr>
            </w:pPr>
          </w:p>
        </w:tc>
      </w:tr>
      <w:tr>
        <w:trPr>
          <w:trHeight w:val="203"/>
        </w:trPr>
        <w:tc>
          <w:tcPr>
            <w:tcW w:w="61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Ms. Dai</w:t>
            </w:r>
            <w:r>
              <w:rPr>
                <w:rFonts w:ascii="Arial" w:cs="Arial" w:eastAsia="Arial" w:hAnsi="Arial"/>
                <w:sz w:val="11"/>
                <w:szCs w:val="11"/>
                <w:color w:val="auto"/>
              </w:rPr>
              <w:t>1</w:t>
            </w:r>
          </w:p>
        </w:tc>
        <w:tc>
          <w:tcPr>
            <w:tcW w:w="6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8"/>
              </w:rPr>
              <w:t>160,000</w:t>
            </w:r>
          </w:p>
        </w:tc>
        <w:tc>
          <w:tcPr>
            <w:tcW w:w="3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1,683,200</w:t>
            </w:r>
          </w:p>
        </w:tc>
        <w:tc>
          <w:tcPr>
            <w:tcW w:w="32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ind w:left="100"/>
              <w:spacing w:after="0" w:line="203" w:lineRule="exact"/>
              <w:rPr>
                <w:sz w:val="20"/>
                <w:szCs w:val="20"/>
                <w:color w:val="auto"/>
              </w:rPr>
            </w:pPr>
            <w:r>
              <w:rPr>
                <w:rFonts w:ascii="Arial" w:cs="Arial" w:eastAsia="Arial" w:hAnsi="Arial"/>
                <w:sz w:val="18"/>
                <w:szCs w:val="18"/>
                <w:color w:val="auto"/>
                <w:w w:val="82"/>
              </w:rPr>
              <w:t>450,000</w:t>
            </w: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1,533,735</w:t>
            </w: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3,216,935</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160" w:type="dxa"/>
            <w:vAlign w:val="bottom"/>
            <w:gridSpan w:val="2"/>
          </w:tcPr>
          <w:p>
            <w:pPr>
              <w:spacing w:after="0"/>
              <w:rPr>
                <w:sz w:val="20"/>
                <w:szCs w:val="20"/>
                <w:color w:val="auto"/>
              </w:rPr>
            </w:pPr>
            <w:r>
              <w:rPr>
                <w:rFonts w:ascii="Arial" w:cs="Arial" w:eastAsia="Arial" w:hAnsi="Arial"/>
                <w:sz w:val="18"/>
                <w:szCs w:val="18"/>
                <w:color w:val="auto"/>
              </w:rPr>
              <w:t>Mr. Rashkin</w:t>
            </w:r>
          </w:p>
        </w:tc>
        <w:tc>
          <w:tcPr>
            <w:tcW w:w="660" w:type="dxa"/>
            <w:vAlign w:val="bottom"/>
          </w:tcPr>
          <w:p>
            <w:pPr>
              <w:jc w:val="right"/>
              <w:spacing w:after="0"/>
              <w:rPr>
                <w:sz w:val="20"/>
                <w:szCs w:val="20"/>
                <w:color w:val="auto"/>
              </w:rPr>
            </w:pPr>
            <w:r>
              <w:rPr>
                <w:rFonts w:ascii="Arial" w:cs="Arial" w:eastAsia="Arial" w:hAnsi="Arial"/>
                <w:sz w:val="18"/>
                <w:szCs w:val="18"/>
                <w:color w:val="auto"/>
              </w:rPr>
              <w:t>0</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w:t>
            </w:r>
          </w:p>
        </w:tc>
        <w:tc>
          <w:tcPr>
            <w:tcW w:w="32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300"/>
              <w:spacing w:after="0"/>
              <w:rPr>
                <w:sz w:val="20"/>
                <w:szCs w:val="20"/>
                <w:color w:val="auto"/>
              </w:rPr>
            </w:pPr>
            <w:r>
              <w:rPr>
                <w:rFonts w:ascii="Arial" w:cs="Arial" w:eastAsia="Arial" w:hAnsi="Arial"/>
                <w:sz w:val="18"/>
                <w:szCs w:val="18"/>
                <w:color w:val="auto"/>
              </w:rPr>
              <w:t>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6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Wu</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16,000</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168,320</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8"/>
              </w:rPr>
              <w:t>120,000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408,996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577,316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00" w:hanging="452"/>
        <w:spacing w:after="0" w:line="268" w:lineRule="auto"/>
        <w:tabs>
          <w:tab w:leader="none" w:pos="4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RSU grants to Ms. Dai consisted of 60,000 service based RSUs and up to 100,000 performance based RSUs. Based on fiscal 2014 performance, 3,330 of the performance based RSUs were earned.</w:t>
      </w:r>
    </w:p>
    <w:p>
      <w:pPr>
        <w:spacing w:after="0" w:line="132"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Ms. Dai, Mr. Rashkin, and Dr. Wu did not receive any long-term incentive awards during fiscal 2014 in relation to their appointment as executive officers. The ECC is considering their current roles in determining appropriate long-term incentive awards for fiscal 2015. For more information, please see “Key Fiscal 2015 Compensation Program Decisions” below.</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Assumptions used in valuing the stock option grants included:</w:t>
      </w:r>
    </w:p>
    <w:p>
      <w:pPr>
        <w:spacing w:after="0" w:line="207" w:lineRule="exact"/>
        <w:rPr>
          <w:sz w:val="20"/>
          <w:szCs w:val="20"/>
          <w:color w:val="auto"/>
        </w:rPr>
      </w:pPr>
    </w:p>
    <w:tbl>
      <w:tblPr>
        <w:tblLayout w:type="fixed"/>
        <w:tblInd w:w="1840" w:type="dxa"/>
        <w:tblCellMar>
          <w:top w:w="0" w:type="dxa"/>
          <w:left w:w="0" w:type="dxa"/>
          <w:bottom w:w="0" w:type="dxa"/>
          <w:right w:w="0" w:type="dxa"/>
        </w:tblCellMar>
      </w:tblPr>
      <w:tr>
        <w:trPr>
          <w:trHeight w:val="181"/>
        </w:trPr>
        <w:tc>
          <w:tcPr>
            <w:tcW w:w="7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7"/>
              </w:rPr>
              <w:t>Methodology</w:t>
            </w:r>
          </w:p>
        </w:tc>
        <w:tc>
          <w:tcPr>
            <w:tcW w:w="3540" w:type="dxa"/>
            <w:vAlign w:val="bottom"/>
          </w:tcPr>
          <w:p>
            <w:pPr>
              <w:spacing w:after="0"/>
              <w:rPr>
                <w:sz w:val="15"/>
                <w:szCs w:val="15"/>
                <w:color w:val="auto"/>
              </w:rPr>
            </w:pPr>
          </w:p>
        </w:tc>
        <w:tc>
          <w:tcPr>
            <w:tcW w:w="2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89"/>
              </w:rPr>
              <w:t>Black-Scholes</w:t>
            </w:r>
          </w:p>
        </w:tc>
      </w:tr>
      <w:tr>
        <w:trPr>
          <w:trHeight w:val="203"/>
        </w:trPr>
        <w:tc>
          <w:tcPr>
            <w:tcW w:w="43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Grant Date</w:t>
            </w:r>
          </w:p>
        </w:tc>
        <w:tc>
          <w:tcPr>
            <w:tcW w:w="21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0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1"/>
              </w:rPr>
              <w:t>April 30, 2013</w:t>
            </w: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4320" w:type="dxa"/>
            <w:vAlign w:val="bottom"/>
            <w:gridSpan w:val="2"/>
          </w:tcPr>
          <w:p>
            <w:pPr>
              <w:spacing w:after="0"/>
              <w:rPr>
                <w:sz w:val="20"/>
                <w:szCs w:val="20"/>
                <w:color w:val="auto"/>
              </w:rPr>
            </w:pPr>
            <w:r>
              <w:rPr>
                <w:rFonts w:ascii="Arial" w:cs="Arial" w:eastAsia="Arial" w:hAnsi="Arial"/>
                <w:sz w:val="18"/>
                <w:szCs w:val="18"/>
                <w:color w:val="auto"/>
              </w:rPr>
              <w:t>Exercise Price/FMV</w:t>
            </w:r>
          </w:p>
        </w:tc>
        <w:tc>
          <w:tcPr>
            <w:tcW w:w="2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10.76</w:t>
            </w:r>
          </w:p>
        </w:tc>
        <w:tc>
          <w:tcPr>
            <w:tcW w:w="200" w:type="dxa"/>
            <w:vAlign w:val="bottom"/>
          </w:tcPr>
          <w:p>
            <w:pPr>
              <w:spacing w:after="0"/>
              <w:rPr>
                <w:sz w:val="18"/>
                <w:szCs w:val="18"/>
                <w:color w:val="auto"/>
              </w:rPr>
            </w:pPr>
          </w:p>
        </w:tc>
      </w:tr>
      <w:tr>
        <w:trPr>
          <w:trHeight w:val="216"/>
        </w:trPr>
        <w:tc>
          <w:tcPr>
            <w:tcW w:w="4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Volatility</w:t>
            </w:r>
          </w:p>
        </w:tc>
        <w:tc>
          <w:tcPr>
            <w:tcW w:w="2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44.63%</w:t>
            </w:r>
          </w:p>
        </w:tc>
      </w:tr>
      <w:tr>
        <w:trPr>
          <w:trHeight w:val="216"/>
        </w:trPr>
        <w:tc>
          <w:tcPr>
            <w:tcW w:w="4320" w:type="dxa"/>
            <w:vAlign w:val="bottom"/>
            <w:gridSpan w:val="2"/>
          </w:tcPr>
          <w:p>
            <w:pPr>
              <w:spacing w:after="0"/>
              <w:rPr>
                <w:sz w:val="20"/>
                <w:szCs w:val="20"/>
                <w:color w:val="auto"/>
              </w:rPr>
            </w:pPr>
            <w:r>
              <w:rPr>
                <w:rFonts w:ascii="Arial" w:cs="Arial" w:eastAsia="Arial" w:hAnsi="Arial"/>
                <w:sz w:val="18"/>
                <w:szCs w:val="18"/>
                <w:color w:val="auto"/>
              </w:rPr>
              <w:t>Expected Term</w:t>
            </w:r>
          </w:p>
        </w:tc>
        <w:tc>
          <w:tcPr>
            <w:tcW w:w="2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4.96 years</w:t>
            </w:r>
          </w:p>
        </w:tc>
      </w:tr>
      <w:tr>
        <w:trPr>
          <w:trHeight w:val="216"/>
        </w:trPr>
        <w:tc>
          <w:tcPr>
            <w:tcW w:w="4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2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2.41%</w:t>
            </w:r>
          </w:p>
        </w:tc>
      </w:tr>
      <w:tr>
        <w:trPr>
          <w:trHeight w:val="216"/>
        </w:trPr>
        <w:tc>
          <w:tcPr>
            <w:tcW w:w="4320" w:type="dxa"/>
            <w:vAlign w:val="bottom"/>
            <w:gridSpan w:val="2"/>
          </w:tcPr>
          <w:p>
            <w:pPr>
              <w:spacing w:after="0"/>
              <w:rPr>
                <w:sz w:val="20"/>
                <w:szCs w:val="20"/>
                <w:color w:val="auto"/>
              </w:rPr>
            </w:pPr>
            <w:r>
              <w:rPr>
                <w:rFonts w:ascii="Arial" w:cs="Arial" w:eastAsia="Arial" w:hAnsi="Arial"/>
                <w:sz w:val="18"/>
                <w:szCs w:val="18"/>
                <w:color w:val="auto"/>
              </w:rPr>
              <w:t>Valuation</w:t>
            </w:r>
          </w:p>
        </w:tc>
        <w:tc>
          <w:tcPr>
            <w:tcW w:w="2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3.41</w:t>
            </w:r>
          </w:p>
        </w:tc>
        <w:tc>
          <w:tcPr>
            <w:tcW w:w="200" w:type="dxa"/>
            <w:vAlign w:val="bottom"/>
          </w:tcPr>
          <w:p>
            <w:pPr>
              <w:spacing w:after="0"/>
              <w:rPr>
                <w:sz w:val="18"/>
                <w:szCs w:val="18"/>
                <w:color w:val="auto"/>
              </w:rPr>
            </w:pPr>
          </w:p>
        </w:tc>
      </w:tr>
      <w:tr>
        <w:trPr>
          <w:trHeight w:val="216"/>
        </w:trPr>
        <w:tc>
          <w:tcPr>
            <w:tcW w:w="4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Valuation of 1,500,000 Options</w:t>
            </w:r>
          </w:p>
        </w:tc>
        <w:tc>
          <w:tcPr>
            <w:tcW w:w="2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5,112,450</w:t>
            </w:r>
          </w:p>
        </w:tc>
        <w:tc>
          <w:tcPr>
            <w:tcW w:w="200" w:type="dxa"/>
            <w:vAlign w:val="bottom"/>
            <w:shd w:val="clear" w:color="auto" w:fill="CCEEFF"/>
          </w:tcPr>
          <w:p>
            <w:pPr>
              <w:spacing w:after="0"/>
              <w:rPr>
                <w:sz w:val="18"/>
                <w:szCs w:val="18"/>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Total Compensation Value and Competitive Positioning</w:t>
      </w:r>
    </w:p>
    <w:p>
      <w:pPr>
        <w:spacing w:after="0" w:line="9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The ECC positioned the fiscal 2014 named executive officer compensation packages to be consistent with the compensation philosophy and compensation principles discussed above. The table below presents the resulting positioning of fiscal 2014 compensation for our named executive officers:</w:t>
      </w:r>
    </w:p>
    <w:p>
      <w:pPr>
        <w:spacing w:after="0" w:line="4" w:lineRule="exact"/>
        <w:rPr>
          <w:sz w:val="20"/>
          <w:szCs w:val="20"/>
          <w:color w:val="auto"/>
        </w:rPr>
      </w:pPr>
    </w:p>
    <w:p>
      <w:pPr>
        <w:ind w:left="680" w:hanging="216"/>
        <w:spacing w:after="0"/>
        <w:tabs>
          <w:tab w:leader="none" w:pos="6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As a percentage of the median (50</w:t>
      </w:r>
      <w:r>
        <w:rPr>
          <w:rFonts w:ascii="Arial" w:cs="Arial" w:eastAsia="Arial" w:hAnsi="Arial"/>
          <w:sz w:val="11"/>
          <w:szCs w:val="11"/>
          <w:color w:val="auto"/>
        </w:rPr>
        <w:t>th</w:t>
      </w:r>
      <w:r>
        <w:rPr>
          <w:rFonts w:ascii="Arial" w:cs="Arial" w:eastAsia="Arial" w:hAnsi="Arial"/>
          <w:sz w:val="18"/>
          <w:szCs w:val="18"/>
          <w:color w:val="auto"/>
        </w:rPr>
        <w:t xml:space="preserve"> percentile) of competitive compensation data collected for the 2014 peer group companies; and</w:t>
      </w:r>
    </w:p>
    <w:p>
      <w:pPr>
        <w:spacing w:after="0" w:line="90" w:lineRule="exact"/>
        <w:rPr>
          <w:rFonts w:ascii="Arial" w:cs="Arial" w:eastAsia="Arial" w:hAnsi="Arial"/>
          <w:sz w:val="18"/>
          <w:szCs w:val="18"/>
          <w:color w:val="auto"/>
        </w:rPr>
      </w:pPr>
    </w:p>
    <w:p>
      <w:pPr>
        <w:ind w:left="720" w:hanging="256"/>
        <w:spacing w:after="0"/>
        <w:tabs>
          <w:tab w:leader="none" w:pos="7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As a percentile rank relative to competitive compensation data collected for the 2014 peer group companies.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value attributed to the equity awards is equal to the grant date accounting value of the awards. The named executive officer competitive compensation positioning is relative to publicly disclosed compensation information for the 2014 peer group companies as available at the time that the ECC approved our fiscal 2014 compensation programs, and therefore reflects historical not current year compensation. For purposes of the table below, “AIP” means Annual Incentive Plan, “LTI” means Long-Term Incentive.</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040" w:type="dxa"/>
            <w:vAlign w:val="bottom"/>
            <w:gridSpan w:val="6"/>
          </w:tcPr>
          <w:p>
            <w:pPr>
              <w:jc w:val="center"/>
              <w:ind w:right="560"/>
              <w:spacing w:after="0"/>
              <w:rPr>
                <w:sz w:val="20"/>
                <w:szCs w:val="20"/>
                <w:color w:val="auto"/>
              </w:rPr>
            </w:pPr>
            <w:r>
              <w:rPr>
                <w:rFonts w:ascii="Arial" w:cs="Arial" w:eastAsia="Arial" w:hAnsi="Arial"/>
                <w:sz w:val="14"/>
                <w:szCs w:val="14"/>
                <w:b w:val="1"/>
                <w:bCs w:val="1"/>
                <w:color w:val="auto"/>
                <w:w w:val="88"/>
              </w:rPr>
              <w:t>As a % of Median of 2014</w:t>
            </w:r>
          </w:p>
        </w:tc>
        <w:tc>
          <w:tcPr>
            <w:tcW w:w="620" w:type="dxa"/>
            <w:vAlign w:val="bottom"/>
          </w:tcPr>
          <w:p>
            <w:pPr>
              <w:spacing w:after="0"/>
              <w:rPr>
                <w:sz w:val="14"/>
                <w:szCs w:val="14"/>
                <w:color w:val="auto"/>
              </w:rPr>
            </w:pPr>
          </w:p>
        </w:tc>
        <w:tc>
          <w:tcPr>
            <w:tcW w:w="178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7"/>
              </w:rPr>
              <w:t>Percentile Rank Relative to</w:t>
            </w:r>
          </w:p>
        </w:tc>
        <w:tc>
          <w:tcPr>
            <w:tcW w:w="5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78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192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88"/>
              </w:rPr>
              <w:t>Performance</w:t>
            </w:r>
          </w:p>
        </w:tc>
        <w:tc>
          <w:tcPr>
            <w:tcW w:w="520" w:type="dxa"/>
            <w:vAlign w:val="bottom"/>
            <w:tcBorders>
              <w:bottom w:val="single" w:sz="8" w:color="auto"/>
            </w:tcBorders>
          </w:tcPr>
          <w:p>
            <w:pPr>
              <w:spacing w:after="0"/>
              <w:rPr>
                <w:sz w:val="14"/>
                <w:szCs w:val="14"/>
                <w:color w:val="auto"/>
              </w:rPr>
            </w:pPr>
          </w:p>
        </w:tc>
        <w:tc>
          <w:tcPr>
            <w:tcW w:w="144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7"/>
              </w:rPr>
              <w:t>Peer Group Companies</w:t>
            </w:r>
          </w:p>
        </w:tc>
        <w:tc>
          <w:tcPr>
            <w:tcW w:w="520" w:type="dxa"/>
            <w:vAlign w:val="bottom"/>
            <w:tcBorders>
              <w:bottom w:val="single" w:sz="8" w:color="auto"/>
            </w:tcBorders>
          </w:tcPr>
          <w:p>
            <w:pPr>
              <w:spacing w:after="0"/>
              <w:rPr>
                <w:sz w:val="14"/>
                <w:szCs w:val="14"/>
                <w:color w:val="auto"/>
              </w:rPr>
            </w:pPr>
          </w:p>
        </w:tc>
        <w:tc>
          <w:tcPr>
            <w:tcW w:w="56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780" w:type="dxa"/>
            <w:vAlign w:val="bottom"/>
            <w:tcBorders>
              <w:bottom w:val="single" w:sz="8" w:color="auto"/>
            </w:tcBorders>
            <w:gridSpan w:val="3"/>
          </w:tcPr>
          <w:p>
            <w:pPr>
              <w:jc w:val="center"/>
              <w:ind w:right="120"/>
              <w:spacing w:after="0"/>
              <w:rPr>
                <w:sz w:val="20"/>
                <w:szCs w:val="20"/>
                <w:color w:val="auto"/>
              </w:rPr>
            </w:pPr>
            <w:r>
              <w:rPr>
                <w:rFonts w:ascii="Arial" w:cs="Arial" w:eastAsia="Arial" w:hAnsi="Arial"/>
                <w:sz w:val="14"/>
                <w:szCs w:val="14"/>
                <w:b w:val="1"/>
                <w:bCs w:val="1"/>
                <w:color w:val="auto"/>
                <w:w w:val="87"/>
              </w:rPr>
              <w:t>2014 Peer Group Companies</w:t>
            </w:r>
          </w:p>
        </w:tc>
        <w:tc>
          <w:tcPr>
            <w:tcW w:w="520" w:type="dxa"/>
            <w:vAlign w:val="bottom"/>
            <w:tcBorders>
              <w:bottom w:val="single" w:sz="8" w:color="auto"/>
            </w:tcBorders>
          </w:tcPr>
          <w:p>
            <w:pPr>
              <w:spacing w:after="0"/>
              <w:rPr>
                <w:sz w:val="14"/>
                <w:szCs w:val="14"/>
                <w:color w:val="auto"/>
              </w:rPr>
            </w:pPr>
          </w:p>
        </w:tc>
        <w:tc>
          <w:tcPr>
            <w:tcW w:w="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80" w:type="dxa"/>
            <w:vAlign w:val="bottom"/>
            <w:vMerge w:val="restart"/>
          </w:tcPr>
          <w:p>
            <w:pPr>
              <w:spacing w:after="0"/>
              <w:rPr>
                <w:sz w:val="20"/>
                <w:szCs w:val="20"/>
                <w:color w:val="auto"/>
              </w:rPr>
            </w:pPr>
            <w:r>
              <w:rPr>
                <w:rFonts w:ascii="Arial" w:cs="Arial" w:eastAsia="Arial" w:hAnsi="Arial"/>
                <w:sz w:val="14"/>
                <w:szCs w:val="14"/>
                <w:b w:val="1"/>
                <w:bCs w:val="1"/>
                <w:color w:val="auto"/>
                <w:w w:val="91"/>
              </w:rPr>
              <w:t>Pay Element</w:t>
            </w:r>
          </w:p>
        </w:tc>
        <w:tc>
          <w:tcPr>
            <w:tcW w:w="2380" w:type="dxa"/>
            <w:vAlign w:val="bottom"/>
            <w:vMerge w:val="restart"/>
          </w:tcPr>
          <w:p>
            <w:pPr>
              <w:spacing w:after="0"/>
              <w:rPr>
                <w:sz w:val="11"/>
                <w:szCs w:val="11"/>
                <w:color w:val="auto"/>
              </w:rPr>
            </w:pPr>
          </w:p>
        </w:tc>
        <w:tc>
          <w:tcPr>
            <w:tcW w:w="1920" w:type="dxa"/>
            <w:vAlign w:val="bottom"/>
            <w:gridSpan w:val="2"/>
            <w:vMerge w:val="continue"/>
          </w:tcPr>
          <w:p>
            <w:pPr>
              <w:spacing w:after="0"/>
              <w:rPr>
                <w:sz w:val="11"/>
                <w:szCs w:val="11"/>
                <w:color w:val="auto"/>
              </w:rPr>
            </w:pPr>
          </w:p>
        </w:tc>
        <w:tc>
          <w:tcPr>
            <w:tcW w:w="1080" w:type="dxa"/>
            <w:vAlign w:val="bottom"/>
            <w:gridSpan w:val="2"/>
          </w:tcPr>
          <w:p>
            <w:pPr>
              <w:jc w:val="right"/>
              <w:ind w:right="592"/>
              <w:spacing w:after="0" w:line="129" w:lineRule="exact"/>
              <w:rPr>
                <w:sz w:val="20"/>
                <w:szCs w:val="20"/>
                <w:color w:val="auto"/>
              </w:rPr>
            </w:pPr>
            <w:r>
              <w:rPr>
                <w:rFonts w:ascii="Arial" w:cs="Arial" w:eastAsia="Arial" w:hAnsi="Arial"/>
                <w:sz w:val="14"/>
                <w:szCs w:val="14"/>
                <w:b w:val="1"/>
                <w:bCs w:val="1"/>
                <w:color w:val="auto"/>
              </w:rPr>
              <w:t>Dr. S.</w:t>
            </w:r>
          </w:p>
        </w:tc>
        <w:tc>
          <w:tcPr>
            <w:tcW w:w="880" w:type="dxa"/>
            <w:vAlign w:val="bottom"/>
            <w:gridSpan w:val="2"/>
          </w:tcPr>
          <w:p>
            <w:pPr>
              <w:jc w:val="center"/>
              <w:ind w:right="560"/>
              <w:spacing w:after="0" w:line="129" w:lineRule="exact"/>
              <w:rPr>
                <w:sz w:val="20"/>
                <w:szCs w:val="20"/>
                <w:color w:val="auto"/>
              </w:rPr>
            </w:pPr>
            <w:r>
              <w:rPr>
                <w:rFonts w:ascii="Arial" w:cs="Arial" w:eastAsia="Arial" w:hAnsi="Arial"/>
                <w:sz w:val="14"/>
                <w:szCs w:val="14"/>
                <w:b w:val="1"/>
                <w:bCs w:val="1"/>
                <w:color w:val="auto"/>
                <w:w w:val="95"/>
              </w:rPr>
              <w:t>Mr.</w:t>
            </w:r>
          </w:p>
        </w:tc>
        <w:tc>
          <w:tcPr>
            <w:tcW w:w="520" w:type="dxa"/>
            <w:vAlign w:val="bottom"/>
          </w:tcPr>
          <w:p>
            <w:pPr>
              <w:jc w:val="right"/>
              <w:ind w:right="18"/>
              <w:spacing w:after="0" w:line="129" w:lineRule="exact"/>
              <w:rPr>
                <w:sz w:val="20"/>
                <w:szCs w:val="20"/>
                <w:color w:val="auto"/>
              </w:rPr>
            </w:pPr>
            <w:r>
              <w:rPr>
                <w:rFonts w:ascii="Arial" w:cs="Arial" w:eastAsia="Arial" w:hAnsi="Arial"/>
                <w:sz w:val="14"/>
                <w:szCs w:val="14"/>
                <w:b w:val="1"/>
                <w:bCs w:val="1"/>
                <w:color w:val="auto"/>
              </w:rPr>
              <w:t>Dr. P.</w:t>
            </w:r>
          </w:p>
        </w:tc>
        <w:tc>
          <w:tcPr>
            <w:tcW w:w="560" w:type="dxa"/>
            <w:vAlign w:val="bottom"/>
          </w:tcPr>
          <w:p>
            <w:pPr>
              <w:spacing w:after="0"/>
              <w:rPr>
                <w:sz w:val="11"/>
                <w:szCs w:val="11"/>
                <w:color w:val="auto"/>
              </w:rPr>
            </w:pPr>
          </w:p>
        </w:tc>
        <w:tc>
          <w:tcPr>
            <w:tcW w:w="1340" w:type="dxa"/>
            <w:vAlign w:val="bottom"/>
            <w:gridSpan w:val="2"/>
          </w:tcPr>
          <w:p>
            <w:pPr>
              <w:jc w:val="right"/>
              <w:ind w:right="872"/>
              <w:spacing w:after="0" w:line="129" w:lineRule="exact"/>
              <w:rPr>
                <w:sz w:val="20"/>
                <w:szCs w:val="20"/>
                <w:color w:val="auto"/>
              </w:rPr>
            </w:pPr>
            <w:r>
              <w:rPr>
                <w:rFonts w:ascii="Arial" w:cs="Arial" w:eastAsia="Arial" w:hAnsi="Arial"/>
                <w:sz w:val="14"/>
                <w:szCs w:val="14"/>
                <w:b w:val="1"/>
                <w:bCs w:val="1"/>
                <w:color w:val="auto"/>
              </w:rPr>
              <w:t>Dr.</w:t>
            </w:r>
          </w:p>
        </w:tc>
        <w:tc>
          <w:tcPr>
            <w:tcW w:w="1060" w:type="dxa"/>
            <w:vAlign w:val="bottom"/>
            <w:gridSpan w:val="2"/>
          </w:tcPr>
          <w:p>
            <w:pPr>
              <w:ind w:left="60"/>
              <w:spacing w:after="0" w:line="129" w:lineRule="exact"/>
              <w:rPr>
                <w:sz w:val="20"/>
                <w:szCs w:val="20"/>
                <w:color w:val="auto"/>
              </w:rPr>
            </w:pPr>
            <w:r>
              <w:rPr>
                <w:rFonts w:ascii="Arial" w:cs="Arial" w:eastAsia="Arial" w:hAnsi="Arial"/>
                <w:sz w:val="14"/>
                <w:szCs w:val="14"/>
                <w:b w:val="1"/>
                <w:bCs w:val="1"/>
                <w:color w:val="auto"/>
              </w:rPr>
              <w:t>Mr.</w:t>
            </w:r>
          </w:p>
        </w:tc>
        <w:tc>
          <w:tcPr>
            <w:tcW w:w="520" w:type="dxa"/>
            <w:vAlign w:val="bottom"/>
          </w:tcPr>
          <w:p>
            <w:pPr>
              <w:ind w:left="100"/>
              <w:spacing w:after="0" w:line="129" w:lineRule="exact"/>
              <w:rPr>
                <w:sz w:val="20"/>
                <w:szCs w:val="20"/>
                <w:color w:val="auto"/>
              </w:rPr>
            </w:pPr>
            <w:r>
              <w:rPr>
                <w:rFonts w:ascii="Arial" w:cs="Arial" w:eastAsia="Arial" w:hAnsi="Arial"/>
                <w:sz w:val="14"/>
                <w:szCs w:val="14"/>
                <w:b w:val="1"/>
                <w:bCs w:val="1"/>
                <w:color w:val="auto"/>
              </w:rPr>
              <w:t>Dr. P.</w:t>
            </w:r>
          </w:p>
        </w:tc>
        <w:tc>
          <w:tcPr>
            <w:tcW w:w="3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780" w:type="dxa"/>
            <w:vAlign w:val="bottom"/>
            <w:tcBorders>
              <w:bottom w:val="single" w:sz="8" w:color="auto"/>
            </w:tcBorders>
            <w:vMerge w:val="continue"/>
          </w:tcPr>
          <w:p>
            <w:pPr>
              <w:spacing w:after="0"/>
              <w:rPr>
                <w:sz w:val="12"/>
                <w:szCs w:val="12"/>
                <w:color w:val="auto"/>
              </w:rPr>
            </w:pPr>
          </w:p>
        </w:tc>
        <w:tc>
          <w:tcPr>
            <w:tcW w:w="2380" w:type="dxa"/>
            <w:vAlign w:val="bottom"/>
            <w:vMerge w:val="continue"/>
          </w:tcPr>
          <w:p>
            <w:pPr>
              <w:spacing w:after="0"/>
              <w:rPr>
                <w:sz w:val="12"/>
                <w:szCs w:val="12"/>
                <w:color w:val="auto"/>
              </w:rPr>
            </w:pPr>
          </w:p>
        </w:tc>
        <w:tc>
          <w:tcPr>
            <w:tcW w:w="1920" w:type="dxa"/>
            <w:vAlign w:val="bottom"/>
            <w:gridSpan w:val="2"/>
          </w:tcPr>
          <w:p>
            <w:pPr>
              <w:jc w:val="center"/>
              <w:ind w:right="340"/>
              <w:spacing w:after="0" w:line="148" w:lineRule="exact"/>
              <w:rPr>
                <w:sz w:val="20"/>
                <w:szCs w:val="20"/>
                <w:color w:val="auto"/>
              </w:rPr>
            </w:pPr>
            <w:r>
              <w:rPr>
                <w:rFonts w:ascii="Arial" w:cs="Arial" w:eastAsia="Arial" w:hAnsi="Arial"/>
                <w:sz w:val="14"/>
                <w:szCs w:val="14"/>
                <w:b w:val="1"/>
                <w:bCs w:val="1"/>
                <w:color w:val="auto"/>
                <w:w w:val="86"/>
              </w:rPr>
              <w:t>Assumption</w:t>
            </w:r>
          </w:p>
        </w:tc>
        <w:tc>
          <w:tcPr>
            <w:tcW w:w="1080" w:type="dxa"/>
            <w:vAlign w:val="bottom"/>
            <w:gridSpan w:val="2"/>
          </w:tcPr>
          <w:p>
            <w:pPr>
              <w:jc w:val="right"/>
              <w:ind w:right="492"/>
              <w:spacing w:after="0" w:line="148" w:lineRule="exact"/>
              <w:rPr>
                <w:sz w:val="20"/>
                <w:szCs w:val="20"/>
                <w:color w:val="auto"/>
              </w:rPr>
            </w:pPr>
            <w:r>
              <w:rPr>
                <w:rFonts w:ascii="Arial" w:cs="Arial" w:eastAsia="Arial" w:hAnsi="Arial"/>
                <w:sz w:val="14"/>
                <w:szCs w:val="14"/>
                <w:b w:val="1"/>
                <w:bCs w:val="1"/>
                <w:color w:val="auto"/>
                <w:w w:val="89"/>
              </w:rPr>
              <w:t>Sutardja</w:t>
            </w:r>
          </w:p>
        </w:tc>
        <w:tc>
          <w:tcPr>
            <w:tcW w:w="880" w:type="dxa"/>
            <w:vAlign w:val="bottom"/>
            <w:gridSpan w:val="2"/>
          </w:tcPr>
          <w:p>
            <w:pPr>
              <w:jc w:val="center"/>
              <w:ind w:right="540"/>
              <w:spacing w:after="0" w:line="148" w:lineRule="exact"/>
              <w:rPr>
                <w:sz w:val="20"/>
                <w:szCs w:val="20"/>
                <w:color w:val="auto"/>
              </w:rPr>
            </w:pPr>
            <w:r>
              <w:rPr>
                <w:rFonts w:ascii="Arial" w:cs="Arial" w:eastAsia="Arial" w:hAnsi="Arial"/>
                <w:sz w:val="14"/>
                <w:szCs w:val="14"/>
                <w:b w:val="1"/>
                <w:bCs w:val="1"/>
                <w:color w:val="auto"/>
                <w:w w:val="90"/>
              </w:rPr>
              <w:t>Feller</w:t>
            </w:r>
          </w:p>
        </w:tc>
        <w:tc>
          <w:tcPr>
            <w:tcW w:w="1080" w:type="dxa"/>
            <w:vAlign w:val="bottom"/>
            <w:gridSpan w:val="2"/>
          </w:tcPr>
          <w:p>
            <w:pPr>
              <w:jc w:val="right"/>
              <w:ind w:right="560"/>
              <w:spacing w:after="0" w:line="148" w:lineRule="exact"/>
              <w:rPr>
                <w:sz w:val="20"/>
                <w:szCs w:val="20"/>
                <w:color w:val="auto"/>
              </w:rPr>
            </w:pPr>
            <w:r>
              <w:rPr>
                <w:rFonts w:ascii="Arial" w:cs="Arial" w:eastAsia="Arial" w:hAnsi="Arial"/>
                <w:sz w:val="14"/>
                <w:szCs w:val="14"/>
                <w:b w:val="1"/>
                <w:bCs w:val="1"/>
                <w:color w:val="auto"/>
                <w:w w:val="89"/>
              </w:rPr>
              <w:t>Sutardja</w:t>
            </w:r>
          </w:p>
        </w:tc>
        <w:tc>
          <w:tcPr>
            <w:tcW w:w="1340" w:type="dxa"/>
            <w:vAlign w:val="bottom"/>
            <w:gridSpan w:val="2"/>
          </w:tcPr>
          <w:p>
            <w:pPr>
              <w:jc w:val="right"/>
              <w:ind w:right="652"/>
              <w:spacing w:after="0" w:line="148" w:lineRule="exact"/>
              <w:rPr>
                <w:sz w:val="20"/>
                <w:szCs w:val="20"/>
                <w:color w:val="auto"/>
              </w:rPr>
            </w:pPr>
            <w:r>
              <w:rPr>
                <w:rFonts w:ascii="Arial" w:cs="Arial" w:eastAsia="Arial" w:hAnsi="Arial"/>
                <w:sz w:val="14"/>
                <w:szCs w:val="14"/>
                <w:b w:val="1"/>
                <w:bCs w:val="1"/>
                <w:color w:val="auto"/>
                <w:w w:val="86"/>
              </w:rPr>
              <w:t>S.Sutardja</w:t>
            </w:r>
          </w:p>
        </w:tc>
        <w:tc>
          <w:tcPr>
            <w:tcW w:w="1060" w:type="dxa"/>
            <w:vAlign w:val="bottom"/>
            <w:gridSpan w:val="2"/>
          </w:tcPr>
          <w:p>
            <w:pPr>
              <w:spacing w:after="0" w:line="148" w:lineRule="exact"/>
              <w:rPr>
                <w:sz w:val="20"/>
                <w:szCs w:val="20"/>
                <w:color w:val="auto"/>
              </w:rPr>
            </w:pPr>
            <w:r>
              <w:rPr>
                <w:rFonts w:ascii="Arial" w:cs="Arial" w:eastAsia="Arial" w:hAnsi="Arial"/>
                <w:sz w:val="14"/>
                <w:szCs w:val="14"/>
                <w:b w:val="1"/>
                <w:bCs w:val="1"/>
                <w:color w:val="auto"/>
              </w:rPr>
              <w:t>Feller</w:t>
            </w:r>
          </w:p>
        </w:tc>
        <w:tc>
          <w:tcPr>
            <w:tcW w:w="900" w:type="dxa"/>
            <w:vAlign w:val="bottom"/>
            <w:gridSpan w:val="2"/>
          </w:tcPr>
          <w:p>
            <w:pPr>
              <w:ind w:left="20"/>
              <w:spacing w:after="0" w:line="148" w:lineRule="exact"/>
              <w:rPr>
                <w:sz w:val="20"/>
                <w:szCs w:val="20"/>
                <w:color w:val="auto"/>
              </w:rPr>
            </w:pPr>
            <w:r>
              <w:rPr>
                <w:rFonts w:ascii="Arial" w:cs="Arial" w:eastAsia="Arial" w:hAnsi="Arial"/>
                <w:sz w:val="14"/>
                <w:szCs w:val="14"/>
                <w:b w:val="1"/>
                <w:bCs w:val="1"/>
                <w:color w:val="auto"/>
              </w:rPr>
              <w:t>Sutardja</w:t>
            </w:r>
          </w:p>
        </w:tc>
        <w:tc>
          <w:tcPr>
            <w:tcW w:w="0" w:type="dxa"/>
            <w:vAlign w:val="bottom"/>
          </w:tcPr>
          <w:p>
            <w:pPr>
              <w:spacing w:after="0"/>
              <w:rPr>
                <w:sz w:val="1"/>
                <w:szCs w:val="1"/>
                <w:color w:val="auto"/>
              </w:rPr>
            </w:pPr>
          </w:p>
        </w:tc>
      </w:tr>
      <w:tr>
        <w:trPr>
          <w:trHeight w:val="20"/>
        </w:trPr>
        <w:tc>
          <w:tcPr>
            <w:tcW w:w="316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Salary</w:t>
            </w:r>
          </w:p>
        </w:tc>
        <w:tc>
          <w:tcPr>
            <w:tcW w:w="1580" w:type="dxa"/>
            <w:vAlign w:val="bottom"/>
            <w:shd w:val="clear" w:color="auto" w:fill="000000"/>
          </w:tcPr>
          <w:p>
            <w:pPr>
              <w:spacing w:after="0" w:line="20" w:lineRule="exact"/>
              <w:rPr>
                <w:sz w:val="1"/>
                <w:szCs w:val="1"/>
                <w:color w:val="auto"/>
              </w:rPr>
            </w:pPr>
          </w:p>
        </w:tc>
        <w:tc>
          <w:tcPr>
            <w:tcW w:w="340" w:type="dxa"/>
            <w:vAlign w:val="bottom"/>
            <w:vMerge w:val="restart"/>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60" w:type="dxa"/>
            <w:vAlign w:val="bottom"/>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54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60" w:type="dxa"/>
            <w:vAlign w:val="bottom"/>
            <w:shd w:val="clear" w:color="auto" w:fill="CCEEFF"/>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720" w:type="dxa"/>
            <w:vAlign w:val="bottom"/>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720" w:type="dxa"/>
            <w:vAlign w:val="bottom"/>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8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160" w:type="dxa"/>
            <w:vAlign w:val="bottom"/>
            <w:gridSpan w:val="2"/>
            <w:vMerge w:val="continue"/>
            <w:shd w:val="clear" w:color="auto" w:fill="CCEEFF"/>
          </w:tcPr>
          <w:p>
            <w:pPr>
              <w:spacing w:after="0"/>
              <w:rPr>
                <w:sz w:val="17"/>
                <w:szCs w:val="17"/>
                <w:color w:val="auto"/>
              </w:rPr>
            </w:pPr>
          </w:p>
        </w:tc>
        <w:tc>
          <w:tcPr>
            <w:tcW w:w="1580" w:type="dxa"/>
            <w:vAlign w:val="bottom"/>
            <w:shd w:val="clear" w:color="auto" w:fill="CCEEFF"/>
          </w:tcPr>
          <w:p>
            <w:pPr>
              <w:ind w:left="660"/>
              <w:spacing w:after="0" w:line="203" w:lineRule="exact"/>
              <w:rPr>
                <w:sz w:val="20"/>
                <w:szCs w:val="20"/>
                <w:color w:val="auto"/>
              </w:rPr>
            </w:pPr>
            <w:r>
              <w:rPr>
                <w:rFonts w:ascii="Arial" w:cs="Arial" w:eastAsia="Arial" w:hAnsi="Arial"/>
                <w:sz w:val="18"/>
                <w:szCs w:val="18"/>
                <w:color w:val="auto"/>
              </w:rPr>
              <w:t>—</w:t>
            </w:r>
          </w:p>
        </w:tc>
        <w:tc>
          <w:tcPr>
            <w:tcW w:w="340" w:type="dxa"/>
            <w:vAlign w:val="bottom"/>
            <w:vMerge w:val="continue"/>
            <w:shd w:val="clear" w:color="auto" w:fill="CCEEFF"/>
          </w:tcPr>
          <w:p>
            <w:pPr>
              <w:spacing w:after="0"/>
              <w:rPr>
                <w:sz w:val="17"/>
                <w:szCs w:val="17"/>
                <w:color w:val="auto"/>
              </w:rPr>
            </w:pPr>
          </w:p>
        </w:tc>
        <w:tc>
          <w:tcPr>
            <w:tcW w:w="1080" w:type="dxa"/>
            <w:vAlign w:val="bottom"/>
            <w:gridSpan w:val="2"/>
            <w:shd w:val="clear" w:color="auto" w:fill="CCEEFF"/>
          </w:tcPr>
          <w:p>
            <w:pPr>
              <w:jc w:val="right"/>
              <w:ind w:right="352"/>
              <w:spacing w:after="0" w:line="203" w:lineRule="exact"/>
              <w:rPr>
                <w:sz w:val="20"/>
                <w:szCs w:val="20"/>
                <w:color w:val="auto"/>
              </w:rPr>
            </w:pPr>
            <w:r>
              <w:rPr>
                <w:rFonts w:ascii="Arial" w:cs="Arial" w:eastAsia="Arial" w:hAnsi="Arial"/>
                <w:sz w:val="18"/>
                <w:szCs w:val="18"/>
                <w:color w:val="auto"/>
              </w:rPr>
              <w:t>93%</w:t>
            </w:r>
          </w:p>
        </w:tc>
        <w:tc>
          <w:tcPr>
            <w:tcW w:w="880" w:type="dxa"/>
            <w:vAlign w:val="bottom"/>
            <w:gridSpan w:val="2"/>
            <w:shd w:val="clear" w:color="auto" w:fill="CCEEFF"/>
          </w:tcPr>
          <w:p>
            <w:pPr>
              <w:jc w:val="right"/>
              <w:ind w:right="400"/>
              <w:spacing w:after="0" w:line="203" w:lineRule="exact"/>
              <w:rPr>
                <w:sz w:val="20"/>
                <w:szCs w:val="20"/>
                <w:color w:val="auto"/>
              </w:rPr>
            </w:pPr>
            <w:r>
              <w:rPr>
                <w:rFonts w:ascii="Arial" w:cs="Arial" w:eastAsia="Arial" w:hAnsi="Arial"/>
                <w:sz w:val="18"/>
                <w:szCs w:val="18"/>
                <w:color w:val="auto"/>
              </w:rPr>
              <w:t>59%</w:t>
            </w:r>
          </w:p>
        </w:tc>
        <w:tc>
          <w:tcPr>
            <w:tcW w:w="1080" w:type="dxa"/>
            <w:vAlign w:val="bottom"/>
            <w:gridSpan w:val="2"/>
            <w:shd w:val="clear" w:color="auto" w:fill="CCEEFF"/>
          </w:tcPr>
          <w:p>
            <w:pPr>
              <w:jc w:val="right"/>
              <w:ind w:right="420"/>
              <w:spacing w:after="0" w:line="203" w:lineRule="exact"/>
              <w:rPr>
                <w:sz w:val="20"/>
                <w:szCs w:val="20"/>
                <w:color w:val="auto"/>
              </w:rPr>
            </w:pPr>
            <w:r>
              <w:rPr>
                <w:rFonts w:ascii="Arial" w:cs="Arial" w:eastAsia="Arial" w:hAnsi="Arial"/>
                <w:sz w:val="18"/>
                <w:szCs w:val="18"/>
                <w:color w:val="auto"/>
              </w:rPr>
              <w:t>97%</w:t>
            </w:r>
          </w:p>
        </w:tc>
        <w:tc>
          <w:tcPr>
            <w:tcW w:w="1340" w:type="dxa"/>
            <w:vAlign w:val="bottom"/>
            <w:gridSpan w:val="2"/>
            <w:shd w:val="clear" w:color="auto" w:fill="CCEEFF"/>
          </w:tcPr>
          <w:p>
            <w:pPr>
              <w:jc w:val="right"/>
              <w:ind w:right="332"/>
              <w:spacing w:after="0" w:line="203" w:lineRule="exact"/>
              <w:rPr>
                <w:sz w:val="20"/>
                <w:szCs w:val="20"/>
                <w:color w:val="auto"/>
              </w:rPr>
            </w:pPr>
            <w:r>
              <w:rPr>
                <w:rFonts w:ascii="Arial" w:cs="Arial" w:eastAsia="Arial" w:hAnsi="Arial"/>
                <w:sz w:val="18"/>
                <w:szCs w:val="18"/>
                <w:color w:val="auto"/>
              </w:rPr>
              <w:t>38%ile</w:t>
            </w:r>
          </w:p>
        </w:tc>
        <w:tc>
          <w:tcPr>
            <w:tcW w:w="1060" w:type="dxa"/>
            <w:vAlign w:val="bottom"/>
            <w:gridSpan w:val="2"/>
            <w:shd w:val="clear" w:color="auto" w:fill="CCEEFF"/>
          </w:tcPr>
          <w:p>
            <w:pPr>
              <w:ind w:left="60"/>
              <w:spacing w:after="0" w:line="203" w:lineRule="exact"/>
              <w:rPr>
                <w:sz w:val="20"/>
                <w:szCs w:val="20"/>
                <w:color w:val="auto"/>
              </w:rPr>
            </w:pPr>
            <w:r>
              <w:rPr>
                <w:rFonts w:ascii="Arial" w:cs="Arial" w:eastAsia="Arial" w:hAnsi="Arial"/>
                <w:sz w:val="18"/>
                <w:szCs w:val="18"/>
                <w:color w:val="auto"/>
              </w:rPr>
              <w:t>&lt;25%ile</w:t>
            </w:r>
          </w:p>
        </w:tc>
        <w:tc>
          <w:tcPr>
            <w:tcW w:w="900" w:type="dxa"/>
            <w:vAlign w:val="bottom"/>
            <w:gridSpan w:val="2"/>
            <w:shd w:val="clear" w:color="auto" w:fill="CCEEFF"/>
          </w:tcPr>
          <w:p>
            <w:pPr>
              <w:ind w:left="240"/>
              <w:spacing w:after="0" w:line="203" w:lineRule="exact"/>
              <w:rPr>
                <w:sz w:val="20"/>
                <w:szCs w:val="20"/>
                <w:color w:val="auto"/>
              </w:rPr>
            </w:pPr>
            <w:r>
              <w:rPr>
                <w:rFonts w:ascii="Arial" w:cs="Arial" w:eastAsia="Arial" w:hAnsi="Arial"/>
                <w:sz w:val="18"/>
                <w:szCs w:val="18"/>
                <w:color w:val="auto"/>
                <w:w w:val="99"/>
              </w:rPr>
              <w:t>&lt;25%ile</w:t>
            </w:r>
          </w:p>
        </w:tc>
        <w:tc>
          <w:tcPr>
            <w:tcW w:w="0" w:type="dxa"/>
            <w:vAlign w:val="bottom"/>
          </w:tcPr>
          <w:p>
            <w:pPr>
              <w:spacing w:after="0"/>
              <w:rPr>
                <w:sz w:val="1"/>
                <w:szCs w:val="1"/>
                <w:color w:val="auto"/>
              </w:rPr>
            </w:pPr>
          </w:p>
        </w:tc>
      </w:tr>
      <w:tr>
        <w:trPr>
          <w:trHeight w:val="208"/>
        </w:trPr>
        <w:tc>
          <w:tcPr>
            <w:tcW w:w="3160" w:type="dxa"/>
            <w:vAlign w:val="bottom"/>
            <w:gridSpan w:val="2"/>
          </w:tcPr>
          <w:p>
            <w:pPr>
              <w:spacing w:after="0"/>
              <w:rPr>
                <w:sz w:val="20"/>
                <w:szCs w:val="20"/>
                <w:color w:val="auto"/>
              </w:rPr>
            </w:pPr>
            <w:r>
              <w:rPr>
                <w:rFonts w:ascii="Arial" w:cs="Arial" w:eastAsia="Arial" w:hAnsi="Arial"/>
                <w:sz w:val="18"/>
                <w:szCs w:val="18"/>
                <w:color w:val="auto"/>
              </w:rPr>
              <w:t>Total Cash Compensation</w:t>
            </w:r>
          </w:p>
        </w:tc>
        <w:tc>
          <w:tcPr>
            <w:tcW w:w="1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160" w:type="dxa"/>
            <w:vAlign w:val="bottom"/>
            <w:gridSpan w:val="2"/>
          </w:tcPr>
          <w:p>
            <w:pPr>
              <w:ind w:left="220"/>
              <w:spacing w:after="0"/>
              <w:rPr>
                <w:sz w:val="20"/>
                <w:szCs w:val="20"/>
                <w:color w:val="auto"/>
              </w:rPr>
            </w:pPr>
            <w:r>
              <w:rPr>
                <w:rFonts w:ascii="Arial" w:cs="Arial" w:eastAsia="Arial" w:hAnsi="Arial"/>
                <w:sz w:val="18"/>
                <w:szCs w:val="18"/>
                <w:color w:val="auto"/>
              </w:rPr>
              <w:t>(Salary + AIP)</w:t>
            </w:r>
          </w:p>
        </w:tc>
        <w:tc>
          <w:tcPr>
            <w:tcW w:w="1920" w:type="dxa"/>
            <w:vAlign w:val="bottom"/>
            <w:gridSpan w:val="2"/>
          </w:tcPr>
          <w:p>
            <w:pPr>
              <w:jc w:val="center"/>
              <w:ind w:right="360"/>
              <w:spacing w:after="0"/>
              <w:rPr>
                <w:sz w:val="20"/>
                <w:szCs w:val="20"/>
                <w:color w:val="auto"/>
              </w:rPr>
            </w:pPr>
            <w:r>
              <w:rPr>
                <w:rFonts w:ascii="Arial" w:cs="Arial" w:eastAsia="Arial" w:hAnsi="Arial"/>
                <w:sz w:val="18"/>
                <w:szCs w:val="18"/>
                <w:color w:val="auto"/>
                <w:w w:val="86"/>
              </w:rPr>
              <w:t>Target AIP Payout</w:t>
            </w:r>
          </w:p>
        </w:tc>
        <w:tc>
          <w:tcPr>
            <w:tcW w:w="1080" w:type="dxa"/>
            <w:vAlign w:val="bottom"/>
            <w:gridSpan w:val="2"/>
          </w:tcPr>
          <w:p>
            <w:pPr>
              <w:jc w:val="right"/>
              <w:ind w:right="352"/>
              <w:spacing w:after="0"/>
              <w:rPr>
                <w:sz w:val="20"/>
                <w:szCs w:val="20"/>
                <w:color w:val="auto"/>
              </w:rPr>
            </w:pPr>
            <w:r>
              <w:rPr>
                <w:rFonts w:ascii="Arial" w:cs="Arial" w:eastAsia="Arial" w:hAnsi="Arial"/>
                <w:sz w:val="18"/>
                <w:szCs w:val="18"/>
                <w:color w:val="auto"/>
              </w:rPr>
              <w:t>55%</w:t>
            </w: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46%</w:t>
            </w:r>
          </w:p>
        </w:tc>
        <w:tc>
          <w:tcPr>
            <w:tcW w:w="1080" w:type="dxa"/>
            <w:vAlign w:val="bottom"/>
            <w:gridSpan w:val="2"/>
          </w:tcPr>
          <w:p>
            <w:pPr>
              <w:jc w:val="right"/>
              <w:ind w:right="420"/>
              <w:spacing w:after="0"/>
              <w:rPr>
                <w:sz w:val="20"/>
                <w:szCs w:val="20"/>
                <w:color w:val="auto"/>
              </w:rPr>
            </w:pPr>
            <w:r>
              <w:rPr>
                <w:rFonts w:ascii="Arial" w:cs="Arial" w:eastAsia="Arial" w:hAnsi="Arial"/>
                <w:sz w:val="18"/>
                <w:szCs w:val="18"/>
                <w:color w:val="auto"/>
              </w:rPr>
              <w:t>51%</w:t>
            </w:r>
          </w:p>
        </w:tc>
        <w:tc>
          <w:tcPr>
            <w:tcW w:w="1340" w:type="dxa"/>
            <w:vAlign w:val="bottom"/>
            <w:gridSpan w:val="2"/>
          </w:tcPr>
          <w:p>
            <w:pPr>
              <w:jc w:val="right"/>
              <w:ind w:right="332"/>
              <w:spacing w:after="0"/>
              <w:rPr>
                <w:sz w:val="20"/>
                <w:szCs w:val="20"/>
                <w:color w:val="auto"/>
              </w:rPr>
            </w:pPr>
            <w:r>
              <w:rPr>
                <w:rFonts w:ascii="Arial" w:cs="Arial" w:eastAsia="Arial" w:hAnsi="Arial"/>
                <w:sz w:val="18"/>
                <w:szCs w:val="18"/>
                <w:color w:val="auto"/>
              </w:rPr>
              <w:t>&lt;25%ile</w:t>
            </w:r>
          </w:p>
        </w:tc>
        <w:tc>
          <w:tcPr>
            <w:tcW w:w="1060" w:type="dxa"/>
            <w:vAlign w:val="bottom"/>
            <w:gridSpan w:val="2"/>
          </w:tcPr>
          <w:p>
            <w:pPr>
              <w:ind w:left="60"/>
              <w:spacing w:after="0"/>
              <w:rPr>
                <w:sz w:val="20"/>
                <w:szCs w:val="20"/>
                <w:color w:val="auto"/>
              </w:rPr>
            </w:pPr>
            <w:r>
              <w:rPr>
                <w:rFonts w:ascii="Arial" w:cs="Arial" w:eastAsia="Arial" w:hAnsi="Arial"/>
                <w:sz w:val="18"/>
                <w:szCs w:val="18"/>
                <w:color w:val="auto"/>
              </w:rPr>
              <w:t>&lt;25%ile</w:t>
            </w:r>
          </w:p>
        </w:tc>
        <w:tc>
          <w:tcPr>
            <w:tcW w:w="900" w:type="dxa"/>
            <w:vAlign w:val="bottom"/>
            <w:gridSpan w:val="2"/>
          </w:tcPr>
          <w:p>
            <w:pPr>
              <w:ind w:left="240"/>
              <w:spacing w:after="0"/>
              <w:rPr>
                <w:sz w:val="20"/>
                <w:szCs w:val="20"/>
                <w:color w:val="auto"/>
              </w:rPr>
            </w:pPr>
            <w:r>
              <w:rPr>
                <w:rFonts w:ascii="Arial" w:cs="Arial" w:eastAsia="Arial" w:hAnsi="Arial"/>
                <w:sz w:val="18"/>
                <w:szCs w:val="18"/>
                <w:color w:val="auto"/>
                <w:w w:val="99"/>
              </w:rPr>
              <w:t>&lt;25%ile</w:t>
            </w:r>
          </w:p>
        </w:tc>
        <w:tc>
          <w:tcPr>
            <w:tcW w:w="0" w:type="dxa"/>
            <w:vAlign w:val="bottom"/>
          </w:tcPr>
          <w:p>
            <w:pPr>
              <w:spacing w:after="0"/>
              <w:rPr>
                <w:sz w:val="1"/>
                <w:szCs w:val="1"/>
                <w:color w:val="auto"/>
              </w:rPr>
            </w:pPr>
          </w:p>
        </w:tc>
      </w:tr>
      <w:tr>
        <w:trPr>
          <w:trHeight w:val="210"/>
        </w:trPr>
        <w:tc>
          <w:tcPr>
            <w:tcW w:w="3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Cash Compensation</w:t>
            </w:r>
          </w:p>
        </w:tc>
        <w:tc>
          <w:tcPr>
            <w:tcW w:w="1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1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(Salary + AIP)</w:t>
            </w:r>
          </w:p>
        </w:tc>
        <w:tc>
          <w:tcPr>
            <w:tcW w:w="192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1"/>
              </w:rPr>
              <w:t>Maximum AIP Payout</w:t>
            </w:r>
          </w:p>
        </w:tc>
        <w:tc>
          <w:tcPr>
            <w:tcW w:w="108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100%</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58%</w:t>
            </w:r>
          </w:p>
        </w:tc>
        <w:tc>
          <w:tcPr>
            <w:tcW w:w="10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68%</w:t>
            </w:r>
          </w:p>
        </w:tc>
        <w:tc>
          <w:tcPr>
            <w:tcW w:w="134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rPr>
              <w:t>50%ile</w:t>
            </w:r>
          </w:p>
        </w:tc>
        <w:tc>
          <w:tcPr>
            <w:tcW w:w="10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&lt;25%ile</w:t>
            </w:r>
          </w:p>
        </w:tc>
        <w:tc>
          <w:tcPr>
            <w:tcW w:w="9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&lt;25%ile</w:t>
            </w:r>
          </w:p>
        </w:tc>
        <w:tc>
          <w:tcPr>
            <w:tcW w:w="0" w:type="dxa"/>
            <w:vAlign w:val="bottom"/>
          </w:tcPr>
          <w:p>
            <w:pPr>
              <w:spacing w:after="0"/>
              <w:rPr>
                <w:sz w:val="1"/>
                <w:szCs w:val="1"/>
                <w:color w:val="auto"/>
              </w:rPr>
            </w:pPr>
          </w:p>
        </w:tc>
      </w:tr>
      <w:tr>
        <w:trPr>
          <w:trHeight w:val="208"/>
        </w:trPr>
        <w:tc>
          <w:tcPr>
            <w:tcW w:w="3160" w:type="dxa"/>
            <w:vAlign w:val="bottom"/>
            <w:gridSpan w:val="2"/>
          </w:tcPr>
          <w:p>
            <w:pPr>
              <w:spacing w:after="0"/>
              <w:rPr>
                <w:sz w:val="20"/>
                <w:szCs w:val="20"/>
                <w:color w:val="auto"/>
              </w:rPr>
            </w:pPr>
            <w:r>
              <w:rPr>
                <w:rFonts w:ascii="Arial" w:cs="Arial" w:eastAsia="Arial" w:hAnsi="Arial"/>
                <w:sz w:val="18"/>
                <w:szCs w:val="18"/>
                <w:color w:val="auto"/>
              </w:rPr>
              <w:t>Total Direct Compensation</w:t>
            </w:r>
          </w:p>
        </w:tc>
        <w:tc>
          <w:tcPr>
            <w:tcW w:w="1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160" w:type="dxa"/>
            <w:vAlign w:val="bottom"/>
            <w:gridSpan w:val="2"/>
          </w:tcPr>
          <w:p>
            <w:pPr>
              <w:ind w:left="220"/>
              <w:spacing w:after="0"/>
              <w:rPr>
                <w:sz w:val="20"/>
                <w:szCs w:val="20"/>
                <w:color w:val="auto"/>
              </w:rPr>
            </w:pPr>
            <w:r>
              <w:rPr>
                <w:rFonts w:ascii="Arial" w:cs="Arial" w:eastAsia="Arial" w:hAnsi="Arial"/>
                <w:sz w:val="18"/>
                <w:szCs w:val="18"/>
                <w:color w:val="auto"/>
              </w:rPr>
              <w:t>(Salary + AIP + LTI)</w:t>
            </w:r>
          </w:p>
        </w:tc>
        <w:tc>
          <w:tcPr>
            <w:tcW w:w="1920" w:type="dxa"/>
            <w:vAlign w:val="bottom"/>
            <w:gridSpan w:val="2"/>
          </w:tcPr>
          <w:p>
            <w:pPr>
              <w:jc w:val="center"/>
              <w:ind w:right="340"/>
              <w:spacing w:after="0"/>
              <w:rPr>
                <w:sz w:val="20"/>
                <w:szCs w:val="20"/>
                <w:color w:val="auto"/>
              </w:rPr>
            </w:pPr>
            <w:r>
              <w:rPr>
                <w:rFonts w:ascii="Arial" w:cs="Arial" w:eastAsia="Arial" w:hAnsi="Arial"/>
                <w:sz w:val="18"/>
                <w:szCs w:val="18"/>
                <w:color w:val="auto"/>
                <w:w w:val="88"/>
              </w:rPr>
              <w:t>Target AIP Payout</w:t>
            </w:r>
          </w:p>
        </w:tc>
        <w:tc>
          <w:tcPr>
            <w:tcW w:w="1080" w:type="dxa"/>
            <w:vAlign w:val="bottom"/>
            <w:gridSpan w:val="2"/>
          </w:tcPr>
          <w:p>
            <w:pPr>
              <w:jc w:val="right"/>
              <w:ind w:right="352"/>
              <w:spacing w:after="0"/>
              <w:rPr>
                <w:sz w:val="20"/>
                <w:szCs w:val="20"/>
                <w:color w:val="auto"/>
              </w:rPr>
            </w:pPr>
            <w:r>
              <w:rPr>
                <w:rFonts w:ascii="Arial" w:cs="Arial" w:eastAsia="Arial" w:hAnsi="Arial"/>
                <w:sz w:val="18"/>
                <w:szCs w:val="18"/>
                <w:color w:val="auto"/>
              </w:rPr>
              <w:t>74%</w:t>
            </w: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20%</w:t>
            </w:r>
          </w:p>
        </w:tc>
        <w:tc>
          <w:tcPr>
            <w:tcW w:w="1080" w:type="dxa"/>
            <w:vAlign w:val="bottom"/>
            <w:gridSpan w:val="2"/>
          </w:tcPr>
          <w:p>
            <w:pPr>
              <w:jc w:val="right"/>
              <w:ind w:right="420"/>
              <w:spacing w:after="0"/>
              <w:rPr>
                <w:sz w:val="20"/>
                <w:szCs w:val="20"/>
                <w:color w:val="auto"/>
              </w:rPr>
            </w:pPr>
            <w:r>
              <w:rPr>
                <w:rFonts w:ascii="Arial" w:cs="Arial" w:eastAsia="Arial" w:hAnsi="Arial"/>
                <w:sz w:val="18"/>
                <w:szCs w:val="18"/>
                <w:color w:val="auto"/>
              </w:rPr>
              <w:t>41%</w:t>
            </w:r>
          </w:p>
        </w:tc>
        <w:tc>
          <w:tcPr>
            <w:tcW w:w="1340" w:type="dxa"/>
            <w:vAlign w:val="bottom"/>
            <w:gridSpan w:val="2"/>
          </w:tcPr>
          <w:p>
            <w:pPr>
              <w:jc w:val="right"/>
              <w:ind w:right="332"/>
              <w:spacing w:after="0"/>
              <w:rPr>
                <w:sz w:val="20"/>
                <w:szCs w:val="20"/>
                <w:color w:val="auto"/>
              </w:rPr>
            </w:pPr>
            <w:r>
              <w:rPr>
                <w:rFonts w:ascii="Arial" w:cs="Arial" w:eastAsia="Arial" w:hAnsi="Arial"/>
                <w:sz w:val="18"/>
                <w:szCs w:val="18"/>
                <w:color w:val="auto"/>
              </w:rPr>
              <w:t>37%ile</w:t>
            </w:r>
          </w:p>
        </w:tc>
        <w:tc>
          <w:tcPr>
            <w:tcW w:w="1060" w:type="dxa"/>
            <w:vAlign w:val="bottom"/>
            <w:gridSpan w:val="2"/>
          </w:tcPr>
          <w:p>
            <w:pPr>
              <w:ind w:left="60"/>
              <w:spacing w:after="0"/>
              <w:rPr>
                <w:sz w:val="20"/>
                <w:szCs w:val="20"/>
                <w:color w:val="auto"/>
              </w:rPr>
            </w:pPr>
            <w:r>
              <w:rPr>
                <w:rFonts w:ascii="Arial" w:cs="Arial" w:eastAsia="Arial" w:hAnsi="Arial"/>
                <w:sz w:val="18"/>
                <w:szCs w:val="18"/>
                <w:color w:val="auto"/>
              </w:rPr>
              <w:t>&lt;25%ile</w:t>
            </w:r>
          </w:p>
        </w:tc>
        <w:tc>
          <w:tcPr>
            <w:tcW w:w="900" w:type="dxa"/>
            <w:vAlign w:val="bottom"/>
            <w:gridSpan w:val="2"/>
          </w:tcPr>
          <w:p>
            <w:pPr>
              <w:ind w:left="240"/>
              <w:spacing w:after="0"/>
              <w:rPr>
                <w:sz w:val="20"/>
                <w:szCs w:val="20"/>
                <w:color w:val="auto"/>
              </w:rPr>
            </w:pPr>
            <w:r>
              <w:rPr>
                <w:rFonts w:ascii="Arial" w:cs="Arial" w:eastAsia="Arial" w:hAnsi="Arial"/>
                <w:sz w:val="18"/>
                <w:szCs w:val="18"/>
                <w:color w:val="auto"/>
                <w:w w:val="99"/>
              </w:rPr>
              <w:t>&lt;25%ile</w:t>
            </w:r>
          </w:p>
        </w:tc>
        <w:tc>
          <w:tcPr>
            <w:tcW w:w="0" w:type="dxa"/>
            <w:vAlign w:val="bottom"/>
          </w:tcPr>
          <w:p>
            <w:pPr>
              <w:spacing w:after="0"/>
              <w:rPr>
                <w:sz w:val="1"/>
                <w:szCs w:val="1"/>
                <w:color w:val="auto"/>
              </w:rPr>
            </w:pPr>
          </w:p>
        </w:tc>
      </w:tr>
      <w:tr>
        <w:trPr>
          <w:trHeight w:val="210"/>
        </w:trPr>
        <w:tc>
          <w:tcPr>
            <w:tcW w:w="3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Direct Compensation</w:t>
            </w:r>
          </w:p>
        </w:tc>
        <w:tc>
          <w:tcPr>
            <w:tcW w:w="192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94"/>
              </w:rPr>
              <w:t>Maximum AIP</w:t>
            </w:r>
          </w:p>
        </w:tc>
        <w:tc>
          <w:tcPr>
            <w:tcW w:w="5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31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(Salary + AIP + LTI)</w:t>
            </w:r>
          </w:p>
        </w:tc>
        <w:tc>
          <w:tcPr>
            <w:tcW w:w="1920" w:type="dxa"/>
            <w:vAlign w:val="bottom"/>
            <w:gridSpan w:val="2"/>
            <w:shd w:val="clear" w:color="auto" w:fill="CCEEFF"/>
          </w:tcPr>
          <w:p>
            <w:pPr>
              <w:jc w:val="center"/>
              <w:ind w:right="360"/>
              <w:spacing w:after="0"/>
              <w:rPr>
                <w:sz w:val="20"/>
                <w:szCs w:val="20"/>
                <w:color w:val="auto"/>
              </w:rPr>
            </w:pPr>
            <w:r>
              <w:rPr>
                <w:rFonts w:ascii="Arial" w:cs="Arial" w:eastAsia="Arial" w:hAnsi="Arial"/>
                <w:sz w:val="18"/>
                <w:szCs w:val="18"/>
                <w:color w:val="auto"/>
                <w:w w:val="85"/>
              </w:rPr>
              <w:t>Payout</w:t>
            </w:r>
          </w:p>
        </w:tc>
        <w:tc>
          <w:tcPr>
            <w:tcW w:w="108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82%</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24%</w:t>
            </w:r>
          </w:p>
        </w:tc>
        <w:tc>
          <w:tcPr>
            <w:tcW w:w="10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46%</w:t>
            </w:r>
          </w:p>
        </w:tc>
        <w:tc>
          <w:tcPr>
            <w:tcW w:w="134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rPr>
              <w:t>41%ile</w:t>
            </w:r>
          </w:p>
        </w:tc>
        <w:tc>
          <w:tcPr>
            <w:tcW w:w="10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&lt;25%ile</w:t>
            </w:r>
          </w:p>
        </w:tc>
        <w:tc>
          <w:tcPr>
            <w:tcW w:w="9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&lt;25%ile</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right="400"/>
        <w:spacing w:after="0" w:line="332" w:lineRule="auto"/>
        <w:rPr>
          <w:sz w:val="20"/>
          <w:szCs w:val="20"/>
          <w:color w:val="auto"/>
        </w:rPr>
      </w:pPr>
      <w:r>
        <w:rPr>
          <w:rFonts w:ascii="Arial" w:cs="Arial" w:eastAsia="Arial" w:hAnsi="Arial"/>
          <w:sz w:val="16"/>
          <w:szCs w:val="16"/>
          <w:color w:val="auto"/>
        </w:rPr>
        <w:t>Note: The ECC did not determine fiscal 2014 compensation for Ms. Dai, Mr. Rashkin, and Dr. Wu as they were not named executive officers at the time that fiscal 2014 compensation decisions were made and no changes were made to their compensation during fiscal 2014 in relation to changes in role.</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Performance Based Awards</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Prior to fiscal 2011, performance based awards were granted in the form of stock options; for fiscal 2011, performance based awards were granted in the form of RSUs which were subject to a two-year performance period and are no longer outstanding; for fiscal 2012, performance based awards were granted in the form of market-based stock options. No performance based awards were granted in fiscal 2013, and in fiscal 2014, Ms. Dai received a performance based award in the form of RSUs.</w:t>
      </w:r>
    </w:p>
    <w:p>
      <w:pPr>
        <w:spacing w:after="0" w:line="62"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table below provides detailed information regarding outstanding performance based awards by executive grant, including vesting conditions and number of shares vesting based on fiscal 2014 performance.</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780" w:type="dxa"/>
            <w:vAlign w:val="bottom"/>
            <w:gridSpan w:val="2"/>
          </w:tcPr>
          <w:p>
            <w:pPr>
              <w:jc w:val="center"/>
              <w:ind w:right="920"/>
              <w:spacing w:after="0"/>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8"/>
              </w:rPr>
              <w:t>Actual</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300" w:type="dxa"/>
            <w:vAlign w:val="bottom"/>
            <w:gridSpan w:val="3"/>
          </w:tcPr>
          <w:p>
            <w:pPr>
              <w:jc w:val="center"/>
              <w:ind w:right="920"/>
              <w:spacing w:after="0" w:line="149" w:lineRule="exact"/>
              <w:rPr>
                <w:sz w:val="20"/>
                <w:szCs w:val="20"/>
                <w:color w:val="auto"/>
              </w:rPr>
            </w:pPr>
            <w:r>
              <w:rPr>
                <w:rFonts w:ascii="Arial" w:cs="Arial" w:eastAsia="Arial" w:hAnsi="Arial"/>
                <w:sz w:val="14"/>
                <w:szCs w:val="14"/>
                <w:b w:val="1"/>
                <w:bCs w:val="1"/>
                <w:color w:val="auto"/>
                <w:w w:val="87"/>
              </w:rPr>
              <w:t>Total Number of</w:t>
            </w:r>
          </w:p>
        </w:tc>
        <w:tc>
          <w:tcPr>
            <w:tcW w:w="178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7"/>
              </w:rPr>
              <w:t>Shares That</w:t>
            </w:r>
          </w:p>
        </w:tc>
        <w:tc>
          <w:tcPr>
            <w:tcW w:w="8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300" w:type="dxa"/>
            <w:vAlign w:val="bottom"/>
            <w:gridSpan w:val="3"/>
          </w:tcPr>
          <w:p>
            <w:pPr>
              <w:jc w:val="center"/>
              <w:ind w:right="920"/>
              <w:spacing w:after="0" w:line="149" w:lineRule="exact"/>
              <w:rPr>
                <w:sz w:val="20"/>
                <w:szCs w:val="20"/>
                <w:color w:val="auto"/>
              </w:rPr>
            </w:pPr>
            <w:r>
              <w:rPr>
                <w:rFonts w:ascii="Arial" w:cs="Arial" w:eastAsia="Arial" w:hAnsi="Arial"/>
                <w:sz w:val="14"/>
                <w:szCs w:val="14"/>
                <w:b w:val="1"/>
                <w:bCs w:val="1"/>
                <w:color w:val="auto"/>
                <w:w w:val="81"/>
              </w:rPr>
              <w:t>Shares</w:t>
            </w:r>
          </w:p>
        </w:tc>
        <w:tc>
          <w:tcPr>
            <w:tcW w:w="178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6"/>
              </w:rPr>
              <w:t>Could Vest For</w:t>
            </w:r>
          </w:p>
        </w:tc>
        <w:tc>
          <w:tcPr>
            <w:tcW w:w="8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Shares</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300" w:type="dxa"/>
            <w:vAlign w:val="bottom"/>
            <w:gridSpan w:val="3"/>
          </w:tcPr>
          <w:p>
            <w:pPr>
              <w:jc w:val="center"/>
              <w:ind w:right="920"/>
              <w:spacing w:after="0" w:line="149" w:lineRule="exact"/>
              <w:rPr>
                <w:sz w:val="20"/>
                <w:szCs w:val="20"/>
                <w:color w:val="auto"/>
              </w:rPr>
            </w:pPr>
            <w:r>
              <w:rPr>
                <w:rFonts w:ascii="Arial" w:cs="Arial" w:eastAsia="Arial" w:hAnsi="Arial"/>
                <w:sz w:val="14"/>
                <w:szCs w:val="14"/>
                <w:b w:val="1"/>
                <w:bCs w:val="1"/>
                <w:color w:val="auto"/>
                <w:w w:val="85"/>
              </w:rPr>
              <w:t>(options or RSUs)</w:t>
            </w:r>
          </w:p>
        </w:tc>
        <w:tc>
          <w:tcPr>
            <w:tcW w:w="178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5"/>
              </w:rPr>
              <w:t>Fiscal 2014</w:t>
            </w:r>
          </w:p>
        </w:tc>
        <w:tc>
          <w:tcPr>
            <w:tcW w:w="8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Vested For</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300" w:type="dxa"/>
            <w:vAlign w:val="bottom"/>
            <w:gridSpan w:val="3"/>
          </w:tcPr>
          <w:p>
            <w:pPr>
              <w:jc w:val="center"/>
              <w:ind w:right="920"/>
              <w:spacing w:after="0" w:line="149" w:lineRule="exact"/>
              <w:rPr>
                <w:sz w:val="20"/>
                <w:szCs w:val="20"/>
                <w:color w:val="auto"/>
              </w:rPr>
            </w:pPr>
            <w:r>
              <w:rPr>
                <w:rFonts w:ascii="Arial" w:cs="Arial" w:eastAsia="Arial" w:hAnsi="Arial"/>
                <w:sz w:val="14"/>
                <w:szCs w:val="14"/>
                <w:b w:val="1"/>
                <w:bCs w:val="1"/>
                <w:color w:val="auto"/>
                <w:w w:val="88"/>
              </w:rPr>
              <w:t>Granted in</w:t>
            </w:r>
          </w:p>
        </w:tc>
        <w:tc>
          <w:tcPr>
            <w:tcW w:w="1780" w:type="dxa"/>
            <w:vAlign w:val="bottom"/>
            <w:gridSpan w:val="2"/>
          </w:tcPr>
          <w:p>
            <w:pPr>
              <w:jc w:val="center"/>
              <w:ind w:right="96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8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Fiscal 2014</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440" w:type="dxa"/>
            <w:vAlign w:val="bottom"/>
            <w:vMerge w:val="restart"/>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Fiscal Year</w:t>
            </w:r>
          </w:p>
        </w:tc>
        <w:tc>
          <w:tcPr>
            <w:tcW w:w="2300" w:type="dxa"/>
            <w:vAlign w:val="bottom"/>
            <w:gridSpan w:val="3"/>
          </w:tcPr>
          <w:p>
            <w:pPr>
              <w:jc w:val="center"/>
              <w:ind w:right="920"/>
              <w:spacing w:after="0" w:line="149" w:lineRule="exact"/>
              <w:rPr>
                <w:sz w:val="20"/>
                <w:szCs w:val="20"/>
                <w:color w:val="auto"/>
              </w:rPr>
            </w:pPr>
            <w:r>
              <w:rPr>
                <w:rFonts w:ascii="Arial" w:cs="Arial" w:eastAsia="Arial" w:hAnsi="Arial"/>
                <w:sz w:val="14"/>
                <w:szCs w:val="14"/>
                <w:b w:val="1"/>
                <w:bCs w:val="1"/>
                <w:color w:val="auto"/>
                <w:w w:val="92"/>
              </w:rPr>
              <w:t>Grant Year</w:t>
            </w:r>
          </w:p>
        </w:tc>
        <w:tc>
          <w:tcPr>
            <w:tcW w:w="178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7"/>
              </w:rPr>
              <w:t>Period</w:t>
            </w:r>
          </w:p>
        </w:tc>
        <w:tc>
          <w:tcPr>
            <w:tcW w:w="176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2440" w:type="dxa"/>
            <w:vAlign w:val="bottom"/>
            <w:vMerge w:val="continue"/>
          </w:tcPr>
          <w:p>
            <w:pPr>
              <w:spacing w:after="0"/>
              <w:rPr>
                <w:sz w:val="14"/>
                <w:szCs w:val="14"/>
                <w:color w:val="auto"/>
              </w:rPr>
            </w:pPr>
          </w:p>
        </w:tc>
        <w:tc>
          <w:tcPr>
            <w:tcW w:w="920" w:type="dxa"/>
            <w:vAlign w:val="bottom"/>
          </w:tcPr>
          <w:p>
            <w:pPr>
              <w:spacing w:after="0"/>
              <w:rPr>
                <w:sz w:val="14"/>
                <w:szCs w:val="14"/>
                <w:color w:val="auto"/>
              </w:rPr>
            </w:pPr>
          </w:p>
        </w:tc>
        <w:tc>
          <w:tcPr>
            <w:tcW w:w="86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91"/>
              </w:rPr>
              <w:t>of Grant</w:t>
            </w:r>
          </w:p>
        </w:tc>
        <w:tc>
          <w:tcPr>
            <w:tcW w:w="1380" w:type="dxa"/>
            <w:vAlign w:val="bottom"/>
            <w:gridSpan w:val="2"/>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920" w:type="dxa"/>
            <w:vAlign w:val="bottom"/>
          </w:tcPr>
          <w:p>
            <w:pPr>
              <w:spacing w:after="0"/>
              <w:rPr>
                <w:sz w:val="14"/>
                <w:szCs w:val="14"/>
                <w:color w:val="auto"/>
              </w:rPr>
            </w:pPr>
          </w:p>
        </w:tc>
        <w:tc>
          <w:tcPr>
            <w:tcW w:w="8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1"/>
              </w:rPr>
              <w:t>(#)</w:t>
            </w:r>
          </w:p>
        </w:tc>
        <w:tc>
          <w:tcPr>
            <w:tcW w:w="920" w:type="dxa"/>
            <w:vAlign w:val="bottom"/>
          </w:tcPr>
          <w:p>
            <w:pPr>
              <w:spacing w:after="0"/>
              <w:rPr>
                <w:sz w:val="14"/>
                <w:szCs w:val="14"/>
                <w:color w:val="auto"/>
              </w:rPr>
            </w:pPr>
          </w:p>
        </w:tc>
        <w:tc>
          <w:tcPr>
            <w:tcW w:w="1760" w:type="dxa"/>
            <w:vAlign w:val="bottom"/>
            <w:gridSpan w:val="2"/>
          </w:tcPr>
          <w:p>
            <w:pPr>
              <w:jc w:val="center"/>
              <w:ind w:right="900"/>
              <w:spacing w:after="0" w:line="148" w:lineRule="exact"/>
              <w:rPr>
                <w:sz w:val="20"/>
                <w:szCs w:val="20"/>
                <w:color w:val="auto"/>
              </w:rPr>
            </w:pPr>
            <w:r>
              <w:rPr>
                <w:rFonts w:ascii="Arial" w:cs="Arial" w:eastAsia="Arial" w:hAnsi="Arial"/>
                <w:sz w:val="14"/>
                <w:szCs w:val="14"/>
                <w:b w:val="1"/>
                <w:bCs w:val="1"/>
                <w:color w:val="auto"/>
                <w:w w:val="87"/>
              </w:rPr>
              <w:t>Measure</w:t>
            </w: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6"/>
              </w:rPr>
              <w:t>Period (#)</w:t>
            </w:r>
          </w:p>
        </w:tc>
        <w:tc>
          <w:tcPr>
            <w:tcW w:w="0" w:type="dxa"/>
            <w:vAlign w:val="bottom"/>
          </w:tcPr>
          <w:p>
            <w:pPr>
              <w:spacing w:after="0"/>
              <w:rPr>
                <w:sz w:val="1"/>
                <w:szCs w:val="1"/>
                <w:color w:val="auto"/>
              </w:rPr>
            </w:pPr>
          </w:p>
        </w:tc>
      </w:tr>
      <w:tr>
        <w:trPr>
          <w:trHeight w:val="203"/>
        </w:trPr>
        <w:tc>
          <w:tcPr>
            <w:tcW w:w="30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 Sutardja</w:t>
            </w:r>
          </w:p>
        </w:tc>
        <w:tc>
          <w:tcPr>
            <w:tcW w:w="92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9"/>
              </w:rPr>
              <w:t>2012</w:t>
            </w:r>
          </w:p>
        </w:tc>
        <w:tc>
          <w:tcPr>
            <w:tcW w:w="2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1,400,000</w:t>
            </w:r>
          </w:p>
        </w:tc>
        <w:tc>
          <w:tcPr>
            <w:tcW w:w="660" w:type="dxa"/>
            <w:vAlign w:val="bottom"/>
            <w:tcBorders>
              <w:top w:val="single" w:sz="8" w:color="auto"/>
            </w:tcBorders>
            <w:shd w:val="clear" w:color="auto" w:fill="CCEEFF"/>
          </w:tcPr>
          <w:p>
            <w:pPr>
              <w:ind w:left="20"/>
              <w:spacing w:after="0" w:line="203" w:lineRule="exact"/>
              <w:rPr>
                <w:sz w:val="20"/>
                <w:szCs w:val="20"/>
                <w:color w:val="auto"/>
              </w:rPr>
            </w:pPr>
            <w:r>
              <w:rPr>
                <w:rFonts w:ascii="Arial" w:cs="Arial" w:eastAsia="Arial" w:hAnsi="Arial"/>
                <w:sz w:val="18"/>
                <w:szCs w:val="18"/>
                <w:color w:val="auto"/>
                <w:w w:val="88"/>
              </w:rPr>
              <w:t>(options)</w:t>
            </w:r>
          </w:p>
        </w:tc>
        <w:tc>
          <w:tcPr>
            <w:tcW w:w="92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7"/>
              </w:rPr>
              <w:t>1,400,000</w:t>
            </w:r>
          </w:p>
        </w:tc>
        <w:tc>
          <w:tcPr>
            <w:tcW w:w="92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3</w:t>
            </w:r>
          </w:p>
        </w:tc>
        <w:tc>
          <w:tcPr>
            <w:tcW w:w="90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79"/>
              </w:rPr>
              <w:t>0</w:t>
            </w:r>
          </w:p>
        </w:tc>
        <w:tc>
          <w:tcPr>
            <w:tcW w:w="0" w:type="dxa"/>
            <w:vAlign w:val="bottom"/>
          </w:tcPr>
          <w:p>
            <w:pPr>
              <w:spacing w:after="0"/>
              <w:rPr>
                <w:sz w:val="1"/>
                <w:szCs w:val="1"/>
                <w:color w:val="auto"/>
              </w:rPr>
            </w:pPr>
          </w:p>
        </w:tc>
      </w:tr>
      <w:tr>
        <w:trPr>
          <w:trHeight w:val="208"/>
        </w:trPr>
        <w:tc>
          <w:tcPr>
            <w:tcW w:w="600" w:type="dxa"/>
            <w:vAlign w:val="bottom"/>
            <w:shd w:val="clear" w:color="auto" w:fill="CCEEFF"/>
          </w:tcPr>
          <w:p>
            <w:pPr>
              <w:spacing w:after="0"/>
              <w:rPr>
                <w:sz w:val="18"/>
                <w:szCs w:val="18"/>
                <w:color w:val="auto"/>
              </w:rPr>
            </w:pPr>
          </w:p>
        </w:tc>
        <w:tc>
          <w:tcPr>
            <w:tcW w:w="24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center"/>
              <w:ind w:left="832"/>
              <w:spacing w:after="0"/>
              <w:rPr>
                <w:sz w:val="20"/>
                <w:szCs w:val="20"/>
                <w:color w:val="auto"/>
              </w:rPr>
            </w:pPr>
            <w:r>
              <w:rPr>
                <w:rFonts w:ascii="Arial" w:cs="Arial" w:eastAsia="Arial" w:hAnsi="Arial"/>
                <w:sz w:val="18"/>
                <w:szCs w:val="18"/>
                <w:color w:val="auto"/>
                <w:w w:val="89"/>
              </w:rPr>
              <w:t>2009</w:t>
            </w:r>
          </w:p>
        </w:tc>
        <w:tc>
          <w:tcPr>
            <w:tcW w:w="2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390,000</w:t>
            </w:r>
          </w:p>
        </w:tc>
        <w:tc>
          <w:tcPr>
            <w:tcW w:w="1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(options)</w:t>
            </w: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292,500</w:t>
            </w:r>
          </w:p>
        </w:tc>
        <w:tc>
          <w:tcPr>
            <w:tcW w:w="92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Relative</w:t>
            </w: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0</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18"/>
                <w:szCs w:val="18"/>
                <w:color w:val="auto"/>
              </w:rPr>
            </w:pPr>
          </w:p>
        </w:tc>
        <w:tc>
          <w:tcPr>
            <w:tcW w:w="24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jc w:val="center"/>
              <w:ind w:right="900"/>
              <w:spacing w:after="0"/>
              <w:rPr>
                <w:sz w:val="20"/>
                <w:szCs w:val="20"/>
                <w:color w:val="auto"/>
              </w:rPr>
            </w:pPr>
            <w:r>
              <w:rPr>
                <w:rFonts w:ascii="Arial" w:cs="Arial" w:eastAsia="Arial" w:hAnsi="Arial"/>
                <w:sz w:val="18"/>
                <w:szCs w:val="18"/>
                <w:color w:val="auto"/>
                <w:w w:val="88"/>
              </w:rPr>
              <w:t>Operating</w:t>
            </w:r>
          </w:p>
        </w:tc>
        <w:tc>
          <w:tcPr>
            <w:tcW w:w="7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600" w:type="dxa"/>
            <w:vAlign w:val="bottom"/>
            <w:shd w:val="clear" w:color="auto" w:fill="CCEEFF"/>
          </w:tcPr>
          <w:p>
            <w:pPr>
              <w:spacing w:after="0"/>
              <w:rPr>
                <w:sz w:val="19"/>
                <w:szCs w:val="19"/>
                <w:color w:val="auto"/>
              </w:rPr>
            </w:pPr>
          </w:p>
        </w:tc>
        <w:tc>
          <w:tcPr>
            <w:tcW w:w="24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66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760" w:type="dxa"/>
            <w:vAlign w:val="bottom"/>
            <w:gridSpan w:val="2"/>
            <w:shd w:val="clear" w:color="auto" w:fill="CCEEFF"/>
          </w:tcPr>
          <w:p>
            <w:pPr>
              <w:jc w:val="center"/>
              <w:ind w:right="900"/>
              <w:spacing w:after="0"/>
              <w:rPr>
                <w:sz w:val="20"/>
                <w:szCs w:val="20"/>
                <w:color w:val="auto"/>
              </w:rPr>
            </w:pPr>
            <w:r>
              <w:rPr>
                <w:rFonts w:ascii="Arial" w:cs="Arial" w:eastAsia="Arial" w:hAnsi="Arial"/>
                <w:sz w:val="18"/>
                <w:szCs w:val="18"/>
                <w:color w:val="auto"/>
                <w:w w:val="94"/>
              </w:rPr>
              <w:t>Margin</w:t>
            </w:r>
            <w:r>
              <w:rPr>
                <w:rFonts w:ascii="Arial" w:cs="Arial" w:eastAsia="Arial" w:hAnsi="Arial"/>
                <w:sz w:val="11"/>
                <w:szCs w:val="11"/>
                <w:color w:val="auto"/>
                <w:w w:val="94"/>
              </w:rPr>
              <w:t>4</w:t>
            </w:r>
          </w:p>
        </w:tc>
        <w:tc>
          <w:tcPr>
            <w:tcW w:w="7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3040" w:type="dxa"/>
            <w:vAlign w:val="bottom"/>
            <w:gridSpan w:val="2"/>
          </w:tcPr>
          <w:p>
            <w:pPr>
              <w:spacing w:after="0"/>
              <w:rPr>
                <w:sz w:val="20"/>
                <w:szCs w:val="20"/>
                <w:color w:val="auto"/>
              </w:rPr>
            </w:pPr>
            <w:r>
              <w:rPr>
                <w:rFonts w:ascii="Arial" w:cs="Arial" w:eastAsia="Arial" w:hAnsi="Arial"/>
                <w:sz w:val="18"/>
                <w:szCs w:val="18"/>
                <w:color w:val="auto"/>
              </w:rPr>
              <w:t>Ms. Dai</w:t>
            </w:r>
          </w:p>
        </w:tc>
        <w:tc>
          <w:tcPr>
            <w:tcW w:w="1560" w:type="dxa"/>
            <w:vAlign w:val="bottom"/>
            <w:gridSpan w:val="2"/>
          </w:tcPr>
          <w:p>
            <w:pPr>
              <w:jc w:val="center"/>
              <w:ind w:left="832"/>
              <w:spacing w:after="0"/>
              <w:rPr>
                <w:sz w:val="20"/>
                <w:szCs w:val="20"/>
                <w:color w:val="auto"/>
              </w:rPr>
            </w:pPr>
            <w:r>
              <w:rPr>
                <w:rFonts w:ascii="Arial" w:cs="Arial" w:eastAsia="Arial" w:hAnsi="Arial"/>
                <w:sz w:val="18"/>
                <w:szCs w:val="18"/>
                <w:color w:val="auto"/>
                <w:w w:val="89"/>
              </w:rPr>
              <w:t>2014</w:t>
            </w:r>
          </w:p>
        </w:tc>
        <w:tc>
          <w:tcPr>
            <w:tcW w:w="220" w:type="dxa"/>
            <w:vAlign w:val="bottom"/>
          </w:tcPr>
          <w:p>
            <w:pPr>
              <w:spacing w:after="0"/>
              <w:rPr>
                <w:sz w:val="18"/>
                <w:szCs w:val="18"/>
                <w:color w:val="auto"/>
              </w:rPr>
            </w:pPr>
          </w:p>
        </w:tc>
        <w:tc>
          <w:tcPr>
            <w:tcW w:w="2300" w:type="dxa"/>
            <w:vAlign w:val="bottom"/>
            <w:gridSpan w:val="3"/>
          </w:tcPr>
          <w:p>
            <w:pPr>
              <w:ind w:left="180"/>
              <w:spacing w:after="0"/>
              <w:rPr>
                <w:sz w:val="20"/>
                <w:szCs w:val="20"/>
                <w:color w:val="auto"/>
              </w:rPr>
            </w:pPr>
            <w:r>
              <w:rPr>
                <w:rFonts w:ascii="Arial" w:cs="Arial" w:eastAsia="Arial" w:hAnsi="Arial"/>
                <w:sz w:val="18"/>
                <w:szCs w:val="18"/>
                <w:color w:val="auto"/>
              </w:rPr>
              <w:t>100,000 (RSUs)</w:t>
            </w:r>
          </w:p>
        </w:tc>
        <w:tc>
          <w:tcPr>
            <w:tcW w:w="860" w:type="dxa"/>
            <w:vAlign w:val="bottom"/>
          </w:tcPr>
          <w:p>
            <w:pPr>
              <w:jc w:val="center"/>
              <w:spacing w:after="0"/>
              <w:rPr>
                <w:sz w:val="20"/>
                <w:szCs w:val="20"/>
                <w:color w:val="auto"/>
              </w:rPr>
            </w:pPr>
            <w:r>
              <w:rPr>
                <w:rFonts w:ascii="Arial" w:cs="Arial" w:eastAsia="Arial" w:hAnsi="Arial"/>
                <w:sz w:val="18"/>
                <w:szCs w:val="18"/>
                <w:color w:val="auto"/>
                <w:w w:val="89"/>
              </w:rPr>
              <w:t>100,000</w:t>
            </w:r>
          </w:p>
        </w:tc>
        <w:tc>
          <w:tcPr>
            <w:tcW w:w="920" w:type="dxa"/>
            <w:vAlign w:val="bottom"/>
          </w:tcPr>
          <w:p>
            <w:pPr>
              <w:spacing w:after="0"/>
              <w:rPr>
                <w:sz w:val="18"/>
                <w:szCs w:val="18"/>
                <w:color w:val="auto"/>
              </w:rPr>
            </w:pPr>
          </w:p>
        </w:tc>
        <w:tc>
          <w:tcPr>
            <w:tcW w:w="1760" w:type="dxa"/>
            <w:vAlign w:val="bottom"/>
            <w:gridSpan w:val="2"/>
          </w:tcPr>
          <w:p>
            <w:pPr>
              <w:jc w:val="center"/>
              <w:ind w:right="900"/>
              <w:spacing w:after="0"/>
              <w:rPr>
                <w:sz w:val="20"/>
                <w:szCs w:val="20"/>
                <w:color w:val="auto"/>
              </w:rPr>
            </w:pPr>
            <w:r>
              <w:rPr>
                <w:rFonts w:ascii="Arial" w:cs="Arial" w:eastAsia="Arial" w:hAnsi="Arial"/>
                <w:sz w:val="18"/>
                <w:szCs w:val="18"/>
                <w:color w:val="auto"/>
                <w:w w:val="84"/>
              </w:rPr>
              <w:t>Revenue</w:t>
            </w:r>
            <w:r>
              <w:rPr>
                <w:rFonts w:ascii="Arial" w:cs="Arial" w:eastAsia="Arial" w:hAnsi="Arial"/>
                <w:sz w:val="11"/>
                <w:szCs w:val="11"/>
                <w:color w:val="auto"/>
                <w:w w:val="84"/>
              </w:rPr>
              <w:t>5</w:t>
            </w:r>
          </w:p>
        </w:tc>
        <w:tc>
          <w:tcPr>
            <w:tcW w:w="760" w:type="dxa"/>
            <w:vAlign w:val="bottom"/>
          </w:tcPr>
          <w:p>
            <w:pPr>
              <w:jc w:val="center"/>
              <w:spacing w:after="0"/>
              <w:rPr>
                <w:sz w:val="20"/>
                <w:szCs w:val="20"/>
                <w:color w:val="auto"/>
              </w:rPr>
            </w:pPr>
            <w:r>
              <w:rPr>
                <w:rFonts w:ascii="Arial" w:cs="Arial" w:eastAsia="Arial" w:hAnsi="Arial"/>
                <w:sz w:val="18"/>
                <w:szCs w:val="18"/>
                <w:color w:val="auto"/>
                <w:w w:val="88"/>
              </w:rPr>
              <w:t>3,330</w:t>
            </w:r>
          </w:p>
        </w:tc>
        <w:tc>
          <w:tcPr>
            <w:tcW w:w="0" w:type="dxa"/>
            <w:vAlign w:val="bottom"/>
          </w:tcPr>
          <w:p>
            <w:pPr>
              <w:spacing w:after="0"/>
              <w:rPr>
                <w:sz w:val="1"/>
                <w:szCs w:val="1"/>
                <w:color w:val="auto"/>
              </w:rPr>
            </w:pPr>
          </w:p>
        </w:tc>
      </w:tr>
      <w:tr>
        <w:trPr>
          <w:trHeight w:val="222"/>
        </w:trPr>
        <w:tc>
          <w:tcPr>
            <w:tcW w:w="600" w:type="dxa"/>
            <w:vAlign w:val="bottom"/>
          </w:tcPr>
          <w:p>
            <w:pPr>
              <w:spacing w:after="0"/>
              <w:rPr>
                <w:sz w:val="19"/>
                <w:szCs w:val="19"/>
                <w:color w:val="auto"/>
              </w:rPr>
            </w:pPr>
          </w:p>
        </w:tc>
        <w:tc>
          <w:tcPr>
            <w:tcW w:w="2440" w:type="dxa"/>
            <w:vAlign w:val="bottom"/>
          </w:tcPr>
          <w:p>
            <w:pPr>
              <w:spacing w:after="0"/>
              <w:rPr>
                <w:sz w:val="19"/>
                <w:szCs w:val="19"/>
                <w:color w:val="auto"/>
              </w:rPr>
            </w:pPr>
          </w:p>
        </w:tc>
        <w:tc>
          <w:tcPr>
            <w:tcW w:w="1560" w:type="dxa"/>
            <w:vAlign w:val="bottom"/>
            <w:gridSpan w:val="2"/>
          </w:tcPr>
          <w:p>
            <w:pPr>
              <w:jc w:val="center"/>
              <w:ind w:left="832"/>
              <w:spacing w:after="0"/>
              <w:rPr>
                <w:sz w:val="20"/>
                <w:szCs w:val="20"/>
                <w:color w:val="auto"/>
              </w:rPr>
            </w:pPr>
            <w:r>
              <w:rPr>
                <w:rFonts w:ascii="Arial" w:cs="Arial" w:eastAsia="Arial" w:hAnsi="Arial"/>
                <w:sz w:val="18"/>
                <w:szCs w:val="18"/>
                <w:color w:val="auto"/>
                <w:w w:val="89"/>
              </w:rPr>
              <w:t>2012</w:t>
            </w:r>
          </w:p>
        </w:tc>
        <w:tc>
          <w:tcPr>
            <w:tcW w:w="2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360,000</w:t>
            </w:r>
          </w:p>
        </w:tc>
        <w:tc>
          <w:tcPr>
            <w:tcW w:w="1580" w:type="dxa"/>
            <w:vAlign w:val="bottom"/>
            <w:gridSpan w:val="2"/>
          </w:tcPr>
          <w:p>
            <w:pPr>
              <w:ind w:left="20"/>
              <w:spacing w:after="0"/>
              <w:rPr>
                <w:sz w:val="20"/>
                <w:szCs w:val="20"/>
                <w:color w:val="auto"/>
              </w:rPr>
            </w:pPr>
            <w:r>
              <w:rPr>
                <w:rFonts w:ascii="Arial" w:cs="Arial" w:eastAsia="Arial" w:hAnsi="Arial"/>
                <w:sz w:val="18"/>
                <w:szCs w:val="18"/>
                <w:color w:val="auto"/>
              </w:rPr>
              <w:t>(options)</w:t>
            </w:r>
          </w:p>
        </w:tc>
        <w:tc>
          <w:tcPr>
            <w:tcW w:w="860" w:type="dxa"/>
            <w:vAlign w:val="bottom"/>
          </w:tcPr>
          <w:p>
            <w:pPr>
              <w:jc w:val="center"/>
              <w:spacing w:after="0"/>
              <w:rPr>
                <w:sz w:val="20"/>
                <w:szCs w:val="20"/>
                <w:color w:val="auto"/>
              </w:rPr>
            </w:pPr>
            <w:r>
              <w:rPr>
                <w:rFonts w:ascii="Arial" w:cs="Arial" w:eastAsia="Arial" w:hAnsi="Arial"/>
                <w:sz w:val="18"/>
                <w:szCs w:val="18"/>
                <w:color w:val="auto"/>
                <w:w w:val="89"/>
              </w:rPr>
              <w:t>360,000</w:t>
            </w:r>
          </w:p>
        </w:tc>
        <w:tc>
          <w:tcPr>
            <w:tcW w:w="920" w:type="dxa"/>
            <w:vAlign w:val="bottom"/>
          </w:tcPr>
          <w:p>
            <w:pPr>
              <w:spacing w:after="0"/>
              <w:rPr>
                <w:sz w:val="19"/>
                <w:szCs w:val="19"/>
                <w:color w:val="auto"/>
              </w:rPr>
            </w:pPr>
          </w:p>
        </w:tc>
        <w:tc>
          <w:tcPr>
            <w:tcW w:w="1760" w:type="dxa"/>
            <w:vAlign w:val="bottom"/>
            <w:gridSpan w:val="2"/>
          </w:tcPr>
          <w:p>
            <w:pPr>
              <w:jc w:val="center"/>
              <w:ind w:right="90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3</w:t>
            </w:r>
          </w:p>
        </w:tc>
        <w:tc>
          <w:tcPr>
            <w:tcW w:w="760" w:type="dxa"/>
            <w:vAlign w:val="bottom"/>
          </w:tcPr>
          <w:p>
            <w:pPr>
              <w:jc w:val="center"/>
              <w:spacing w:after="0"/>
              <w:rPr>
                <w:sz w:val="20"/>
                <w:szCs w:val="20"/>
                <w:color w:val="auto"/>
              </w:rPr>
            </w:pPr>
            <w:r>
              <w:rPr>
                <w:rFonts w:ascii="Arial" w:cs="Arial" w:eastAsia="Arial" w:hAnsi="Arial"/>
                <w:sz w:val="18"/>
                <w:szCs w:val="18"/>
                <w:color w:val="auto"/>
                <w:w w:val="79"/>
              </w:rPr>
              <w:t>0</w:t>
            </w:r>
          </w:p>
        </w:tc>
        <w:tc>
          <w:tcPr>
            <w:tcW w:w="0" w:type="dxa"/>
            <w:vAlign w:val="bottom"/>
          </w:tcPr>
          <w:p>
            <w:pPr>
              <w:spacing w:after="0"/>
              <w:rPr>
                <w:sz w:val="1"/>
                <w:szCs w:val="1"/>
                <w:color w:val="auto"/>
              </w:rPr>
            </w:pPr>
          </w:p>
        </w:tc>
      </w:tr>
      <w:tr>
        <w:trPr>
          <w:trHeight w:val="218"/>
        </w:trPr>
        <w:tc>
          <w:tcPr>
            <w:tcW w:w="3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Feller</w:t>
            </w:r>
            <w:r>
              <w:rPr>
                <w:rFonts w:ascii="Arial" w:cs="Arial" w:eastAsia="Arial" w:hAnsi="Arial"/>
                <w:sz w:val="11"/>
                <w:szCs w:val="11"/>
                <w:color w:val="auto"/>
              </w:rPr>
              <w:t>1</w:t>
            </w:r>
          </w:p>
        </w:tc>
        <w:tc>
          <w:tcPr>
            <w:tcW w:w="1560" w:type="dxa"/>
            <w:vAlign w:val="bottom"/>
            <w:gridSpan w:val="2"/>
            <w:shd w:val="clear" w:color="auto" w:fill="CCEEFF"/>
          </w:tcPr>
          <w:p>
            <w:pPr>
              <w:jc w:val="center"/>
              <w:ind w:left="832"/>
              <w:spacing w:after="0"/>
              <w:rPr>
                <w:sz w:val="20"/>
                <w:szCs w:val="20"/>
                <w:color w:val="auto"/>
              </w:rPr>
            </w:pPr>
            <w:r>
              <w:rPr>
                <w:rFonts w:ascii="Arial" w:cs="Arial" w:eastAsia="Arial" w:hAnsi="Arial"/>
                <w:sz w:val="18"/>
                <w:szCs w:val="18"/>
                <w:color w:val="auto"/>
                <w:w w:val="89"/>
              </w:rPr>
              <w:t>2012</w:t>
            </w:r>
          </w:p>
        </w:tc>
        <w:tc>
          <w:tcPr>
            <w:tcW w:w="2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1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(options)</w:t>
            </w: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50,000</w:t>
            </w:r>
          </w:p>
        </w:tc>
        <w:tc>
          <w:tcPr>
            <w:tcW w:w="92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jc w:val="center"/>
              <w:ind w:right="90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3</w:t>
            </w: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0</w:t>
            </w:r>
          </w:p>
        </w:tc>
        <w:tc>
          <w:tcPr>
            <w:tcW w:w="0" w:type="dxa"/>
            <w:vAlign w:val="bottom"/>
          </w:tcPr>
          <w:p>
            <w:pPr>
              <w:spacing w:after="0"/>
              <w:rPr>
                <w:sz w:val="1"/>
                <w:szCs w:val="1"/>
                <w:color w:val="auto"/>
              </w:rPr>
            </w:pPr>
          </w:p>
        </w:tc>
      </w:tr>
      <w:tr>
        <w:trPr>
          <w:trHeight w:val="216"/>
        </w:trPr>
        <w:tc>
          <w:tcPr>
            <w:tcW w:w="3040" w:type="dxa"/>
            <w:vAlign w:val="bottom"/>
            <w:gridSpan w:val="2"/>
          </w:tcPr>
          <w:p>
            <w:pPr>
              <w:spacing w:after="0"/>
              <w:rPr>
                <w:sz w:val="20"/>
                <w:szCs w:val="20"/>
                <w:color w:val="auto"/>
              </w:rPr>
            </w:pPr>
            <w:r>
              <w:rPr>
                <w:rFonts w:ascii="Arial" w:cs="Arial" w:eastAsia="Arial" w:hAnsi="Arial"/>
                <w:sz w:val="18"/>
                <w:szCs w:val="18"/>
                <w:color w:val="auto"/>
              </w:rPr>
              <w:t>Dr. P. Sutardja</w:t>
            </w:r>
            <w:r>
              <w:rPr>
                <w:rFonts w:ascii="Arial" w:cs="Arial" w:eastAsia="Arial" w:hAnsi="Arial"/>
                <w:sz w:val="11"/>
                <w:szCs w:val="11"/>
                <w:color w:val="auto"/>
              </w:rPr>
              <w:t>2</w:t>
            </w:r>
          </w:p>
        </w:tc>
        <w:tc>
          <w:tcPr>
            <w:tcW w:w="1560" w:type="dxa"/>
            <w:vAlign w:val="bottom"/>
            <w:gridSpan w:val="2"/>
          </w:tcPr>
          <w:p>
            <w:pPr>
              <w:jc w:val="center"/>
              <w:ind w:left="832"/>
              <w:spacing w:after="0"/>
              <w:rPr>
                <w:sz w:val="20"/>
                <w:szCs w:val="20"/>
                <w:color w:val="auto"/>
              </w:rPr>
            </w:pPr>
            <w:r>
              <w:rPr>
                <w:rFonts w:ascii="Arial" w:cs="Arial" w:eastAsia="Arial" w:hAnsi="Arial"/>
                <w:sz w:val="18"/>
                <w:szCs w:val="18"/>
                <w:color w:val="auto"/>
                <w:w w:val="89"/>
              </w:rPr>
              <w:t>2012</w:t>
            </w:r>
          </w:p>
        </w:tc>
        <w:tc>
          <w:tcPr>
            <w:tcW w:w="2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300,000</w:t>
            </w:r>
          </w:p>
        </w:tc>
        <w:tc>
          <w:tcPr>
            <w:tcW w:w="1580" w:type="dxa"/>
            <w:vAlign w:val="bottom"/>
            <w:gridSpan w:val="2"/>
          </w:tcPr>
          <w:p>
            <w:pPr>
              <w:ind w:left="20"/>
              <w:spacing w:after="0"/>
              <w:rPr>
                <w:sz w:val="20"/>
                <w:szCs w:val="20"/>
                <w:color w:val="auto"/>
              </w:rPr>
            </w:pPr>
            <w:r>
              <w:rPr>
                <w:rFonts w:ascii="Arial" w:cs="Arial" w:eastAsia="Arial" w:hAnsi="Arial"/>
                <w:sz w:val="18"/>
                <w:szCs w:val="18"/>
                <w:color w:val="auto"/>
              </w:rPr>
              <w:t>(options)</w:t>
            </w:r>
          </w:p>
        </w:tc>
        <w:tc>
          <w:tcPr>
            <w:tcW w:w="860" w:type="dxa"/>
            <w:vAlign w:val="bottom"/>
          </w:tcPr>
          <w:p>
            <w:pPr>
              <w:jc w:val="center"/>
              <w:spacing w:after="0"/>
              <w:rPr>
                <w:sz w:val="20"/>
                <w:szCs w:val="20"/>
                <w:color w:val="auto"/>
              </w:rPr>
            </w:pPr>
            <w:r>
              <w:rPr>
                <w:rFonts w:ascii="Arial" w:cs="Arial" w:eastAsia="Arial" w:hAnsi="Arial"/>
                <w:sz w:val="18"/>
                <w:szCs w:val="18"/>
                <w:color w:val="auto"/>
                <w:w w:val="89"/>
              </w:rPr>
              <w:t>300,000</w:t>
            </w:r>
          </w:p>
        </w:tc>
        <w:tc>
          <w:tcPr>
            <w:tcW w:w="920" w:type="dxa"/>
            <w:vAlign w:val="bottom"/>
          </w:tcPr>
          <w:p>
            <w:pPr>
              <w:spacing w:after="0"/>
              <w:rPr>
                <w:sz w:val="18"/>
                <w:szCs w:val="18"/>
                <w:color w:val="auto"/>
              </w:rPr>
            </w:pPr>
          </w:p>
        </w:tc>
        <w:tc>
          <w:tcPr>
            <w:tcW w:w="1760" w:type="dxa"/>
            <w:vAlign w:val="bottom"/>
            <w:gridSpan w:val="2"/>
          </w:tcPr>
          <w:p>
            <w:pPr>
              <w:jc w:val="center"/>
              <w:ind w:right="90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3</w:t>
            </w:r>
          </w:p>
        </w:tc>
        <w:tc>
          <w:tcPr>
            <w:tcW w:w="760" w:type="dxa"/>
            <w:vAlign w:val="bottom"/>
          </w:tcPr>
          <w:p>
            <w:pPr>
              <w:jc w:val="center"/>
              <w:spacing w:after="0"/>
              <w:rPr>
                <w:sz w:val="20"/>
                <w:szCs w:val="20"/>
                <w:color w:val="auto"/>
              </w:rPr>
            </w:pPr>
            <w:r>
              <w:rPr>
                <w:rFonts w:ascii="Arial" w:cs="Arial" w:eastAsia="Arial" w:hAnsi="Arial"/>
                <w:sz w:val="18"/>
                <w:szCs w:val="18"/>
                <w:color w:val="auto"/>
                <w:w w:val="79"/>
              </w:rPr>
              <w:t>0</w:t>
            </w:r>
          </w:p>
        </w:tc>
        <w:tc>
          <w:tcPr>
            <w:tcW w:w="0" w:type="dxa"/>
            <w:vAlign w:val="bottom"/>
          </w:tcPr>
          <w:p>
            <w:pPr>
              <w:spacing w:after="0"/>
              <w:rPr>
                <w:sz w:val="1"/>
                <w:szCs w:val="1"/>
                <w:color w:val="auto"/>
              </w:rPr>
            </w:pPr>
          </w:p>
        </w:tc>
      </w:tr>
      <w:tr>
        <w:trPr>
          <w:trHeight w:val="216"/>
        </w:trPr>
        <w:tc>
          <w:tcPr>
            <w:tcW w:w="3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Wu</w:t>
            </w:r>
          </w:p>
        </w:tc>
        <w:tc>
          <w:tcPr>
            <w:tcW w:w="1560" w:type="dxa"/>
            <w:vAlign w:val="bottom"/>
            <w:gridSpan w:val="2"/>
            <w:shd w:val="clear" w:color="auto" w:fill="CCEEFF"/>
          </w:tcPr>
          <w:p>
            <w:pPr>
              <w:jc w:val="center"/>
              <w:ind w:left="832"/>
              <w:spacing w:after="0"/>
              <w:rPr>
                <w:sz w:val="20"/>
                <w:szCs w:val="20"/>
                <w:color w:val="auto"/>
              </w:rPr>
            </w:pPr>
            <w:r>
              <w:rPr>
                <w:rFonts w:ascii="Arial" w:cs="Arial" w:eastAsia="Arial" w:hAnsi="Arial"/>
                <w:sz w:val="18"/>
                <w:szCs w:val="18"/>
                <w:color w:val="auto"/>
                <w:w w:val="89"/>
              </w:rPr>
              <w:t>2012</w:t>
            </w:r>
          </w:p>
        </w:tc>
        <w:tc>
          <w:tcPr>
            <w:tcW w:w="2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1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(options)</w:t>
            </w: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50,000</w:t>
            </w:r>
          </w:p>
        </w:tc>
        <w:tc>
          <w:tcPr>
            <w:tcW w:w="92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jc w:val="center"/>
              <w:ind w:right="900"/>
              <w:spacing w:after="0"/>
              <w:rPr>
                <w:sz w:val="20"/>
                <w:szCs w:val="20"/>
                <w:color w:val="auto"/>
              </w:rPr>
            </w:pPr>
            <w:r>
              <w:rPr>
                <w:rFonts w:ascii="Arial" w:cs="Arial" w:eastAsia="Arial" w:hAnsi="Arial"/>
                <w:sz w:val="18"/>
                <w:szCs w:val="18"/>
                <w:color w:val="auto"/>
                <w:w w:val="85"/>
              </w:rPr>
              <w:t>Share Price</w:t>
            </w:r>
            <w:r>
              <w:rPr>
                <w:rFonts w:ascii="Arial" w:cs="Arial" w:eastAsia="Arial" w:hAnsi="Arial"/>
                <w:sz w:val="11"/>
                <w:szCs w:val="11"/>
                <w:color w:val="auto"/>
                <w:w w:val="85"/>
              </w:rPr>
              <w:t>3</w:t>
            </w: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Mr. Feller’s outstanding equity was cancelled in fiscal 2014 due to his decision to resign from his role as interim Chief Financial Officer.</w:t>
      </w:r>
    </w:p>
    <w:p>
      <w:pPr>
        <w:spacing w:after="0" w:line="15" w:lineRule="exact"/>
        <w:rPr>
          <w:rFonts w:ascii="Arial" w:cs="Arial" w:eastAsia="Arial" w:hAnsi="Arial"/>
          <w:sz w:val="18"/>
          <w:szCs w:val="18"/>
          <w:color w:val="auto"/>
        </w:rPr>
      </w:pPr>
    </w:p>
    <w:p>
      <w:pPr>
        <w:ind w:left="460" w:right="220" w:hanging="452"/>
        <w:spacing w:after="0" w:line="250" w:lineRule="auto"/>
        <w:tabs>
          <w:tab w:leader="none" w:pos="4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Dr. Sutardja’s outstanding equity was cancelled in fiscal 2014 due to his decision to resign from his role as Chief Technology Officer and Chief Research and Development Officer</w:t>
      </w:r>
    </w:p>
    <w:p>
      <w:pPr>
        <w:ind w:left="460" w:hanging="452"/>
        <w:spacing w:after="0"/>
        <w:tabs>
          <w:tab w:leader="none" w:pos="460" w:val="left"/>
        </w:tabs>
        <w:numPr>
          <w:ilvl w:val="0"/>
          <w:numId w:val="66"/>
        </w:numPr>
        <w:rPr>
          <w:rFonts w:ascii="Arial" w:cs="Arial" w:eastAsia="Arial" w:hAnsi="Arial"/>
          <w:sz w:val="16"/>
          <w:szCs w:val="16"/>
          <w:color w:val="auto"/>
        </w:rPr>
      </w:pPr>
      <w:r>
        <w:rPr>
          <w:rFonts w:ascii="Arial" w:cs="Arial" w:eastAsia="Arial" w:hAnsi="Arial"/>
          <w:sz w:val="16"/>
          <w:szCs w:val="16"/>
          <w:color w:val="auto"/>
        </w:rPr>
        <w:t>Share price equals or exceeds an average of $24.70 for a period of 200 consecutive trading days prior to the 5th anniversary; service through April 1, 2013</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Operating margin is at or above the 60th percentile of a Performance Peer Group (listed below)</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Applicable business unity threshold revenue goals for fiscal 2014 were met — see below for additional detail</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 Price</w:t>
      </w:r>
    </w:p>
    <w:p>
      <w:pPr>
        <w:spacing w:after="0" w:line="90" w:lineRule="exact"/>
        <w:rPr>
          <w:sz w:val="20"/>
          <w:szCs w:val="20"/>
          <w:color w:val="auto"/>
        </w:rPr>
      </w:pPr>
    </w:p>
    <w:p>
      <w:pPr>
        <w:jc w:val="both"/>
        <w:ind w:right="60" w:firstLine="456"/>
        <w:spacing w:after="0" w:line="294" w:lineRule="auto"/>
        <w:rPr>
          <w:sz w:val="20"/>
          <w:szCs w:val="20"/>
          <w:color w:val="auto"/>
        </w:rPr>
      </w:pPr>
      <w:r>
        <w:rPr>
          <w:rFonts w:ascii="Arial" w:cs="Arial" w:eastAsia="Arial" w:hAnsi="Arial"/>
          <w:sz w:val="16"/>
          <w:szCs w:val="16"/>
          <w:color w:val="auto"/>
        </w:rPr>
        <w:t>Performance based stock options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10"/>
          <w:szCs w:val="10"/>
          <w:color w:val="auto"/>
        </w:rPr>
        <w:t>th</w:t>
      </w:r>
      <w:r>
        <w:rPr>
          <w:rFonts w:ascii="Arial" w:cs="Arial" w:eastAsia="Arial" w:hAnsi="Arial"/>
          <w:sz w:val="16"/>
          <w:szCs w:val="16"/>
          <w:color w:val="auto"/>
        </w:rPr>
        <w:t xml:space="preserve"> anniversary of the date of grant (the “Trigger Event”), then 100% of the shares subject to the stock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Relative Operating Margin</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Pursuant to the terms of the grant made to Dr. S. Sutardja, the 2009 performance-based stock options were to vest based on our Modified Non-GAAP Operating Margin (defined below) as measured over five annual performance periods. In each of the first four annual performance periods, beginning with fiscal 2010 and ending with fiscal 2013, 25% of the stock option shares (or 97,500 shares), may vest depending on actual performance as measured against the following performance objectives:</w:t>
      </w:r>
    </w:p>
    <w:p>
      <w:pPr>
        <w:spacing w:after="0" w:line="62" w:lineRule="exact"/>
        <w:rPr>
          <w:sz w:val="20"/>
          <w:szCs w:val="20"/>
          <w:color w:val="auto"/>
        </w:rPr>
      </w:pPr>
    </w:p>
    <w:p>
      <w:pPr>
        <w:ind w:left="900" w:hanging="325"/>
        <w:spacing w:after="0" w:line="287" w:lineRule="auto"/>
        <w:tabs>
          <w:tab w:leader="none" w:pos="900" w:val="left"/>
        </w:tabs>
        <w:numPr>
          <w:ilvl w:val="0"/>
          <w:numId w:val="67"/>
        </w:numPr>
        <w:rPr>
          <w:rFonts w:ascii="Arial" w:cs="Arial" w:eastAsia="Arial" w:hAnsi="Arial"/>
          <w:sz w:val="16"/>
          <w:szCs w:val="16"/>
          <w:color w:val="auto"/>
        </w:rPr>
      </w:pPr>
      <w:r>
        <w:rPr>
          <w:rFonts w:ascii="Arial" w:cs="Arial" w:eastAsia="Arial" w:hAnsi="Arial"/>
          <w:sz w:val="16"/>
          <w:szCs w:val="16"/>
          <w:color w:val="auto"/>
        </w:rPr>
        <w:t>Full vesting of an annual tranche occurs if, for each annual performance period, the Modified Non-GAAP Operating Margin (defined below)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 end for the companies in our “Performance Peer Group” (listed below). If we do not meet the Modified Non-GAAP Operating Margin (defined below) target for any annual performance period, then the stock option shares otherwise eligible for vesting in such period are to be carried forward to the next performance period and aggregated with the stock option shares eligible to vest during that period and may vest upon achievement of the subsequent year’s performance objectives. For purposes of this performance based stock option, the Performance Peer Group consists of Altera Corporation, Analog Devices, Inc., Broadcom Corporation, LSI Corporation, Micron Technology, Inc., National Semiconductor Corporation, NVIDIA Corporation, SanDisk Corporation, UTStarcom, Inc. and Xilinx, Inc. If there are less than eight companies remaining in the Performance Peer Group for any performance period, the Performance Peer Group will be expanded to include all of the U.S.-based publicly traded companies in the Philadelphia Stock Exchange’s Semiconductor Index at that point in time; and</w:t>
      </w:r>
    </w:p>
    <w:p>
      <w:pPr>
        <w:spacing w:after="0" w:line="41" w:lineRule="exact"/>
        <w:rPr>
          <w:rFonts w:ascii="Arial" w:cs="Arial" w:eastAsia="Arial" w:hAnsi="Arial"/>
          <w:sz w:val="16"/>
          <w:szCs w:val="16"/>
          <w:color w:val="auto"/>
        </w:rPr>
      </w:pPr>
    </w:p>
    <w:p>
      <w:pPr>
        <w:ind w:left="900" w:right="280" w:hanging="325"/>
        <w:spacing w:after="0" w:line="256"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If, at the end of fiscal 2013, any stock option shares remain unvested, then such stock option shares may vest in a final annual performance period covering fiscal 2014 if the Modified Non-GAAP Operating Margin for such fiscal year is equal to or greater than the 60</w:t>
      </w:r>
      <w:r>
        <w:rPr>
          <w:rFonts w:ascii="Arial" w:cs="Arial" w:eastAsia="Arial" w:hAnsi="Arial"/>
          <w:sz w:val="11"/>
          <w:szCs w:val="11"/>
          <w:color w:val="auto"/>
        </w:rPr>
        <w:t>th</w:t>
      </w:r>
      <w:r>
        <w:rPr>
          <w:rFonts w:ascii="Arial" w:cs="Arial" w:eastAsia="Arial" w:hAnsi="Arial"/>
          <w:sz w:val="18"/>
          <w:szCs w:val="18"/>
          <w:color w:val="auto"/>
        </w:rPr>
        <w:t xml:space="preserve"> percentile of the comparably calculated operating margin for the four consecutive fiscal quarters ending on or before our fiscal year-end for the companies in our “Performance Peer Group.”</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For purposes of this performance based stock option award, “Modified Non-GAAP Operating Margin” with respect to a company shall mean its operating margin determined by adjusting operating margin calculated under generally accepted accounting principles (“GAAP”) to exclude the impact of (i) non-cash stock-based compensation charges recognized under FASB ASC Topic 718 and (ii) non-cash acquisition-related charges, including intangible amortization and in-process research and development charges.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Revenue</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Pursuant to the terms of the grant made to Ms. Dai, the 2014 performance based RSUs were to vest on April 1, 2014 based on the achievement of revenue goals for the data communications business for fiscal year 2014, as follows:</w:t>
      </w:r>
    </w:p>
    <w:p>
      <w:pPr>
        <w:spacing w:after="0" w:line="51" w:lineRule="exact"/>
        <w:rPr>
          <w:sz w:val="20"/>
          <w:szCs w:val="20"/>
          <w:color w:val="auto"/>
        </w:rPr>
      </w:pPr>
    </w:p>
    <w:p>
      <w:pPr>
        <w:ind w:left="5560" w:right="1540" w:hanging="4985"/>
        <w:spacing w:after="0" w:line="440" w:lineRule="auto"/>
        <w:tabs>
          <w:tab w:leader="none" w:pos="892" w:val="left"/>
        </w:tabs>
        <w:numPr>
          <w:ilvl w:val="0"/>
          <w:numId w:val="68"/>
        </w:numPr>
        <w:rPr>
          <w:rFonts w:ascii="Arial" w:cs="Arial" w:eastAsia="Arial" w:hAnsi="Arial"/>
          <w:sz w:val="18"/>
          <w:szCs w:val="18"/>
          <w:color w:val="auto"/>
        </w:rPr>
      </w:pPr>
      <w:r>
        <w:rPr>
          <w:rFonts w:ascii="Arial" w:cs="Arial" w:eastAsia="Arial" w:hAnsi="Arial"/>
          <w:sz w:val="18"/>
          <w:szCs w:val="18"/>
          <w:color w:val="auto"/>
        </w:rPr>
        <w:t>Zero stock units were to vest if applicable revenue for fiscal 2014 was at or less than threshold revenue goal of $1.7159 million. -32-</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50,000 stock units were to vest if applicable revenue for fiscal 2014 was at the target revenue goal of $1.8113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9"/>
        </w:numPr>
        <w:rPr>
          <w:rFonts w:ascii="Arial" w:cs="Arial" w:eastAsia="Arial" w:hAnsi="Arial"/>
          <w:sz w:val="16"/>
          <w:szCs w:val="16"/>
          <w:color w:val="auto"/>
        </w:rPr>
      </w:pPr>
      <w:r>
        <w:rPr>
          <w:rFonts w:ascii="Arial" w:cs="Arial" w:eastAsia="Arial" w:hAnsi="Arial"/>
          <w:sz w:val="16"/>
          <w:szCs w:val="16"/>
          <w:color w:val="auto"/>
        </w:rPr>
        <w:t>100,000 stock units were to vest if applicable revenue for fiscal 2014 was at or above the maximum revenue goal of $1.9066 million.</w:t>
      </w:r>
    </w:p>
    <w:p>
      <w:pPr>
        <w:spacing w:after="0" w:line="113" w:lineRule="exact"/>
        <w:rPr>
          <w:rFonts w:ascii="Arial" w:cs="Arial" w:eastAsia="Arial" w:hAnsi="Arial"/>
          <w:sz w:val="16"/>
          <w:szCs w:val="16"/>
          <w:color w:val="auto"/>
        </w:rPr>
      </w:pPr>
    </w:p>
    <w:p>
      <w:pPr>
        <w:ind w:left="900" w:right="360" w:hanging="325"/>
        <w:spacing w:after="0" w:line="268" w:lineRule="auto"/>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The final number of stock units that were to vest if applicable revenue for fiscal 2014 was between threshold and target, or target and maximum would be calculated using straight line interpolation.</w:t>
      </w:r>
    </w:p>
    <w:p>
      <w:pPr>
        <w:spacing w:after="0" w:line="50"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For purposes of Ms. Dai’s performance based RSU award, notwithstanding the foregoing, all performance based vesting was subject to continuous service through April 1, 2014.</w:t>
      </w:r>
    </w:p>
    <w:p>
      <w:pPr>
        <w:spacing w:after="0" w:line="132"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At the time the revenue target was set, we believed that it would be difficult but achievable to meet or exceed the target based on our historical experience in achieving applicable business unit revenues.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Actual Performance and Vesting</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During fiscal 2014, we measured the financial performance associated with each named executive officer’s respective performance based equity grants and determined the number of awards that would vest during the fiscal 2014 performance period for each grant.</w:t>
      </w:r>
    </w:p>
    <w:p>
      <w:pPr>
        <w:spacing w:after="0" w:line="51" w:lineRule="exact"/>
        <w:rPr>
          <w:sz w:val="20"/>
          <w:szCs w:val="20"/>
          <w:color w:val="auto"/>
        </w:rPr>
      </w:pPr>
    </w:p>
    <w:p>
      <w:pPr>
        <w:ind w:left="900" w:right="140" w:hanging="325"/>
        <w:spacing w:after="0" w:line="268" w:lineRule="auto"/>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Trigger Event for the performance based stock options that have a ten-year term and vest contingent on the achievement of a stringent average stock price was not met;</w:t>
      </w:r>
    </w:p>
    <w:p>
      <w:pPr>
        <w:spacing w:after="0" w:line="50" w:lineRule="exact"/>
        <w:rPr>
          <w:rFonts w:ascii="Arial" w:cs="Arial" w:eastAsia="Arial" w:hAnsi="Arial"/>
          <w:sz w:val="18"/>
          <w:szCs w:val="18"/>
          <w:color w:val="auto"/>
        </w:rPr>
      </w:pPr>
    </w:p>
    <w:p>
      <w:pPr>
        <w:ind w:left="900" w:right="80" w:hanging="325"/>
        <w:spacing w:after="0" w:line="259" w:lineRule="auto"/>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In the case of the fiscal 2009 performance based option award for Dr. S. Sutardja, the Modified Non-GAAP Operating Margin performance was not equal to or greater than the 60</w:t>
      </w:r>
      <w:r>
        <w:rPr>
          <w:rFonts w:ascii="Arial" w:cs="Arial" w:eastAsia="Arial" w:hAnsi="Arial"/>
          <w:sz w:val="11"/>
          <w:szCs w:val="11"/>
          <w:color w:val="auto"/>
        </w:rPr>
        <w:t>th</w:t>
      </w:r>
      <w:r>
        <w:rPr>
          <w:rFonts w:ascii="Arial" w:cs="Arial" w:eastAsia="Arial" w:hAnsi="Arial"/>
          <w:sz w:val="18"/>
          <w:szCs w:val="18"/>
          <w:color w:val="auto"/>
        </w:rPr>
        <w:t xml:space="preserve"> percentile of the comparably calculated peer group operating margin for the four consecutive fiscal quarters ending before our fiscal year. As a result, the unvested portion of the award expired; and</w:t>
      </w:r>
    </w:p>
    <w:p>
      <w:pPr>
        <w:spacing w:after="0" w:line="59"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In regard to Ms. Dai’s fiscal 2014 performance based RSU grant, data communications revenue was above the threshold revenue goal and 3,330 shares vested on April 1, 2014. The unvested portion of the award expired.</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Our named executive officers are eligible to participate in our life, health and welfare benefit programs and our tax-qualified Section 401(k) plan. They participate in these plans on the same terms and conditions as our other salaried employees. Beginning in January 2011, employees’ contributions to the Section 401(k) plan are matched dollar for dollar up to a maximum of $500 for each quarter of the calendar year.</w:t>
      </w:r>
    </w:p>
    <w:p>
      <w:pPr>
        <w:spacing w:after="0" w:line="107"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also offer all employees, including our named executive officers, the ability to purchase our common shares at a discount under our 2000 Employee Stock Purchase Plan, as amended and restated (the “ESPP”). Employees who own more than 5% of our stock may not participate in the ESPP. As a result, Dr. S. Sutardja and Ms. Dai are not, and Dr. P. Sutardja was not, eligible to participate in the ESPP. Named executive officers did not receive any employee benefits or perquisites in fiscal 2014 other than the employee benefits and perquisites provided to all employees and the one described in the paragraph below.</w:t>
      </w:r>
    </w:p>
    <w:p>
      <w:pPr>
        <w:spacing w:after="0" w:line="113"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ECC has approved a formal policy for personal use of our corporate jet. This policy permits personal use of our corporate jet only by Dr. S. Sutardja, as our CEO. Dr. S. Sutardja may use our jet for three personal round trip flights annually. Any additional personal use of our corporate jet by Dr. S. Sutardja requires the approval of the ECC. For purposes of the three round trip limitation, a multi-stop trip will be considered one round trip flight. Dr. S. Sutardja may be accompanied by his family and friends and any persons involved in a charitable interest of Dr. S. Sutardja or he may permit any of these people to use the jet in his place within the guidelines. During fiscal 2014, Dr. S. Sutardja did not make use of the jet for any personal flights.</w:t>
      </w:r>
    </w:p>
    <w:p>
      <w:pPr>
        <w:spacing w:after="0" w:line="10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60"/>
          </w:cols>
          <w:pgMar w:left="240" w:top="459" w:right="29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Considerations</w:t>
      </w:r>
    </w:p>
    <w:p>
      <w:pPr>
        <w:spacing w:after="0" w:line="90" w:lineRule="exact"/>
        <w:rPr>
          <w:sz w:val="20"/>
          <w:szCs w:val="20"/>
          <w:color w:val="auto"/>
        </w:rPr>
      </w:pPr>
    </w:p>
    <w:p>
      <w:pPr>
        <w:ind w:right="80" w:firstLine="456"/>
        <w:spacing w:after="0" w:line="335" w:lineRule="auto"/>
        <w:rPr>
          <w:sz w:val="20"/>
          <w:szCs w:val="20"/>
          <w:color w:val="auto"/>
        </w:rPr>
      </w:pPr>
      <w:r>
        <w:rPr>
          <w:rFonts w:ascii="Arial" w:cs="Arial" w:eastAsia="Arial" w:hAnsi="Arial"/>
          <w:sz w:val="15"/>
          <w:szCs w:val="15"/>
          <w:color w:val="auto"/>
        </w:rPr>
        <w:t>During fiscal year 2014, the ECC requested of Mercer, and later discussed with management, an assessment of our compensation programs for (i) the named executive officers, (ii) the broad-based population and (iii) sales professionals. The purpose of the review was to determine whether such programs might encourage inappropriate risk taking that could result in a material adverse effect. Mercer, with the help of management, reviewed these programs considering:</w:t>
      </w:r>
    </w:p>
    <w:p>
      <w:pPr>
        <w:spacing w:after="0" w:line="7" w:lineRule="exact"/>
        <w:rPr>
          <w:sz w:val="20"/>
          <w:szCs w:val="20"/>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annual risk assessment specifically noted that:</w:t>
      </w:r>
    </w:p>
    <w:p>
      <w:pPr>
        <w:spacing w:after="0" w:line="90" w:lineRule="exact"/>
        <w:rPr>
          <w:sz w:val="20"/>
          <w:szCs w:val="20"/>
          <w:color w:val="auto"/>
        </w:rPr>
      </w:pPr>
    </w:p>
    <w:p>
      <w:pPr>
        <w:ind w:left="900" w:hanging="325"/>
        <w:spacing w:after="0"/>
        <w:tabs>
          <w:tab w:leader="none" w:pos="900" w:val="left"/>
        </w:tabs>
        <w:numPr>
          <w:ilvl w:val="0"/>
          <w:numId w:val="72"/>
        </w:numPr>
        <w:rPr>
          <w:rFonts w:ascii="Arial" w:cs="Arial" w:eastAsia="Arial" w:hAnsi="Arial"/>
          <w:sz w:val="15"/>
          <w:szCs w:val="15"/>
          <w:color w:val="auto"/>
        </w:rPr>
      </w:pPr>
      <w:r>
        <w:rPr>
          <w:rFonts w:ascii="Arial" w:cs="Arial" w:eastAsia="Arial" w:hAnsi="Arial"/>
          <w:sz w:val="15"/>
          <w:szCs w:val="15"/>
          <w:color w:val="auto"/>
        </w:rPr>
        <w:t>Our emphasis on long-term incentives for named executive officers, as described above, minimizes large windfalls based on short-term performance;</w:t>
      </w:r>
    </w:p>
    <w:p>
      <w:pPr>
        <w:spacing w:after="0" w:line="124" w:lineRule="exact"/>
        <w:rPr>
          <w:rFonts w:ascii="Arial" w:cs="Arial" w:eastAsia="Arial" w:hAnsi="Arial"/>
          <w:sz w:val="15"/>
          <w:szCs w:val="15"/>
          <w:color w:val="auto"/>
        </w:rPr>
      </w:pPr>
    </w:p>
    <w:p>
      <w:pPr>
        <w:ind w:left="900" w:hanging="325"/>
        <w:spacing w:after="0"/>
        <w:tabs>
          <w:tab w:leader="none" w:pos="900" w:val="left"/>
        </w:tabs>
        <w:numPr>
          <w:ilvl w:val="0"/>
          <w:numId w:val="72"/>
        </w:numPr>
        <w:rPr>
          <w:rFonts w:ascii="Arial" w:cs="Arial" w:eastAsia="Arial" w:hAnsi="Arial"/>
          <w:sz w:val="16"/>
          <w:szCs w:val="16"/>
          <w:color w:val="auto"/>
        </w:rPr>
      </w:pPr>
      <w:r>
        <w:rPr>
          <w:rFonts w:ascii="Arial" w:cs="Arial" w:eastAsia="Arial" w:hAnsi="Arial"/>
          <w:sz w:val="16"/>
          <w:szCs w:val="16"/>
          <w:color w:val="auto"/>
        </w:rPr>
        <w:t>Stock options granted to named executive officers do not begin vesting for two years, rewarding long-term shareholder growth not short-term results</w:t>
      </w:r>
    </w:p>
    <w:p>
      <w:pPr>
        <w:spacing w:after="0" w:line="113" w:lineRule="exact"/>
        <w:rPr>
          <w:rFonts w:ascii="Arial" w:cs="Arial" w:eastAsia="Arial" w:hAnsi="Arial"/>
          <w:sz w:val="16"/>
          <w:szCs w:val="16"/>
          <w:color w:val="auto"/>
        </w:rPr>
      </w:pPr>
    </w:p>
    <w:p>
      <w:pPr>
        <w:ind w:left="900" w:right="760" w:hanging="325"/>
        <w:spacing w:after="0" w:line="268" w:lineRule="auto"/>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As discussed elsewhere, annual incentives are paid pursuant to fixed, pre-established financial and strategic objectives, consistent with the requirements of Section 162(m);</w:t>
      </w:r>
    </w:p>
    <w:p>
      <w:pPr>
        <w:spacing w:after="0" w:line="50" w:lineRule="exact"/>
        <w:rPr>
          <w:rFonts w:ascii="Arial" w:cs="Arial" w:eastAsia="Arial" w:hAnsi="Arial"/>
          <w:sz w:val="18"/>
          <w:szCs w:val="18"/>
          <w:color w:val="auto"/>
        </w:rPr>
      </w:pPr>
    </w:p>
    <w:p>
      <w:pPr>
        <w:ind w:left="900" w:right="80" w:hanging="325"/>
        <w:spacing w:after="0" w:line="256" w:lineRule="auto"/>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Dr. S. Sutardja and Ms. Dai collectively owned approximately 13% of our outstanding common shares as of April 26, 2013. This strongly aligns the financial interests of the two executives with that of shareholders. We have executive stock ownership guidelines that apply to all named executive officers and, in general, strong corporate governance features that provide protection against possible windfall payouts to the named executive officers;</w:t>
      </w:r>
    </w:p>
    <w:p>
      <w:pPr>
        <w:spacing w:after="0" w:line="62" w:lineRule="exact"/>
        <w:rPr>
          <w:rFonts w:ascii="Arial" w:cs="Arial" w:eastAsia="Arial" w:hAnsi="Arial"/>
          <w:sz w:val="18"/>
          <w:szCs w:val="18"/>
          <w:color w:val="auto"/>
        </w:rPr>
      </w:pPr>
    </w:p>
    <w:p>
      <w:pPr>
        <w:ind w:left="900" w:right="40" w:hanging="325"/>
        <w:spacing w:after="0" w:line="332" w:lineRule="auto"/>
        <w:tabs>
          <w:tab w:leader="none" w:pos="900" w:val="left"/>
        </w:tabs>
        <w:numPr>
          <w:ilvl w:val="0"/>
          <w:numId w:val="72"/>
        </w:numPr>
        <w:rPr>
          <w:rFonts w:ascii="Arial" w:cs="Arial" w:eastAsia="Arial" w:hAnsi="Arial"/>
          <w:sz w:val="16"/>
          <w:szCs w:val="16"/>
          <w:color w:val="auto"/>
        </w:rPr>
      </w:pPr>
      <w:r>
        <w:rPr>
          <w:rFonts w:ascii="Arial" w:cs="Arial" w:eastAsia="Arial" w:hAnsi="Arial"/>
          <w:sz w:val="16"/>
          <w:szCs w:val="16"/>
          <w:color w:val="auto"/>
        </w:rPr>
        <w:t>No material changes were made for fiscal 2014 to the broad-based annual incentive plan or sales incentive plans. These plans continue to provide no material risk of encouraging inappropriate risk taking. Specific features that help to mitigate potential risk taking include:</w:t>
      </w:r>
    </w:p>
    <w:p>
      <w:pPr>
        <w:spacing w:after="0" w:line="4" w:lineRule="exact"/>
        <w:rPr>
          <w:sz w:val="20"/>
          <w:szCs w:val="20"/>
          <w:color w:val="auto"/>
        </w:rPr>
      </w:pPr>
    </w:p>
    <w:p>
      <w:pPr>
        <w:ind w:left="920" w:right="200"/>
        <w:spacing w:after="0" w:line="332" w:lineRule="auto"/>
        <w:rPr>
          <w:sz w:val="20"/>
          <w:szCs w:val="20"/>
          <w:color w:val="auto"/>
        </w:rPr>
      </w:pPr>
      <w:r>
        <w:rPr>
          <w:rFonts w:ascii="Arial" w:cs="Arial" w:eastAsia="Arial" w:hAnsi="Arial"/>
          <w:sz w:val="16"/>
          <w:szCs w:val="16"/>
          <w:color w:val="auto"/>
        </w:rPr>
        <w:t>—The broad-based incentive plan contains individual caps with manager and CEO approval required, thus mitigating the opportunity for windfall payouts; and contain multiple layers of performance, thus mitigating the ability to impact short-term results by excessive risk taking</w:t>
      </w:r>
    </w:p>
    <w:p>
      <w:pPr>
        <w:spacing w:after="0" w:line="4" w:lineRule="exact"/>
        <w:rPr>
          <w:sz w:val="20"/>
          <w:szCs w:val="20"/>
          <w:color w:val="auto"/>
        </w:rPr>
      </w:pPr>
    </w:p>
    <w:p>
      <w:pPr>
        <w:ind w:left="920" w:right="60"/>
        <w:spacing w:after="0" w:line="268" w:lineRule="auto"/>
        <w:rPr>
          <w:sz w:val="20"/>
          <w:szCs w:val="20"/>
          <w:color w:val="auto"/>
        </w:rPr>
      </w:pPr>
      <w:r>
        <w:rPr>
          <w:rFonts w:ascii="Arial" w:cs="Arial" w:eastAsia="Arial" w:hAnsi="Arial"/>
          <w:sz w:val="18"/>
          <w:szCs w:val="18"/>
          <w:color w:val="auto"/>
        </w:rPr>
        <w:t>—The sales incentive plan funding is uncapped but award determination incorporates manager allocation and individual annual bonus opportunities are moderate, mitigating potential for windfall payouts</w:t>
      </w:r>
    </w:p>
    <w:p>
      <w:pPr>
        <w:spacing w:after="0" w:line="5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—Limited incentive or ability for sales personnel to undercut pricing</w:t>
      </w:r>
    </w:p>
    <w:p>
      <w:pPr>
        <w:spacing w:after="0" w:line="90" w:lineRule="exact"/>
        <w:rPr>
          <w:sz w:val="20"/>
          <w:szCs w:val="20"/>
          <w:color w:val="auto"/>
        </w:rPr>
      </w:pPr>
    </w:p>
    <w:p>
      <w:pPr>
        <w:ind w:left="900" w:right="140" w:hanging="325"/>
        <w:spacing w:after="0" w:line="256"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Broad-based employee equity awards for fiscal 2014 consisted of either a fixed mix of stock options and RSUs (no Equity Choice) similar to the named executive officers, or all RSUs. Equity awards are broadly used to align employees to long-term company value creation and to provide retention through vesting of equity over time. The broad-based equity award levels, vehicles and vesting conditions do not encourage inappropriate risk-taking</w:t>
      </w:r>
    </w:p>
    <w:p>
      <w:pPr>
        <w:spacing w:after="0" w:line="143"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Based on such assessment, the ECC concluded that our compensation policies and practices for our employees are not reasonably likely to have a material adverse effect on us.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380"/>
          </w:cols>
          <w:pgMar w:left="240" w:top="459" w:right="27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Considered in Determining Executive Compensation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do not have any employment, change-in-control, or severance agreements or arrangements with any of our named executive officers. This enables us to terminate their employment with flexibility as to the terms of any severance arrangement.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stock option grant practices. Our current policy covers, among other things, the following:</w:t>
      </w:r>
    </w:p>
    <w:p>
      <w:pPr>
        <w:spacing w:after="0" w:line="113" w:lineRule="exact"/>
        <w:rPr>
          <w:sz w:val="20"/>
          <w:szCs w:val="20"/>
          <w:color w:val="auto"/>
        </w:rPr>
      </w:pPr>
    </w:p>
    <w:p>
      <w:pPr>
        <w:ind w:right="340" w:firstLine="456"/>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85"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ECC or a subcommittee thereof has the authority to approve equity grants to employees, provided that only the ECC (and not a subcommittee) may approve equity grants to our executive officers.</w:t>
      </w:r>
    </w:p>
    <w:p>
      <w:pPr>
        <w:spacing w:after="0" w:line="132"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Equity grants to newly hired employees are made monthly during regularly scheduled ECC or subcommittee meetings. An equity award proposal is generally prepared for consideration by the second month following the month of the new employees’ date of hire. These awards may only be made by the ECC or a subcommittee of the ECC, and are typically based upon the recommendation of the CEO. It is Marvell’s policy for equity grants to newly hired employees to vest over five years.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Annual focal equity grants to employees are generally made after the annual performance review process is completed and are scheduled to be made no later than the last Friday of our fiscal month in April in each calendar year, provided that such grants shall not be made during any period of time commencing with the last day of a fiscal quarter and ending with the first full trading day following our earnings release for such quarter. If focal awards have not been granted by the last Friday of the fiscal month of April, then focal awards are to be granted during an ‘open window’ as set forth in our insider trading policy. Other than with respect to annual focal equity grants, grants to named executive officers must be made during an ‘open window.’</w:t>
      </w:r>
    </w:p>
    <w:p>
      <w:pPr>
        <w:spacing w:after="0" w:line="11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Management regularly reviews share usage (run rate), potential dilution and total cost of equity grants with the ECC, relative to internal and external benchmarks, to ensure that share usage is carefully and appropriately managed. The table below shows the company run rate for the three most recent fiscal years (all shares granted are in thousands):</w:t>
      </w:r>
    </w:p>
    <w:p>
      <w:pPr>
        <w:spacing w:after="0" w:line="16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00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87"/>
              </w:rPr>
              <w:t>Stock Option Equivalent</w:t>
            </w:r>
          </w:p>
        </w:tc>
        <w:tc>
          <w:tcPr>
            <w:tcW w:w="0" w:type="dxa"/>
            <w:vAlign w:val="bottom"/>
          </w:tcPr>
          <w:p>
            <w:pPr>
              <w:spacing w:after="0"/>
              <w:rPr>
                <w:sz w:val="1"/>
                <w:szCs w:val="1"/>
                <w:color w:val="auto"/>
              </w:rPr>
            </w:pPr>
          </w:p>
        </w:tc>
      </w:tr>
      <w:tr>
        <w:trPr>
          <w:trHeight w:val="149"/>
        </w:trPr>
        <w:tc>
          <w:tcPr>
            <w:tcW w:w="68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320" w:type="dxa"/>
            <w:vAlign w:val="bottom"/>
            <w:gridSpan w:val="3"/>
          </w:tcPr>
          <w:p>
            <w:pPr>
              <w:jc w:val="center"/>
              <w:ind w:right="900"/>
              <w:spacing w:after="0" w:line="149" w:lineRule="exact"/>
              <w:rPr>
                <w:sz w:val="20"/>
                <w:szCs w:val="20"/>
                <w:color w:val="auto"/>
              </w:rPr>
            </w:pPr>
            <w:r>
              <w:rPr>
                <w:rFonts w:ascii="Arial" w:cs="Arial" w:eastAsia="Arial" w:hAnsi="Arial"/>
                <w:sz w:val="14"/>
                <w:szCs w:val="14"/>
                <w:b w:val="1"/>
                <w:bCs w:val="1"/>
                <w:color w:val="auto"/>
                <w:w w:val="87"/>
              </w:rPr>
              <w:t>Based Run Rate</w:t>
            </w:r>
          </w:p>
        </w:tc>
        <w:tc>
          <w:tcPr>
            <w:tcW w:w="0" w:type="dxa"/>
            <w:vAlign w:val="bottom"/>
          </w:tcPr>
          <w:p>
            <w:pPr>
              <w:spacing w:after="0"/>
              <w:rPr>
                <w:sz w:val="1"/>
                <w:szCs w:val="1"/>
                <w:color w:val="auto"/>
              </w:rPr>
            </w:pPr>
          </w:p>
        </w:tc>
      </w:tr>
      <w:tr>
        <w:trPr>
          <w:trHeight w:val="149"/>
        </w:trPr>
        <w:tc>
          <w:tcPr>
            <w:tcW w:w="68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40" w:type="dxa"/>
            <w:vAlign w:val="bottom"/>
            <w:gridSpan w:val="3"/>
          </w:tcPr>
          <w:p>
            <w:pPr>
              <w:jc w:val="center"/>
              <w:ind w:right="1120"/>
              <w:spacing w:after="0" w:line="149" w:lineRule="exact"/>
              <w:rPr>
                <w:sz w:val="20"/>
                <w:szCs w:val="20"/>
                <w:color w:val="auto"/>
              </w:rPr>
            </w:pPr>
            <w:r>
              <w:rPr>
                <w:rFonts w:ascii="Arial" w:cs="Arial" w:eastAsia="Arial" w:hAnsi="Arial"/>
                <w:sz w:val="14"/>
                <w:szCs w:val="14"/>
                <w:b w:val="1"/>
                <w:bCs w:val="1"/>
                <w:color w:val="auto"/>
                <w:w w:val="87"/>
              </w:rPr>
              <w:t>Share-Based Run Rate</w:t>
            </w:r>
          </w:p>
        </w:tc>
        <w:tc>
          <w:tcPr>
            <w:tcW w:w="380" w:type="dxa"/>
            <w:vAlign w:val="bottom"/>
          </w:tcPr>
          <w:p>
            <w:pPr>
              <w:spacing w:after="0"/>
              <w:rPr>
                <w:sz w:val="12"/>
                <w:szCs w:val="12"/>
                <w:color w:val="auto"/>
              </w:rPr>
            </w:pPr>
          </w:p>
        </w:tc>
        <w:tc>
          <w:tcPr>
            <w:tcW w:w="3000" w:type="dxa"/>
            <w:vAlign w:val="bottom"/>
            <w:gridSpan w:val="4"/>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(2:1 Stock Option to Full Value</w:t>
            </w:r>
          </w:p>
        </w:tc>
        <w:tc>
          <w:tcPr>
            <w:tcW w:w="0" w:type="dxa"/>
            <w:vAlign w:val="bottom"/>
          </w:tcPr>
          <w:p>
            <w:pPr>
              <w:spacing w:after="0"/>
              <w:rPr>
                <w:sz w:val="1"/>
                <w:szCs w:val="1"/>
                <w:color w:val="auto"/>
              </w:rPr>
            </w:pPr>
          </w:p>
        </w:tc>
      </w:tr>
      <w:tr>
        <w:trPr>
          <w:trHeight w:val="149"/>
        </w:trPr>
        <w:tc>
          <w:tcPr>
            <w:tcW w:w="68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40" w:type="dxa"/>
            <w:vAlign w:val="bottom"/>
            <w:gridSpan w:val="3"/>
          </w:tcPr>
          <w:p>
            <w:pPr>
              <w:jc w:val="center"/>
              <w:ind w:right="1120"/>
              <w:spacing w:after="0" w:line="149" w:lineRule="exact"/>
              <w:rPr>
                <w:sz w:val="20"/>
                <w:szCs w:val="20"/>
                <w:color w:val="auto"/>
              </w:rPr>
            </w:pPr>
            <w:r>
              <w:rPr>
                <w:rFonts w:ascii="Arial" w:cs="Arial" w:eastAsia="Arial" w:hAnsi="Arial"/>
                <w:sz w:val="14"/>
                <w:szCs w:val="14"/>
                <w:b w:val="1"/>
                <w:bCs w:val="1"/>
                <w:color w:val="auto"/>
                <w:w w:val="87"/>
              </w:rPr>
              <w:t>(All Stock Options and</w:t>
            </w:r>
          </w:p>
        </w:tc>
        <w:tc>
          <w:tcPr>
            <w:tcW w:w="3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320" w:type="dxa"/>
            <w:vAlign w:val="bottom"/>
            <w:gridSpan w:val="3"/>
          </w:tcPr>
          <w:p>
            <w:pPr>
              <w:jc w:val="center"/>
              <w:ind w:right="900"/>
              <w:spacing w:after="0" w:line="149" w:lineRule="exact"/>
              <w:rPr>
                <w:sz w:val="20"/>
                <w:szCs w:val="20"/>
                <w:color w:val="auto"/>
              </w:rPr>
            </w:pPr>
            <w:r>
              <w:rPr>
                <w:rFonts w:ascii="Arial" w:cs="Arial" w:eastAsia="Arial" w:hAnsi="Arial"/>
                <w:sz w:val="14"/>
                <w:szCs w:val="14"/>
                <w:b w:val="1"/>
                <w:bCs w:val="1"/>
                <w:color w:val="auto"/>
                <w:w w:val="87"/>
              </w:rPr>
              <w:t>Share</w:t>
            </w:r>
          </w:p>
        </w:tc>
        <w:tc>
          <w:tcPr>
            <w:tcW w:w="0" w:type="dxa"/>
            <w:vAlign w:val="bottom"/>
          </w:tcPr>
          <w:p>
            <w:pPr>
              <w:spacing w:after="0"/>
              <w:rPr>
                <w:sz w:val="1"/>
                <w:szCs w:val="1"/>
                <w:color w:val="auto"/>
              </w:rPr>
            </w:pPr>
          </w:p>
        </w:tc>
      </w:tr>
      <w:tr>
        <w:trPr>
          <w:trHeight w:val="161"/>
        </w:trPr>
        <w:tc>
          <w:tcPr>
            <w:tcW w:w="6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40" w:type="dxa"/>
            <w:vAlign w:val="bottom"/>
            <w:gridSpan w:val="3"/>
          </w:tcPr>
          <w:p>
            <w:pPr>
              <w:jc w:val="center"/>
              <w:ind w:right="1120"/>
              <w:spacing w:after="0"/>
              <w:rPr>
                <w:sz w:val="20"/>
                <w:szCs w:val="20"/>
                <w:color w:val="auto"/>
              </w:rPr>
            </w:pPr>
            <w:r>
              <w:rPr>
                <w:rFonts w:ascii="Arial" w:cs="Arial" w:eastAsia="Arial" w:hAnsi="Arial"/>
                <w:sz w:val="14"/>
                <w:szCs w:val="14"/>
                <w:b w:val="1"/>
                <w:bCs w:val="1"/>
                <w:color w:val="auto"/>
                <w:w w:val="88"/>
              </w:rPr>
              <w:t>RSUs Granted)</w:t>
            </w:r>
          </w:p>
        </w:tc>
        <w:tc>
          <w:tcPr>
            <w:tcW w:w="3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320" w:type="dxa"/>
            <w:vAlign w:val="bottom"/>
            <w:gridSpan w:val="3"/>
          </w:tcPr>
          <w:p>
            <w:pPr>
              <w:jc w:val="center"/>
              <w:ind w:right="900"/>
              <w:spacing w:after="0"/>
              <w:rPr>
                <w:sz w:val="20"/>
                <w:szCs w:val="20"/>
                <w:color w:val="auto"/>
              </w:rPr>
            </w:pPr>
            <w:r>
              <w:rPr>
                <w:rFonts w:ascii="Arial" w:cs="Arial" w:eastAsia="Arial" w:hAnsi="Arial"/>
                <w:sz w:val="14"/>
                <w:szCs w:val="14"/>
                <w:b w:val="1"/>
                <w:bCs w:val="1"/>
                <w:color w:val="auto"/>
                <w:w w:val="85"/>
              </w:rPr>
              <w:t>Conversion)</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120" w:type="dxa"/>
            <w:vAlign w:val="bottom"/>
            <w:tcBorders>
              <w:top w:val="single" w:sz="8" w:color="auto"/>
            </w:tcBorders>
            <w:gridSpan w:val="2"/>
          </w:tcPr>
          <w:p>
            <w:pPr>
              <w:jc w:val="center"/>
              <w:ind w:left="766"/>
              <w:spacing w:after="0" w:line="129" w:lineRule="exact"/>
              <w:rPr>
                <w:sz w:val="20"/>
                <w:szCs w:val="20"/>
                <w:color w:val="auto"/>
              </w:rPr>
            </w:pPr>
            <w:r>
              <w:rPr>
                <w:rFonts w:ascii="Arial" w:cs="Arial" w:eastAsia="Arial" w:hAnsi="Arial"/>
                <w:sz w:val="14"/>
                <w:szCs w:val="14"/>
                <w:b w:val="1"/>
                <w:bCs w:val="1"/>
                <w:color w:val="auto"/>
                <w:w w:val="91"/>
              </w:rPr>
              <w:t>% Average Common</w:t>
            </w:r>
          </w:p>
        </w:tc>
        <w:tc>
          <w:tcPr>
            <w:tcW w:w="5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80" w:type="dxa"/>
            <w:vAlign w:val="bottom"/>
            <w:tcBorders>
              <w:top w:val="single" w:sz="8" w:color="auto"/>
            </w:tcBorders>
          </w:tcPr>
          <w:p>
            <w:pPr>
              <w:jc w:val="right"/>
              <w:ind w:right="48"/>
              <w:spacing w:after="0" w:line="129" w:lineRule="exact"/>
              <w:rPr>
                <w:sz w:val="20"/>
                <w:szCs w:val="20"/>
                <w:color w:val="auto"/>
              </w:rPr>
            </w:pPr>
            <w:r>
              <w:rPr>
                <w:rFonts w:ascii="Arial" w:cs="Arial" w:eastAsia="Arial" w:hAnsi="Arial"/>
                <w:sz w:val="14"/>
                <w:szCs w:val="14"/>
                <w:b w:val="1"/>
                <w:bCs w:val="1"/>
                <w:color w:val="auto"/>
              </w:rPr>
              <w:t># Stock</w:t>
            </w:r>
          </w:p>
        </w:tc>
        <w:tc>
          <w:tcPr>
            <w:tcW w:w="88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680" w:type="dxa"/>
            <w:vAlign w:val="bottom"/>
            <w:vMerge w:val="restart"/>
          </w:tcPr>
          <w:p>
            <w:pPr>
              <w:spacing w:after="0"/>
              <w:rPr>
                <w:sz w:val="20"/>
                <w:szCs w:val="20"/>
                <w:color w:val="auto"/>
              </w:rPr>
            </w:pPr>
            <w:r>
              <w:rPr>
                <w:rFonts w:ascii="Arial" w:cs="Arial" w:eastAsia="Arial" w:hAnsi="Arial"/>
                <w:sz w:val="14"/>
                <w:szCs w:val="14"/>
                <w:b w:val="1"/>
                <w:bCs w:val="1"/>
                <w:color w:val="auto"/>
                <w:w w:val="89"/>
              </w:rPr>
              <w:t>Fiscal Year</w:t>
            </w:r>
          </w:p>
        </w:tc>
        <w:tc>
          <w:tcPr>
            <w:tcW w:w="1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7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1"/>
              </w:rPr>
              <w:t>Shares</w:t>
            </w:r>
          </w:p>
        </w:tc>
        <w:tc>
          <w:tcPr>
            <w:tcW w:w="380" w:type="dxa"/>
            <w:vAlign w:val="bottom"/>
          </w:tcPr>
          <w:p>
            <w:pPr>
              <w:spacing w:after="0"/>
              <w:rPr>
                <w:sz w:val="12"/>
                <w:szCs w:val="12"/>
                <w:color w:val="auto"/>
              </w:rPr>
            </w:pPr>
          </w:p>
        </w:tc>
        <w:tc>
          <w:tcPr>
            <w:tcW w:w="680" w:type="dxa"/>
            <w:vAlign w:val="bottom"/>
          </w:tcPr>
          <w:p>
            <w:pPr>
              <w:jc w:val="right"/>
              <w:ind w:right="68"/>
              <w:spacing w:after="0" w:line="149" w:lineRule="exact"/>
              <w:rPr>
                <w:sz w:val="20"/>
                <w:szCs w:val="20"/>
                <w:color w:val="auto"/>
              </w:rPr>
            </w:pPr>
            <w:r>
              <w:rPr>
                <w:rFonts w:ascii="Arial" w:cs="Arial" w:eastAsia="Arial" w:hAnsi="Arial"/>
                <w:sz w:val="14"/>
                <w:szCs w:val="14"/>
                <w:b w:val="1"/>
                <w:bCs w:val="1"/>
                <w:color w:val="auto"/>
              </w:rPr>
              <w:t>Option</w:t>
            </w:r>
          </w:p>
        </w:tc>
        <w:tc>
          <w:tcPr>
            <w:tcW w:w="2320" w:type="dxa"/>
            <w:vAlign w:val="bottom"/>
            <w:gridSpan w:val="3"/>
          </w:tcPr>
          <w:p>
            <w:pPr>
              <w:jc w:val="right"/>
              <w:ind w:right="220"/>
              <w:spacing w:after="0" w:line="149" w:lineRule="exact"/>
              <w:rPr>
                <w:sz w:val="20"/>
                <w:szCs w:val="20"/>
                <w:color w:val="auto"/>
              </w:rPr>
            </w:pPr>
            <w:r>
              <w:rPr>
                <w:rFonts w:ascii="Arial" w:cs="Arial" w:eastAsia="Arial" w:hAnsi="Arial"/>
                <w:sz w:val="14"/>
                <w:szCs w:val="14"/>
                <w:b w:val="1"/>
                <w:bCs w:val="1"/>
                <w:color w:val="auto"/>
              </w:rPr>
              <w:t>% Average Common</w:t>
            </w:r>
          </w:p>
        </w:tc>
        <w:tc>
          <w:tcPr>
            <w:tcW w:w="0" w:type="dxa"/>
            <w:vAlign w:val="bottom"/>
          </w:tcPr>
          <w:p>
            <w:pPr>
              <w:spacing w:after="0"/>
              <w:rPr>
                <w:sz w:val="1"/>
                <w:szCs w:val="1"/>
                <w:color w:val="auto"/>
              </w:rPr>
            </w:pPr>
          </w:p>
        </w:tc>
      </w:tr>
      <w:tr>
        <w:trPr>
          <w:trHeight w:val="139"/>
        </w:trPr>
        <w:tc>
          <w:tcPr>
            <w:tcW w:w="680" w:type="dxa"/>
            <w:vAlign w:val="bottom"/>
            <w:tcBorders>
              <w:bottom w:val="single" w:sz="8" w:color="auto"/>
            </w:tcBorders>
            <w:vMerge w:val="continue"/>
          </w:tcPr>
          <w:p>
            <w:pPr>
              <w:spacing w:after="0"/>
              <w:rPr>
                <w:sz w:val="11"/>
                <w:szCs w:val="11"/>
                <w:color w:val="auto"/>
              </w:rPr>
            </w:pPr>
          </w:p>
        </w:tc>
        <w:tc>
          <w:tcPr>
            <w:tcW w:w="1980" w:type="dxa"/>
            <w:vAlign w:val="bottom"/>
            <w:gridSpan w:val="2"/>
          </w:tcPr>
          <w:p>
            <w:pPr>
              <w:jc w:val="right"/>
              <w:spacing w:after="0" w:line="114" w:lineRule="exact"/>
              <w:rPr>
                <w:sz w:val="20"/>
                <w:szCs w:val="20"/>
                <w:color w:val="auto"/>
              </w:rPr>
            </w:pPr>
            <w:r>
              <w:rPr>
                <w:rFonts w:ascii="Arial" w:cs="Arial" w:eastAsia="Arial" w:hAnsi="Arial"/>
                <w:sz w:val="12"/>
                <w:szCs w:val="12"/>
                <w:b w:val="1"/>
                <w:bCs w:val="1"/>
                <w:color w:val="auto"/>
              </w:rPr>
              <w:t># Granted</w:t>
            </w:r>
          </w:p>
        </w:tc>
        <w:tc>
          <w:tcPr>
            <w:tcW w:w="880" w:type="dxa"/>
            <w:vAlign w:val="bottom"/>
          </w:tcPr>
          <w:p>
            <w:pPr>
              <w:spacing w:after="0"/>
              <w:rPr>
                <w:sz w:val="11"/>
                <w:szCs w:val="11"/>
                <w:color w:val="auto"/>
              </w:rPr>
            </w:pPr>
          </w:p>
        </w:tc>
        <w:tc>
          <w:tcPr>
            <w:tcW w:w="1760" w:type="dxa"/>
            <w:vAlign w:val="bottom"/>
            <w:gridSpan w:val="2"/>
          </w:tcPr>
          <w:p>
            <w:pPr>
              <w:jc w:val="center"/>
              <w:ind w:right="560"/>
              <w:spacing w:after="0" w:line="114" w:lineRule="exact"/>
              <w:rPr>
                <w:sz w:val="20"/>
                <w:szCs w:val="20"/>
                <w:color w:val="auto"/>
              </w:rPr>
            </w:pPr>
            <w:r>
              <w:rPr>
                <w:rFonts w:ascii="Arial" w:cs="Arial" w:eastAsia="Arial" w:hAnsi="Arial"/>
                <w:sz w:val="12"/>
                <w:szCs w:val="12"/>
                <w:b w:val="1"/>
                <w:bCs w:val="1"/>
                <w:color w:val="auto"/>
              </w:rPr>
              <w:t>Outstanding</w:t>
            </w:r>
          </w:p>
        </w:tc>
        <w:tc>
          <w:tcPr>
            <w:tcW w:w="1060" w:type="dxa"/>
            <w:vAlign w:val="bottom"/>
            <w:gridSpan w:val="2"/>
          </w:tcPr>
          <w:p>
            <w:pPr>
              <w:jc w:val="right"/>
              <w:spacing w:after="0" w:line="114" w:lineRule="exact"/>
              <w:rPr>
                <w:sz w:val="20"/>
                <w:szCs w:val="20"/>
                <w:color w:val="auto"/>
              </w:rPr>
            </w:pPr>
            <w:r>
              <w:rPr>
                <w:rFonts w:ascii="Arial" w:cs="Arial" w:eastAsia="Arial" w:hAnsi="Arial"/>
                <w:sz w:val="12"/>
                <w:szCs w:val="12"/>
                <w:b w:val="1"/>
                <w:bCs w:val="1"/>
                <w:color w:val="auto"/>
              </w:rPr>
              <w:t>Equivalents</w:t>
            </w:r>
          </w:p>
        </w:tc>
        <w:tc>
          <w:tcPr>
            <w:tcW w:w="880" w:type="dxa"/>
            <w:vAlign w:val="bottom"/>
          </w:tcPr>
          <w:p>
            <w:pPr>
              <w:spacing w:after="0"/>
              <w:rPr>
                <w:sz w:val="11"/>
                <w:szCs w:val="11"/>
                <w:color w:val="auto"/>
              </w:rPr>
            </w:pPr>
          </w:p>
        </w:tc>
        <w:tc>
          <w:tcPr>
            <w:tcW w:w="1440" w:type="dxa"/>
            <w:vAlign w:val="bottom"/>
            <w:gridSpan w:val="2"/>
          </w:tcPr>
          <w:p>
            <w:pPr>
              <w:jc w:val="right"/>
              <w:ind w:right="260"/>
              <w:spacing w:after="0" w:line="114" w:lineRule="exact"/>
              <w:rPr>
                <w:sz w:val="20"/>
                <w:szCs w:val="20"/>
                <w:color w:val="auto"/>
              </w:rPr>
            </w:pPr>
            <w:r>
              <w:rPr>
                <w:rFonts w:ascii="Arial" w:cs="Arial" w:eastAsia="Arial" w:hAnsi="Arial"/>
                <w:sz w:val="12"/>
                <w:szCs w:val="12"/>
                <w:b w:val="1"/>
                <w:bCs w:val="1"/>
                <w:color w:val="auto"/>
              </w:rPr>
              <w:t>Shares Outstanding</w:t>
            </w:r>
          </w:p>
        </w:tc>
        <w:tc>
          <w:tcPr>
            <w:tcW w:w="0" w:type="dxa"/>
            <w:vAlign w:val="bottom"/>
          </w:tcPr>
          <w:p>
            <w:pPr>
              <w:spacing w:after="0"/>
              <w:rPr>
                <w:sz w:val="1"/>
                <w:szCs w:val="1"/>
                <w:color w:val="auto"/>
              </w:rPr>
            </w:pPr>
          </w:p>
        </w:tc>
      </w:tr>
      <w:tr>
        <w:trPr>
          <w:trHeight w:val="20"/>
        </w:trPr>
        <w:tc>
          <w:tcPr>
            <w:tcW w:w="680" w:type="dxa"/>
            <w:vAlign w:val="bottom"/>
            <w:tcBorders>
              <w:bottom w:val="single" w:sz="8" w:color="CCEEFF"/>
            </w:tcBorders>
          </w:tcPr>
          <w:p>
            <w:pPr>
              <w:spacing w:after="0" w:line="20" w:lineRule="exact"/>
              <w:rPr>
                <w:sz w:val="1"/>
                <w:szCs w:val="1"/>
                <w:color w:val="auto"/>
              </w:rPr>
            </w:pPr>
          </w:p>
        </w:tc>
        <w:tc>
          <w:tcPr>
            <w:tcW w:w="140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CCEEFF"/>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CCEEFF"/>
            </w:tcBorders>
          </w:tcPr>
          <w:p>
            <w:pPr>
              <w:spacing w:after="0" w:line="20" w:lineRule="exact"/>
              <w:rPr>
                <w:sz w:val="1"/>
                <w:szCs w:val="1"/>
                <w:color w:val="auto"/>
              </w:rPr>
            </w:pPr>
          </w:p>
        </w:tc>
        <w:tc>
          <w:tcPr>
            <w:tcW w:w="38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CCEEFF"/>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2014</w:t>
            </w:r>
          </w:p>
        </w:tc>
        <w:tc>
          <w:tcPr>
            <w:tcW w:w="140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22,750</w:t>
            </w:r>
          </w:p>
        </w:tc>
        <w:tc>
          <w:tcPr>
            <w:tcW w:w="880" w:type="dxa"/>
            <w:vAlign w:val="bottom"/>
            <w:shd w:val="clear" w:color="auto" w:fill="CCEEFF"/>
          </w:tcPr>
          <w:p>
            <w:pPr>
              <w:spacing w:after="0"/>
              <w:rPr>
                <w:sz w:val="17"/>
                <w:szCs w:val="17"/>
                <w:color w:val="auto"/>
              </w:rPr>
            </w:pPr>
          </w:p>
        </w:tc>
        <w:tc>
          <w:tcPr>
            <w:tcW w:w="1760" w:type="dxa"/>
            <w:vAlign w:val="bottom"/>
            <w:gridSpan w:val="2"/>
            <w:shd w:val="clear" w:color="auto" w:fill="CCEEFF"/>
          </w:tcPr>
          <w:p>
            <w:pPr>
              <w:jc w:val="right"/>
              <w:ind w:right="380"/>
              <w:spacing w:after="0" w:line="196" w:lineRule="exact"/>
              <w:rPr>
                <w:sz w:val="20"/>
                <w:szCs w:val="20"/>
                <w:color w:val="auto"/>
              </w:rPr>
            </w:pPr>
            <w:r>
              <w:rPr>
                <w:rFonts w:ascii="Arial" w:cs="Arial" w:eastAsia="Arial" w:hAnsi="Arial"/>
                <w:sz w:val="18"/>
                <w:szCs w:val="18"/>
                <w:color w:val="auto"/>
              </w:rPr>
              <w:t>4.53%</w:t>
            </w:r>
          </w:p>
        </w:tc>
        <w:tc>
          <w:tcPr>
            <w:tcW w:w="38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26,578</w:t>
            </w:r>
          </w:p>
        </w:tc>
        <w:tc>
          <w:tcPr>
            <w:tcW w:w="880" w:type="dxa"/>
            <w:vAlign w:val="bottom"/>
            <w:shd w:val="clear" w:color="auto" w:fill="CCEEFF"/>
          </w:tcPr>
          <w:p>
            <w:pPr>
              <w:spacing w:after="0"/>
              <w:rPr>
                <w:sz w:val="17"/>
                <w:szCs w:val="17"/>
                <w:color w:val="auto"/>
              </w:rPr>
            </w:pPr>
          </w:p>
        </w:tc>
        <w:tc>
          <w:tcPr>
            <w:tcW w:w="1440" w:type="dxa"/>
            <w:vAlign w:val="bottom"/>
            <w:gridSpan w:val="2"/>
            <w:shd w:val="clear" w:color="auto" w:fill="CCEEFF"/>
          </w:tcPr>
          <w:p>
            <w:pPr>
              <w:jc w:val="right"/>
              <w:ind w:right="60"/>
              <w:spacing w:after="0" w:line="196" w:lineRule="exact"/>
              <w:rPr>
                <w:sz w:val="20"/>
                <w:szCs w:val="20"/>
                <w:color w:val="auto"/>
              </w:rPr>
            </w:pPr>
            <w:r>
              <w:rPr>
                <w:rFonts w:ascii="Arial" w:cs="Arial" w:eastAsia="Arial" w:hAnsi="Arial"/>
                <w:sz w:val="18"/>
                <w:szCs w:val="18"/>
                <w:color w:val="auto"/>
              </w:rPr>
              <w:t>5.29%</w:t>
            </w:r>
          </w:p>
        </w:tc>
        <w:tc>
          <w:tcPr>
            <w:tcW w:w="0" w:type="dxa"/>
            <w:vAlign w:val="bottom"/>
          </w:tcPr>
          <w:p>
            <w:pPr>
              <w:spacing w:after="0"/>
              <w:rPr>
                <w:sz w:val="1"/>
                <w:szCs w:val="1"/>
                <w:color w:val="auto"/>
              </w:rPr>
            </w:pPr>
          </w:p>
        </w:tc>
      </w:t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2013</w:t>
            </w:r>
          </w:p>
        </w:tc>
        <w:tc>
          <w:tcPr>
            <w:tcW w:w="1980" w:type="dxa"/>
            <w:vAlign w:val="bottom"/>
            <w:gridSpan w:val="2"/>
          </w:tcPr>
          <w:p>
            <w:pPr>
              <w:jc w:val="right"/>
              <w:spacing w:after="0"/>
              <w:rPr>
                <w:sz w:val="20"/>
                <w:szCs w:val="20"/>
                <w:color w:val="auto"/>
              </w:rPr>
            </w:pPr>
            <w:r>
              <w:rPr>
                <w:rFonts w:ascii="Arial" w:cs="Arial" w:eastAsia="Arial" w:hAnsi="Arial"/>
                <w:sz w:val="18"/>
                <w:szCs w:val="18"/>
                <w:color w:val="auto"/>
              </w:rPr>
              <w:t>14,411</w:t>
            </w:r>
          </w:p>
        </w:tc>
        <w:tc>
          <w:tcPr>
            <w:tcW w:w="2640" w:type="dxa"/>
            <w:vAlign w:val="bottom"/>
            <w:gridSpan w:val="3"/>
          </w:tcPr>
          <w:p>
            <w:pPr>
              <w:jc w:val="right"/>
              <w:ind w:right="380"/>
              <w:spacing w:after="0"/>
              <w:rPr>
                <w:sz w:val="20"/>
                <w:szCs w:val="20"/>
                <w:color w:val="auto"/>
              </w:rPr>
            </w:pPr>
            <w:r>
              <w:rPr>
                <w:rFonts w:ascii="Arial" w:cs="Arial" w:eastAsia="Arial" w:hAnsi="Arial"/>
                <w:sz w:val="18"/>
                <w:szCs w:val="18"/>
                <w:color w:val="auto"/>
              </w:rPr>
              <w:t>2.60%</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21,781</w:t>
            </w:r>
          </w:p>
        </w:tc>
        <w:tc>
          <w:tcPr>
            <w:tcW w:w="2320" w:type="dxa"/>
            <w:vAlign w:val="bottom"/>
            <w:gridSpan w:val="3"/>
          </w:tcPr>
          <w:p>
            <w:pPr>
              <w:jc w:val="right"/>
              <w:ind w:right="60"/>
              <w:spacing w:after="0"/>
              <w:rPr>
                <w:sz w:val="20"/>
                <w:szCs w:val="20"/>
                <w:color w:val="auto"/>
              </w:rPr>
            </w:pPr>
            <w:r>
              <w:rPr>
                <w:rFonts w:ascii="Arial" w:cs="Arial" w:eastAsia="Arial" w:hAnsi="Arial"/>
                <w:sz w:val="18"/>
                <w:szCs w:val="18"/>
                <w:color w:val="auto"/>
              </w:rPr>
              <w:t>3.92%</w:t>
            </w:r>
          </w:p>
        </w:tc>
        <w:tc>
          <w:tcPr>
            <w:tcW w:w="0" w:type="dxa"/>
            <w:vAlign w:val="bottom"/>
          </w:tcPr>
          <w:p>
            <w:pPr>
              <w:spacing w:after="0"/>
              <w:rPr>
                <w:sz w:val="1"/>
                <w:szCs w:val="1"/>
                <w:color w:val="auto"/>
              </w:rPr>
            </w:pPr>
          </w:p>
        </w:tc>
      </w:tr>
      <w:tr>
        <w:trPr>
          <w:trHeight w:val="216"/>
        </w:trPr>
        <w:tc>
          <w:tcPr>
            <w:tcW w:w="680" w:type="dxa"/>
            <w:vAlign w:val="bottom"/>
            <w:shd w:val="clear" w:color="auto" w:fill="CCEEFF"/>
          </w:tcPr>
          <w:p>
            <w:pPr>
              <w:spacing w:after="0"/>
              <w:rPr>
                <w:sz w:val="20"/>
                <w:szCs w:val="20"/>
                <w:color w:val="auto"/>
              </w:rPr>
            </w:pPr>
            <w:r>
              <w:rPr>
                <w:rFonts w:ascii="Arial" w:cs="Arial" w:eastAsia="Arial" w:hAnsi="Arial"/>
                <w:sz w:val="18"/>
                <w:szCs w:val="18"/>
                <w:color w:val="auto"/>
              </w:rPr>
              <w:t>2012</w:t>
            </w:r>
          </w:p>
        </w:tc>
        <w:tc>
          <w:tcPr>
            <w:tcW w:w="1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13,503</w:t>
            </w:r>
          </w:p>
        </w:tc>
        <w:tc>
          <w:tcPr>
            <w:tcW w:w="26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2.22%</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20,380</w:t>
            </w:r>
          </w:p>
        </w:tc>
        <w:tc>
          <w:tcPr>
            <w:tcW w:w="23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3.35%</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firstLine="456"/>
        <w:spacing w:after="0" w:line="370" w:lineRule="auto"/>
        <w:rPr>
          <w:sz w:val="20"/>
          <w:szCs w:val="20"/>
          <w:color w:val="auto"/>
        </w:rPr>
      </w:pPr>
      <w:r>
        <w:rPr>
          <w:rFonts w:ascii="Arial" w:cs="Arial" w:eastAsia="Arial" w:hAnsi="Arial"/>
          <w:sz w:val="15"/>
          <w:szCs w:val="15"/>
          <w:color w:val="auto"/>
        </w:rPr>
        <w:t>In the event of a restatement of our financial results, where a bonus was paid to the CEO and/or the CFO based on financial results that were subject to the restatement and there is finding by a majority of the disinterested members of our board of directors at the time of the restatement that the restatement was due, in</w:t>
      </w:r>
    </w:p>
    <w:p>
      <w:pPr>
        <w:spacing w:after="0" w:line="4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80"/>
          </w:cols>
          <w:pgMar w:left="240" w:top="459" w:right="27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98" w:lineRule="auto"/>
        <w:rPr>
          <w:sz w:val="20"/>
          <w:szCs w:val="20"/>
          <w:color w:val="auto"/>
        </w:rPr>
      </w:pPr>
      <w:r>
        <w:rPr>
          <w:rFonts w:ascii="Arial" w:cs="Arial" w:eastAsia="Arial" w:hAnsi="Arial"/>
          <w:sz w:val="16"/>
          <w:szCs w:val="16"/>
          <w:color w:val="auto"/>
        </w:rPr>
        <w:t>whole or in part, to the gross recklessness or intentional misconduct of either the CEO or CFO,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CEO and/or CFO, as applicable. This policy shall apply in addition to any right of recoupment against the CEO and the CFO under Section 304 of the Sarbanes-Oxley Act of 2002.</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90"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Our board of directors has established equity ownership guidelines for our executive officers designed to encourage long-term stock ownership and more closely link their interests with those of our other shareholders. These guidelines were amended in March 2012 to provide that, within a five-year period, executive officers should have actual ownership of common shares equal in value to six times the annual base salary for the CEO and two times their respective annual base salary for the other named executive officers. Our board of directors reviews progress against these guidelines annually and updates them as appropriate. Each of our currently employed named executive officers has either satisfied these ownership guidelines or has time remaining to do so as of the date of this proxy statement.</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w:t>
      </w:r>
    </w:p>
    <w:p>
      <w:pPr>
        <w:spacing w:after="0" w:line="90" w:lineRule="exact"/>
        <w:rPr>
          <w:sz w:val="20"/>
          <w:szCs w:val="20"/>
          <w:color w:val="auto"/>
        </w:rPr>
      </w:pPr>
    </w:p>
    <w:p>
      <w:pPr>
        <w:jc w:val="both"/>
        <w:ind w:right="380" w:firstLine="456"/>
        <w:spacing w:after="0" w:line="259"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In fiscal 2014, the ECC engaged Mercer. Mercer serves at the discretion of the ECC to provide analysis, advice and guidance with respect to compensation.</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During fiscal year 2013, the Securities and Exchange Commission (SEC) issued new rules under the Dodd-Frank Act concerning compensation consultant independence. Under these rules the ECC must determine whether any work completed by a compensation consultant raised any conflict of interest after taking into account six independence-related factors. For fiscal 2014, the ECC has reviewed these six factors in their totality as they apply to Mercer and determined that no conflict of interest exists.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Section 162(m) of the Code places a $1 million limit on the amount of compensation we can deduct in any one year for compensation paid to the CEO and each of the three other most highly-compensated executive officers employed by us at the end of the year (other than our CFO). The ECC considers the potential effects of Section 162(m) on the compensation paid to our named executive officers.</w:t>
      </w:r>
    </w:p>
    <w:p>
      <w:pPr>
        <w:spacing w:after="0" w:line="14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We have determined that, for fiscal 2014, the compensation earned by each of our named executive officers is deductible by us under Section 162(m), except for a portion of the compensation earned by Dr. S. Sutardja and Ms. Dai that was in excess of $1 million.</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While we cannot predict how the $1 million deduction limit may impact our executive compensation program in future years, the ECC intends to maintain an approach to executive compensation that strongly links pay to performance. While the ECC had not adopted a formal policy regarding the tax deductibility of the compensation paid to our CEO and other named executive officers for fiscal 2014, the ECC intends to review the tax deductibility under Section 162(m) of executive compensation. However, the ECC may, in its judgment, authorize and pay compensation that does not satisfy the requirements of this or any of the other exemptions to the $1 million deduction limit when it believes that such compensation is necessary and appropriate to attract and retain key executives. In fiscal 2011, we obtained approval for a plan intended to comply with Section 162(m) and established a fiscal 2014 incentive compensation program to qualify under Section 162(m). Going forward, compensation decisions related to non-equity bonuses will be designed to qualify under Section 162(m), with the exception of any discretionary awards that the ECC believes are necessary and appropriate to reward and retain the named executive officers.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Insider Trading/Anti-Hedging</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All employees, officers and directors of, and consultants and contractors to, Marvell or any of its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40"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To ensure compliance with the policy and applicable federal and state securities laws, all individuals subject to the policy must refrain from the purchase or sale of our securities except in designated trading windows.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1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None of our named executive officers had a Rule 10b5-1 plan in effect at April 1, 2014.</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2015 Compensation Program Decisions</w:t>
      </w:r>
    </w:p>
    <w:p>
      <w:pPr>
        <w:spacing w:after="0" w:line="96" w:lineRule="exact"/>
        <w:rPr>
          <w:sz w:val="20"/>
          <w:szCs w:val="20"/>
          <w:color w:val="auto"/>
        </w:rPr>
      </w:pPr>
    </w:p>
    <w:p>
      <w:pPr>
        <w:ind w:right="60" w:firstLine="456"/>
        <w:spacing w:after="0" w:line="323" w:lineRule="auto"/>
        <w:rPr>
          <w:sz w:val="20"/>
          <w:szCs w:val="20"/>
          <w:color w:val="auto"/>
        </w:rPr>
      </w:pPr>
      <w:r>
        <w:rPr>
          <w:rFonts w:ascii="Arial" w:cs="Arial" w:eastAsia="Arial" w:hAnsi="Arial"/>
          <w:sz w:val="15"/>
          <w:szCs w:val="15"/>
          <w:color w:val="auto"/>
        </w:rPr>
        <w:t>For fiscal 2015, the ECC intends to continue in its efforts to improve the named executive officer compensation program and ensure appropriate reward for the achievement of strategic goals. The ECC determined to retain elements of the fiscal 2014 named executive officer compensation program that already promote strong pay for performance alignment, such as the overall compensation philosophy as discussed above and the annual incentive plan linked to company financial performance, but made changes for fiscal 2015 to certain compensation program elements such as the peer group and the long-term incentive awards.</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2015 Peer Group Revision</w:t>
      </w:r>
    </w:p>
    <w:p>
      <w:pPr>
        <w:spacing w:after="0" w:line="90"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For purposes fiscal 2015 compensation decisions, the ECC responded to shareholder feedback by reviewing its pre-existing peer group for alignment with companies that are similar in revenue, industry segment and/or which compete with us for talent. Following its review, the ECC made changes to the peer group, as described below. In addition, the ECC acknowledges that the peer group should continue to evolve in tandem with Marvell’s evolving size, performance, and business strategy. As a result, the ECC will continue monitoring the peer group to ensure that peers are similar in terms of revenue, industry segment and/or competition for talent. The ECC utilized competitive market compensation data based on the practices of the revised peer group to guide fiscal 2015 pay decisions:</w:t>
      </w:r>
    </w:p>
    <w:p>
      <w:pPr>
        <w:sectPr>
          <w:pgSz w:w="11900" w:h="16838" w:orient="portrait"/>
          <w:cols w:equalWidth="0" w:num="1">
            <w:col w:w="11420"/>
          </w:cols>
          <w:pgMar w:left="240" w:top="459" w:right="239" w:bottom="1440" w:gutter="0" w:footer="0" w:header="0"/>
        </w:sectPr>
      </w:pPr>
    </w:p>
    <w:p>
      <w:pPr>
        <w:spacing w:after="0" w:line="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Peer Group for Fiscal 2015</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6"/>
              </w:rPr>
              <w:t>Status for Fiscal</w:t>
            </w:r>
          </w:p>
        </w:tc>
      </w:tr>
      <w:tr>
        <w:trPr>
          <w:trHeight w:val="161"/>
        </w:trPr>
        <w:tc>
          <w:tcPr>
            <w:tcW w:w="2600" w:type="dxa"/>
            <w:vAlign w:val="bottom"/>
            <w:gridSpan w:val="2"/>
          </w:tcPr>
          <w:p>
            <w:pPr>
              <w:ind w:left="20"/>
              <w:spacing w:after="0"/>
              <w:rPr>
                <w:sz w:val="20"/>
                <w:szCs w:val="20"/>
                <w:color w:val="auto"/>
              </w:rPr>
            </w:pPr>
            <w:r>
              <w:rPr>
                <w:rFonts w:ascii="Arial" w:cs="Arial" w:eastAsia="Arial" w:hAnsi="Arial"/>
                <w:sz w:val="14"/>
                <w:szCs w:val="14"/>
                <w:b w:val="1"/>
                <w:bCs w:val="1"/>
                <w:color w:val="auto"/>
              </w:rPr>
              <w:t>Company</w:t>
            </w:r>
          </w:p>
        </w:tc>
        <w:tc>
          <w:tcPr>
            <w:tcW w:w="440" w:type="dxa"/>
            <w:vAlign w:val="bottom"/>
          </w:tcPr>
          <w:p>
            <w:pPr>
              <w:spacing w:after="0"/>
              <w:rPr>
                <w:sz w:val="14"/>
                <w:szCs w:val="14"/>
                <w:color w:val="auto"/>
              </w:rPr>
            </w:pPr>
          </w:p>
        </w:tc>
        <w:tc>
          <w:tcPr>
            <w:tcW w:w="10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2015 Peer Group</w:t>
            </w:r>
          </w:p>
        </w:tc>
      </w:tr>
      <w:tr>
        <w:trPr>
          <w:trHeight w:val="201"/>
        </w:trPr>
        <w:tc>
          <w:tcPr>
            <w:tcW w:w="600" w:type="dxa"/>
            <w:vAlign w:val="bottom"/>
            <w:tcBorders>
              <w:top w:val="single" w:sz="8" w:color="auto"/>
            </w:tcBorders>
          </w:tcPr>
          <w:p>
            <w:pPr>
              <w:ind w:left="20"/>
              <w:spacing w:after="0" w:line="201" w:lineRule="exact"/>
              <w:rPr>
                <w:sz w:val="20"/>
                <w:szCs w:val="20"/>
                <w:color w:val="auto"/>
              </w:rPr>
            </w:pPr>
            <w:r>
              <w:rPr>
                <w:rFonts w:ascii="Arial" w:cs="Arial" w:eastAsia="Arial" w:hAnsi="Arial"/>
                <w:sz w:val="18"/>
                <w:szCs w:val="18"/>
                <w:color w:val="auto"/>
              </w:rPr>
              <w:t>Adobe</w:t>
            </w:r>
          </w:p>
        </w:tc>
        <w:tc>
          <w:tcPr>
            <w:tcW w:w="2000" w:type="dxa"/>
            <w:vAlign w:val="bottom"/>
          </w:tcPr>
          <w:p>
            <w:pPr>
              <w:spacing w:after="0" w:line="201" w:lineRule="exact"/>
              <w:rPr>
                <w:sz w:val="20"/>
                <w:szCs w:val="20"/>
                <w:color w:val="auto"/>
              </w:rPr>
            </w:pPr>
            <w:r>
              <w:rPr>
                <w:rFonts w:ascii="Arial" w:cs="Arial" w:eastAsia="Arial" w:hAnsi="Arial"/>
                <w:sz w:val="18"/>
                <w:szCs w:val="18"/>
                <w:color w:val="auto"/>
              </w:rPr>
              <w:t>Systems Incorporated</w:t>
            </w:r>
          </w:p>
        </w:tc>
        <w:tc>
          <w:tcPr>
            <w:tcW w:w="440" w:type="dxa"/>
            <w:vAlign w:val="bottom"/>
          </w:tcPr>
          <w:p>
            <w:pPr>
              <w:spacing w:after="0"/>
              <w:rPr>
                <w:sz w:val="17"/>
                <w:szCs w:val="17"/>
                <w:color w:val="auto"/>
              </w:rPr>
            </w:pPr>
          </w:p>
        </w:tc>
        <w:tc>
          <w:tcPr>
            <w:tcW w:w="1040" w:type="dxa"/>
            <w:vAlign w:val="bottom"/>
            <w:tcBorders>
              <w:top w:val="single" w:sz="8" w:color="auto"/>
            </w:tcBorders>
          </w:tcPr>
          <w:p>
            <w:pPr>
              <w:jc w:val="center"/>
              <w:spacing w:after="0" w:line="201" w:lineRule="exact"/>
              <w:rPr>
                <w:sz w:val="20"/>
                <w:szCs w:val="20"/>
                <w:color w:val="auto"/>
              </w:rPr>
            </w:pPr>
            <w:r>
              <w:rPr>
                <w:rFonts w:ascii="Arial" w:cs="Arial" w:eastAsia="Arial" w:hAnsi="Arial"/>
                <w:sz w:val="18"/>
                <w:szCs w:val="18"/>
                <w:color w:val="auto"/>
                <w:w w:val="83"/>
              </w:rPr>
              <w:t>Remained Peer</w:t>
            </w:r>
          </w:p>
        </w:tc>
        <w:tc>
          <w:tcPr>
            <w:tcW w:w="20" w:type="dxa"/>
            <w:vAlign w:val="bottom"/>
          </w:tcPr>
          <w:p>
            <w:pPr>
              <w:spacing w:after="0"/>
              <w:rPr>
                <w:sz w:val="17"/>
                <w:szCs w:val="17"/>
                <w:color w:val="auto"/>
              </w:rPr>
            </w:pP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Advanced Micro Devices,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Altera Corporation</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Analog Devices,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Broadcom Corporation</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Juniper Networks,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LSI Corporation</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NetApp,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NVIDIA Corporation</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16"/>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Xilinx, Inc.</w:t>
            </w:r>
          </w:p>
        </w:tc>
        <w:tc>
          <w:tcPr>
            <w:tcW w:w="1500" w:type="dxa"/>
            <w:vAlign w:val="bottom"/>
            <w:gridSpan w:val="3"/>
          </w:tcPr>
          <w:p>
            <w:pPr>
              <w:jc w:val="center"/>
              <w:ind w:left="352"/>
              <w:spacing w:after="0"/>
              <w:rPr>
                <w:sz w:val="20"/>
                <w:szCs w:val="20"/>
                <w:color w:val="auto"/>
              </w:rPr>
            </w:pPr>
            <w:r>
              <w:rPr>
                <w:rFonts w:ascii="Arial" w:cs="Arial" w:eastAsia="Arial" w:hAnsi="Arial"/>
                <w:sz w:val="18"/>
                <w:szCs w:val="18"/>
                <w:color w:val="auto"/>
                <w:w w:val="84"/>
              </w:rPr>
              <w:t>Remained Peer</w:t>
            </w:r>
          </w:p>
        </w:tc>
      </w:tr>
      <w:tr>
        <w:trPr>
          <w:trHeight w:val="222"/>
        </w:trPr>
        <w:tc>
          <w:tcPr>
            <w:tcW w:w="2600" w:type="dxa"/>
            <w:vAlign w:val="bottom"/>
            <w:gridSpan w:val="2"/>
          </w:tcPr>
          <w:p>
            <w:pPr>
              <w:ind w:left="20"/>
              <w:spacing w:after="0"/>
              <w:rPr>
                <w:sz w:val="20"/>
                <w:szCs w:val="20"/>
                <w:color w:val="auto"/>
              </w:rPr>
            </w:pPr>
            <w:r>
              <w:rPr>
                <w:rFonts w:ascii="Arial" w:cs="Arial" w:eastAsia="Arial" w:hAnsi="Arial"/>
                <w:sz w:val="18"/>
                <w:szCs w:val="18"/>
                <w:color w:val="auto"/>
              </w:rPr>
              <w:t>QUALCOMM Incorporated</w:t>
            </w:r>
          </w:p>
        </w:tc>
        <w:tc>
          <w:tcPr>
            <w:tcW w:w="440" w:type="dxa"/>
            <w:vAlign w:val="bottom"/>
          </w:tcPr>
          <w:p>
            <w:pPr>
              <w:spacing w:after="0"/>
              <w:rPr>
                <w:sz w:val="19"/>
                <w:szCs w:val="19"/>
                <w:color w:val="auto"/>
              </w:rPr>
            </w:pPr>
          </w:p>
        </w:tc>
        <w:tc>
          <w:tcPr>
            <w:tcW w:w="1060" w:type="dxa"/>
            <w:vAlign w:val="bottom"/>
            <w:gridSpan w:val="2"/>
          </w:tcPr>
          <w:p>
            <w:pPr>
              <w:jc w:val="center"/>
              <w:ind w:right="20"/>
              <w:spacing w:after="0"/>
              <w:rPr>
                <w:sz w:val="20"/>
                <w:szCs w:val="20"/>
                <w:color w:val="auto"/>
              </w:rPr>
            </w:pPr>
            <w:r>
              <w:rPr>
                <w:rFonts w:ascii="Arial" w:cs="Arial" w:eastAsia="Arial" w:hAnsi="Arial"/>
                <w:sz w:val="18"/>
                <w:szCs w:val="18"/>
                <w:color w:val="auto"/>
                <w:w w:val="88"/>
              </w:rPr>
              <w:t>Removed</w:t>
            </w:r>
          </w:p>
        </w:tc>
      </w:tr>
      <w:tr>
        <w:trPr>
          <w:trHeight w:val="324"/>
        </w:trPr>
        <w:tc>
          <w:tcPr>
            <w:tcW w:w="2600" w:type="dxa"/>
            <w:vAlign w:val="bottom"/>
            <w:gridSpan w:val="2"/>
          </w:tcPr>
          <w:p>
            <w:pPr>
              <w:ind w:left="240"/>
              <w:spacing w:after="0"/>
              <w:rPr>
                <w:sz w:val="20"/>
                <w:szCs w:val="20"/>
                <w:color w:val="auto"/>
              </w:rPr>
            </w:pPr>
            <w:r>
              <w:rPr>
                <w:rFonts w:ascii="Arial" w:cs="Arial" w:eastAsia="Arial" w:hAnsi="Arial"/>
                <w:sz w:val="18"/>
                <w:szCs w:val="18"/>
                <w:i w:val="1"/>
                <w:iCs w:val="1"/>
                <w:color w:val="auto"/>
              </w:rPr>
              <w:t>Fiscal 2015 Salaries</w:t>
            </w:r>
          </w:p>
        </w:tc>
        <w:tc>
          <w:tcPr>
            <w:tcW w:w="4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b w:val="1"/>
          <w:bCs w:val="1"/>
          <w:color w:val="auto"/>
        </w:rPr>
        <w:t>Description of Fiscal 2015 Peer Group</w:t>
      </w:r>
    </w:p>
    <w:p>
      <w:pPr>
        <w:spacing w:after="0" w:line="21" w:lineRule="exact"/>
        <w:rPr>
          <w:sz w:val="20"/>
          <w:szCs w:val="20"/>
          <w:color w:val="auto"/>
        </w:rPr>
      </w:pPr>
    </w:p>
    <w:p>
      <w:pPr>
        <w:ind w:left="400" w:right="560" w:hanging="314"/>
        <w:spacing w:after="0" w:line="302" w:lineRule="auto"/>
        <w:tabs>
          <w:tab w:leader="none" w:pos="400" w:val="left"/>
        </w:tabs>
        <w:numPr>
          <w:ilvl w:val="0"/>
          <w:numId w:val="74"/>
        </w:numPr>
        <w:rPr>
          <w:rFonts w:ascii="Arial" w:cs="Arial" w:eastAsia="Arial" w:hAnsi="Arial"/>
          <w:sz w:val="16"/>
          <w:szCs w:val="16"/>
          <w:color w:val="auto"/>
        </w:rPr>
      </w:pPr>
      <w:r>
        <w:rPr>
          <w:rFonts w:ascii="Arial" w:cs="Arial" w:eastAsia="Arial" w:hAnsi="Arial"/>
          <w:sz w:val="16"/>
          <w:szCs w:val="16"/>
          <w:color w:val="auto"/>
        </w:rPr>
        <w:t>Consists of semiconductor companies and other similarly-sized companies in the technology industry the executive compensation committee believed to be generally comparable to us in terms of revenue, EBITDA margin and market value.</w:t>
      </w:r>
    </w:p>
    <w:p>
      <w:pPr>
        <w:spacing w:after="0" w:line="14" w:lineRule="exact"/>
        <w:rPr>
          <w:rFonts w:ascii="Arial" w:cs="Arial" w:eastAsia="Arial" w:hAnsi="Arial"/>
          <w:sz w:val="16"/>
          <w:szCs w:val="16"/>
          <w:color w:val="auto"/>
        </w:rPr>
      </w:pPr>
    </w:p>
    <w:p>
      <w:pPr>
        <w:ind w:left="400" w:right="220" w:hanging="314"/>
        <w:spacing w:after="0" w:line="325" w:lineRule="auto"/>
        <w:tabs>
          <w:tab w:leader="none" w:pos="400" w:val="left"/>
        </w:tabs>
        <w:numPr>
          <w:ilvl w:val="0"/>
          <w:numId w:val="74"/>
        </w:numPr>
        <w:rPr>
          <w:rFonts w:ascii="Arial" w:cs="Arial" w:eastAsia="Arial" w:hAnsi="Arial"/>
          <w:sz w:val="16"/>
          <w:szCs w:val="16"/>
          <w:color w:val="auto"/>
        </w:rPr>
      </w:pPr>
      <w:r>
        <w:rPr>
          <w:rFonts w:ascii="Arial" w:cs="Arial" w:eastAsia="Arial" w:hAnsi="Arial"/>
          <w:sz w:val="16"/>
          <w:szCs w:val="16"/>
          <w:color w:val="auto"/>
        </w:rPr>
        <w:t>Includes companies that the executive compensation committee recognizes are similar to us in terms of industry segment and/or which compete with us for talent.</w:t>
      </w:r>
    </w:p>
    <w:p>
      <w:pPr>
        <w:spacing w:after="0" w:line="1" w:lineRule="exact"/>
        <w:rPr>
          <w:rFonts w:ascii="Arial" w:cs="Arial" w:eastAsia="Arial" w:hAnsi="Arial"/>
          <w:sz w:val="16"/>
          <w:szCs w:val="16"/>
          <w:color w:val="auto"/>
        </w:rPr>
      </w:pPr>
    </w:p>
    <w:p>
      <w:pPr>
        <w:ind w:left="400" w:right="440" w:hanging="314"/>
        <w:spacing w:after="0" w:line="259" w:lineRule="auto"/>
        <w:tabs>
          <w:tab w:leader="none" w:pos="4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executive compensation committee believed that this peer group is useful for calibrating compensation levels, corporate performance, and appropriate performance metrics.</w:t>
      </w:r>
    </w:p>
    <w:p>
      <w:pPr>
        <w:spacing w:after="0" w:line="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2014 Peers Removed from Peer Group</w:t>
      </w:r>
    </w:p>
    <w:p>
      <w:pPr>
        <w:spacing w:after="0" w:line="21" w:lineRule="exact"/>
        <w:rPr>
          <w:sz w:val="20"/>
          <w:szCs w:val="20"/>
          <w:color w:val="auto"/>
        </w:rPr>
      </w:pPr>
    </w:p>
    <w:p>
      <w:pPr>
        <w:ind w:left="400" w:right="240" w:hanging="314"/>
        <w:spacing w:after="0" w:line="261" w:lineRule="auto"/>
        <w:tabs>
          <w:tab w:leader="none" w:pos="4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Removed Qualcomm Inc. due to concerns over company’s current size relative to that of Marvell.</w:t>
      </w:r>
    </w:p>
    <w:p>
      <w:pPr>
        <w:spacing w:after="0" w:line="705" w:lineRule="exact"/>
        <w:rPr>
          <w:sz w:val="20"/>
          <w:szCs w:val="20"/>
          <w:color w:val="auto"/>
        </w:rPr>
      </w:pPr>
    </w:p>
    <w:p>
      <w:pPr>
        <w:sectPr>
          <w:pgSz w:w="11900" w:h="16838" w:orient="portrait"/>
          <w:cols w:equalWidth="0" w:num="2">
            <w:col w:w="4100" w:space="460"/>
            <w:col w:w="6860"/>
          </w:cols>
          <w:pgMar w:left="240" w:top="459" w:right="239" w:bottom="1440" w:gutter="0" w:footer="0" w:header="0"/>
          <w:type w:val="continuous"/>
        </w:sectPr>
      </w:pPr>
    </w:p>
    <w:p>
      <w:pPr>
        <w:ind w:right="280" w:firstLine="456"/>
        <w:spacing w:after="0" w:line="294" w:lineRule="auto"/>
        <w:rPr>
          <w:sz w:val="20"/>
          <w:szCs w:val="20"/>
          <w:color w:val="auto"/>
        </w:rPr>
      </w:pPr>
      <w:r>
        <w:rPr>
          <w:rFonts w:ascii="Arial" w:cs="Arial" w:eastAsia="Arial" w:hAnsi="Arial"/>
          <w:sz w:val="16"/>
          <w:szCs w:val="16"/>
          <w:color w:val="auto"/>
        </w:rPr>
        <w:t>Following the year-end assessment of officer and company performance, a study of officer compensation relative to the peer companies and a review of shareholder feedback, the ECC decided that there would be no salary increase for the CEO for fiscal 2015. Base salaries for Ms. Dai, Mr. Rashkin and Dr. Wu were adjusted to $560,000, $400,000 and $400,000 respectively, to reflect their new roles within the organization. The new salaries for Ms Dai and Dr. Wu are effective April 1, 2014 consistent with salary increase effective dates for the broader employee population. The new salary for Mr. Rashkin is effective February 2, 2014 (the first day of fiscal 2015) as his prior salary had not reflected his transition from a part-time to full-time role.</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2015 Annual Incentive Plan</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In response to shareholder feedback, the ECC continues to align executive pay with company performance. Similar to the fiscal 2014 plan, the fiscal 2015 annual incentive plan for executive officers will be funded based on achievement of revenue and modified non-GAAP operating income goals. The fiscal 2015 incentive plan is intended to qualify under Section 162(m).</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target and maximum amount of awards payable for each of our named executive officers is set forth in the table below:</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3780" w:type="dxa"/>
            <w:vAlign w:val="bottom"/>
            <w:gridSpan w:val="2"/>
          </w:tcPr>
          <w:p>
            <w:pPr>
              <w:spacing w:after="0"/>
              <w:rPr>
                <w:sz w:val="20"/>
                <w:szCs w:val="20"/>
                <w:color w:val="auto"/>
              </w:rPr>
            </w:pPr>
            <w:r>
              <w:rPr>
                <w:rFonts w:ascii="Arial" w:cs="Arial" w:eastAsia="Arial" w:hAnsi="Arial"/>
                <w:sz w:val="14"/>
                <w:szCs w:val="14"/>
                <w:b w:val="1"/>
                <w:bCs w:val="1"/>
                <w:color w:val="auto"/>
              </w:rPr>
              <w:t>Executive</w:t>
            </w:r>
          </w:p>
        </w:tc>
        <w:tc>
          <w:tcPr>
            <w:tcW w:w="1360" w:type="dxa"/>
            <w:vAlign w:val="bottom"/>
            <w:gridSpan w:val="2"/>
          </w:tcPr>
          <w:p>
            <w:pPr>
              <w:spacing w:after="0"/>
              <w:rPr>
                <w:sz w:val="20"/>
                <w:szCs w:val="20"/>
                <w:color w:val="auto"/>
              </w:rPr>
            </w:pPr>
            <w:r>
              <w:rPr>
                <w:rFonts w:ascii="Arial" w:cs="Arial" w:eastAsia="Arial" w:hAnsi="Arial"/>
                <w:sz w:val="14"/>
                <w:szCs w:val="14"/>
                <w:b w:val="1"/>
                <w:bCs w:val="1"/>
                <w:color w:val="auto"/>
                <w:w w:val="84"/>
              </w:rPr>
              <w:t>Fiscal 2015 Base Salary</w:t>
            </w:r>
          </w:p>
        </w:tc>
        <w:tc>
          <w:tcPr>
            <w:tcW w:w="6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000" w:type="dxa"/>
            <w:vAlign w:val="bottom"/>
            <w:gridSpan w:val="3"/>
          </w:tcPr>
          <w:p>
            <w:pPr>
              <w:ind w:left="60"/>
              <w:spacing w:after="0"/>
              <w:rPr>
                <w:sz w:val="20"/>
                <w:szCs w:val="20"/>
                <w:color w:val="auto"/>
              </w:rPr>
            </w:pPr>
            <w:r>
              <w:rPr>
                <w:rFonts w:ascii="Arial" w:cs="Arial" w:eastAsia="Arial" w:hAnsi="Arial"/>
                <w:sz w:val="14"/>
                <w:szCs w:val="14"/>
                <w:b w:val="1"/>
                <w:bCs w:val="1"/>
                <w:color w:val="auto"/>
              </w:rPr>
              <w:t>Target Annual Incentive Opportunity</w:t>
            </w:r>
          </w:p>
        </w:tc>
        <w:tc>
          <w:tcPr>
            <w:tcW w:w="2540" w:type="dxa"/>
            <w:vAlign w:val="bottom"/>
            <w:gridSpan w:val="4"/>
          </w:tcPr>
          <w:p>
            <w:pPr>
              <w:ind w:left="40"/>
              <w:spacing w:after="0"/>
              <w:rPr>
                <w:sz w:val="20"/>
                <w:szCs w:val="20"/>
                <w:color w:val="auto"/>
              </w:rPr>
            </w:pPr>
            <w:r>
              <w:rPr>
                <w:rFonts w:ascii="Arial" w:cs="Arial" w:eastAsia="Arial" w:hAnsi="Arial"/>
                <w:sz w:val="14"/>
                <w:szCs w:val="14"/>
                <w:b w:val="1"/>
                <w:bCs w:val="1"/>
                <w:color w:val="auto"/>
                <w:w w:val="93"/>
              </w:rPr>
              <w:t>Maximum Annual Incentive Opportunity</w:t>
            </w:r>
          </w:p>
        </w:tc>
      </w:tr>
      <w:tr>
        <w:trPr>
          <w:trHeight w:val="20"/>
        </w:trPr>
        <w:tc>
          <w:tcPr>
            <w:tcW w:w="600" w:type="dxa"/>
            <w:vAlign w:val="bottom"/>
            <w:tcBorders>
              <w:top w:val="single" w:sz="8" w:color="auto"/>
              <w:bottom w:val="single" w:sz="8" w:color="CCEEFF"/>
            </w:tcBorders>
          </w:tcPr>
          <w:p>
            <w:pPr>
              <w:spacing w:after="0" w:line="20" w:lineRule="exact"/>
              <w:rPr>
                <w:sz w:val="1"/>
                <w:szCs w:val="1"/>
                <w:color w:val="auto"/>
              </w:rPr>
            </w:pPr>
          </w:p>
        </w:tc>
        <w:tc>
          <w:tcPr>
            <w:tcW w:w="3180" w:type="dxa"/>
            <w:vAlign w:val="bottom"/>
            <w:tcBorders>
              <w:bottom w:val="single" w:sz="8" w:color="CCEEFF"/>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r>
      <w:tr>
        <w:trPr>
          <w:trHeight w:val="197"/>
        </w:trPr>
        <w:tc>
          <w:tcPr>
            <w:tcW w:w="37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color w:val="auto"/>
              </w:rPr>
              <w:t>Dr. S. Sutardja</w:t>
            </w:r>
          </w:p>
        </w:tc>
        <w:tc>
          <w:tcPr>
            <w:tcW w:w="4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850,000</w:t>
            </w: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87"/>
              </w:rPr>
              <w:t>1,275,000</w:t>
            </w:r>
          </w:p>
        </w:tc>
        <w:tc>
          <w:tcPr>
            <w:tcW w:w="16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88"/>
              </w:rPr>
              <w:t>(150% of Base Salary)</w:t>
            </w: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84"/>
              </w:rPr>
              <w:t>2,550,000</w:t>
            </w:r>
          </w:p>
        </w:tc>
        <w:tc>
          <w:tcPr>
            <w:tcW w:w="1620" w:type="dxa"/>
            <w:vAlign w:val="bottom"/>
            <w:shd w:val="clear" w:color="auto" w:fill="CCEEFF"/>
          </w:tcPr>
          <w:p>
            <w:pPr>
              <w:ind w:left="40"/>
              <w:spacing w:after="0" w:line="196" w:lineRule="exact"/>
              <w:rPr>
                <w:sz w:val="20"/>
                <w:szCs w:val="20"/>
                <w:color w:val="auto"/>
              </w:rPr>
            </w:pPr>
            <w:r>
              <w:rPr>
                <w:rFonts w:ascii="Arial" w:cs="Arial" w:eastAsia="Arial" w:hAnsi="Arial"/>
                <w:sz w:val="18"/>
                <w:szCs w:val="18"/>
                <w:color w:val="auto"/>
                <w:w w:val="86"/>
              </w:rPr>
              <w:t>(300% of Base Salary)</w:t>
            </w:r>
          </w:p>
        </w:tc>
        <w:tc>
          <w:tcPr>
            <w:tcW w:w="100" w:type="dxa"/>
            <w:vAlign w:val="bottom"/>
            <w:shd w:val="clear" w:color="auto" w:fill="CCEEFF"/>
          </w:tcPr>
          <w:p>
            <w:pPr>
              <w:spacing w:after="0"/>
              <w:rPr>
                <w:sz w:val="17"/>
                <w:szCs w:val="17"/>
                <w:color w:val="auto"/>
              </w:rPr>
            </w:pPr>
          </w:p>
        </w:tc>
      </w:tr>
      <w:tr>
        <w:trPr>
          <w:trHeight w:val="216"/>
        </w:trPr>
        <w:tc>
          <w:tcPr>
            <w:tcW w:w="3780" w:type="dxa"/>
            <w:vAlign w:val="bottom"/>
            <w:gridSpan w:val="2"/>
          </w:tcPr>
          <w:p>
            <w:pPr>
              <w:spacing w:after="0"/>
              <w:rPr>
                <w:sz w:val="20"/>
                <w:szCs w:val="20"/>
                <w:color w:val="auto"/>
              </w:rPr>
            </w:pPr>
            <w:r>
              <w:rPr>
                <w:rFonts w:ascii="Arial" w:cs="Arial" w:eastAsia="Arial" w:hAnsi="Arial"/>
                <w:sz w:val="18"/>
                <w:szCs w:val="18"/>
                <w:color w:val="auto"/>
              </w:rPr>
              <w:t>Ms. Dai</w:t>
            </w:r>
          </w:p>
        </w:tc>
        <w:tc>
          <w:tcPr>
            <w:tcW w:w="440" w:type="dxa"/>
            <w:vAlign w:val="bottom"/>
          </w:tcPr>
          <w:p>
            <w:pPr>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560,000</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448,000</w:t>
            </w:r>
          </w:p>
        </w:tc>
        <w:tc>
          <w:tcPr>
            <w:tcW w:w="2260" w:type="dxa"/>
            <w:vAlign w:val="bottom"/>
            <w:gridSpan w:val="2"/>
          </w:tcPr>
          <w:p>
            <w:pPr>
              <w:jc w:val="right"/>
              <w:ind w:right="640"/>
              <w:spacing w:after="0"/>
              <w:rPr>
                <w:sz w:val="20"/>
                <w:szCs w:val="20"/>
                <w:color w:val="auto"/>
              </w:rPr>
            </w:pPr>
            <w:r>
              <w:rPr>
                <w:rFonts w:ascii="Arial" w:cs="Arial" w:eastAsia="Arial" w:hAnsi="Arial"/>
                <w:sz w:val="18"/>
                <w:szCs w:val="18"/>
                <w:color w:val="auto"/>
                <w:w w:val="94"/>
              </w:rPr>
              <w:t>(80% of Base Salary)</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896,000</w:t>
            </w:r>
          </w:p>
        </w:tc>
        <w:tc>
          <w:tcPr>
            <w:tcW w:w="1720" w:type="dxa"/>
            <w:vAlign w:val="bottom"/>
            <w:gridSpan w:val="2"/>
          </w:tcPr>
          <w:p>
            <w:pPr>
              <w:ind w:left="40"/>
              <w:spacing w:after="0"/>
              <w:rPr>
                <w:sz w:val="20"/>
                <w:szCs w:val="20"/>
                <w:color w:val="auto"/>
              </w:rPr>
            </w:pPr>
            <w:r>
              <w:rPr>
                <w:rFonts w:ascii="Arial" w:cs="Arial" w:eastAsia="Arial" w:hAnsi="Arial"/>
                <w:sz w:val="18"/>
                <w:szCs w:val="18"/>
                <w:color w:val="auto"/>
                <w:w w:val="92"/>
              </w:rPr>
              <w:t>(160% of Base Salary)</w:t>
            </w:r>
          </w:p>
        </w:tc>
      </w:tr>
      <w:tr>
        <w:trPr>
          <w:trHeight w:val="216"/>
        </w:trPr>
        <w:tc>
          <w:tcPr>
            <w:tcW w:w="3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Mr. Rashkin</w:t>
            </w:r>
          </w:p>
        </w:tc>
        <w:tc>
          <w:tcPr>
            <w:tcW w:w="4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200,000</w:t>
            </w:r>
          </w:p>
        </w:tc>
        <w:tc>
          <w:tcPr>
            <w:tcW w:w="22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94"/>
              </w:rPr>
              <w:t>(50% of Base Salary)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172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w w:val="92"/>
              </w:rPr>
              <w:t>(100% of Base Salary)</w:t>
            </w:r>
          </w:p>
        </w:tc>
      </w:tr>
      <w:tr>
        <w:trPr>
          <w:trHeight w:val="222"/>
        </w:trPr>
        <w:tc>
          <w:tcPr>
            <w:tcW w:w="3780" w:type="dxa"/>
            <w:vAlign w:val="bottom"/>
            <w:gridSpan w:val="2"/>
          </w:tcPr>
          <w:p>
            <w:pPr>
              <w:spacing w:after="0"/>
              <w:rPr>
                <w:sz w:val="20"/>
                <w:szCs w:val="20"/>
                <w:color w:val="auto"/>
              </w:rPr>
            </w:pPr>
            <w:r>
              <w:rPr>
                <w:rFonts w:ascii="Arial" w:cs="Arial" w:eastAsia="Arial" w:hAnsi="Arial"/>
                <w:sz w:val="18"/>
                <w:szCs w:val="18"/>
                <w:color w:val="auto"/>
              </w:rPr>
              <w:t>Dr. Wu</w:t>
            </w:r>
          </w:p>
        </w:tc>
        <w:tc>
          <w:tcPr>
            <w:tcW w:w="440" w:type="dxa"/>
            <w:vAlign w:val="bottom"/>
          </w:tcPr>
          <w:p>
            <w:pPr>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400,000</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200,000</w:t>
            </w:r>
          </w:p>
        </w:tc>
        <w:tc>
          <w:tcPr>
            <w:tcW w:w="2260" w:type="dxa"/>
            <w:vAlign w:val="bottom"/>
            <w:gridSpan w:val="2"/>
          </w:tcPr>
          <w:p>
            <w:pPr>
              <w:jc w:val="right"/>
              <w:ind w:right="640"/>
              <w:spacing w:after="0"/>
              <w:rPr>
                <w:sz w:val="20"/>
                <w:szCs w:val="20"/>
                <w:color w:val="auto"/>
              </w:rPr>
            </w:pPr>
            <w:r>
              <w:rPr>
                <w:rFonts w:ascii="Arial" w:cs="Arial" w:eastAsia="Arial" w:hAnsi="Arial"/>
                <w:sz w:val="18"/>
                <w:szCs w:val="18"/>
                <w:color w:val="auto"/>
                <w:w w:val="94"/>
              </w:rPr>
              <w:t>(50% of Base Salary)</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400,000</w:t>
            </w:r>
          </w:p>
        </w:tc>
        <w:tc>
          <w:tcPr>
            <w:tcW w:w="1720" w:type="dxa"/>
            <w:vAlign w:val="bottom"/>
            <w:gridSpan w:val="2"/>
          </w:tcPr>
          <w:p>
            <w:pPr>
              <w:ind w:left="40"/>
              <w:spacing w:after="0"/>
              <w:rPr>
                <w:sz w:val="20"/>
                <w:szCs w:val="20"/>
                <w:color w:val="auto"/>
              </w:rPr>
            </w:pPr>
            <w:r>
              <w:rPr>
                <w:rFonts w:ascii="Arial" w:cs="Arial" w:eastAsia="Arial" w:hAnsi="Arial"/>
                <w:sz w:val="18"/>
                <w:szCs w:val="18"/>
                <w:color w:val="auto"/>
                <w:w w:val="92"/>
              </w:rPr>
              <w:t>(100% of Base Salary)</w:t>
            </w:r>
          </w:p>
        </w:tc>
      </w:tr>
      <w:tr>
        <w:trPr>
          <w:trHeight w:val="356"/>
        </w:trPr>
        <w:tc>
          <w:tcPr>
            <w:tcW w:w="600" w:type="dxa"/>
            <w:vAlign w:val="bottom"/>
          </w:tcPr>
          <w:p>
            <w:pPr>
              <w:spacing w:after="0"/>
              <w:rPr>
                <w:sz w:val="24"/>
                <w:szCs w:val="24"/>
                <w:color w:val="auto"/>
              </w:rPr>
            </w:pPr>
          </w:p>
        </w:tc>
        <w:tc>
          <w:tcPr>
            <w:tcW w:w="3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-38-</w:t>
            </w:r>
          </w:p>
        </w:tc>
        <w:tc>
          <w:tcPr>
            <w:tcW w:w="7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type w:val="continuous"/>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2015 Long-Term Incentive Awards</w:t>
      </w:r>
    </w:p>
    <w:p>
      <w:pPr>
        <w:spacing w:after="0" w:line="9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Marvell’s compensation packages are designed to ensure that a substantial portion of named executive officer compensation is linked to incentivizing and rewarding the increase of our market capitalization through sustained company performance and share price growth. For fiscal 2015 and in response to shareholder feedback, the ECC currently intends to accomplish this objective by granting equity awards to named executive officers as follows:</w:t>
      </w:r>
    </w:p>
    <w:p>
      <w:pPr>
        <w:spacing w:after="0" w:line="26" w:lineRule="exact"/>
        <w:rPr>
          <w:sz w:val="20"/>
          <w:szCs w:val="20"/>
          <w:color w:val="auto"/>
        </w:rPr>
      </w:pPr>
    </w:p>
    <w:p>
      <w:pPr>
        <w:ind w:left="900" w:right="220" w:hanging="325"/>
        <w:spacing w:after="0" w:line="268" w:lineRule="auto"/>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75% as performance-contingent equity awards with potential vesting of tranches on April 1, 2015 and April 1, 2016 subject to achievement of pre-determined company goals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25% as stock options with equal vesting on each of April 1, 2017 and April 1, 2018</w:t>
      </w:r>
    </w:p>
    <w:p>
      <w:pPr>
        <w:spacing w:after="0" w:line="171" w:lineRule="exact"/>
        <w:rPr>
          <w:sz w:val="20"/>
          <w:szCs w:val="20"/>
          <w:color w:val="auto"/>
        </w:rPr>
      </w:pPr>
    </w:p>
    <w:p>
      <w:pPr>
        <w:jc w:val="both"/>
        <w:ind w:right="220" w:firstLine="456"/>
        <w:spacing w:after="0" w:line="306" w:lineRule="auto"/>
        <w:rPr>
          <w:sz w:val="20"/>
          <w:szCs w:val="20"/>
          <w:color w:val="auto"/>
        </w:rPr>
      </w:pPr>
      <w:r>
        <w:rPr>
          <w:rFonts w:ascii="Arial" w:cs="Arial" w:eastAsia="Arial" w:hAnsi="Arial"/>
          <w:sz w:val="16"/>
          <w:szCs w:val="16"/>
          <w:color w:val="auto"/>
        </w:rPr>
        <w:t>The ECC has not yet completed the fiscal 2015 long-term incentive award decision making process, but intends for the awards to focus named executive officers on achieving key company financial and strategic goals to drive long-term value creation. As detailed above, a large majority of the fiscal 2015 equity awards will be subject to performance-contingent vesting measured according to the following metrics:</w:t>
      </w:r>
    </w:p>
    <w:p>
      <w:pPr>
        <w:spacing w:after="0" w:line="26" w:lineRule="exact"/>
        <w:rPr>
          <w:sz w:val="20"/>
          <w:szCs w:val="20"/>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Revenue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Modified Non-GAAP Operating Income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Strategic Objectives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Each of the stock option and performance-contingent equity awards are to be made pursuant to the 1995 Stock Plan.</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ECC for fiscal 2014 consisted of the following members: Dr. Gromer, Dr. Kassakian, Mr. Krueger and Dr. Thakur, who was appointed to the ECC on March 21, 2013.</w:t>
      </w:r>
    </w:p>
    <w:p>
      <w:pPr>
        <w:spacing w:after="0" w:line="132"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ECC has reviewed and discussed the Compensation Discussion and Analysis required by Item 402(b) of Regulation S-K with management. Based on such review and discussions, the ECC has recommended to our board of directors that the Compensation Discussion and Analysis be included in our Annual Report on Form 10-K for the fiscal year ended February 1, 2014 and this proxy statement.</w:t>
      </w:r>
    </w:p>
    <w:p>
      <w:pPr>
        <w:spacing w:after="0" w:line="14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Respectfully submitted by the members of the ECC of our board of directors:</w:t>
      </w:r>
    </w:p>
    <w:p>
      <w:pPr>
        <w:spacing w:after="0" w:line="17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 (Chair)</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Arturo Krueger</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Randhir Thakur</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2014, 2013 and 2012</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Change in</w:t>
            </w: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Pension Value</w:t>
            </w:r>
          </w:p>
        </w:tc>
        <w:tc>
          <w:tcPr>
            <w:tcW w:w="8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0"/>
              </w:rPr>
              <w:t>and</w:t>
            </w:r>
          </w:p>
        </w:tc>
        <w:tc>
          <w:tcPr>
            <w:tcW w:w="8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Nonqualified</w:t>
            </w:r>
          </w:p>
        </w:tc>
        <w:tc>
          <w:tcPr>
            <w:tcW w:w="8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1"/>
              </w:rPr>
              <w:t>Non-Equity</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Deferred</w:t>
            </w:r>
          </w:p>
        </w:tc>
        <w:tc>
          <w:tcPr>
            <w:tcW w:w="8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4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rPr>
              <w:t>Stock</w:t>
            </w:r>
          </w:p>
        </w:tc>
        <w:tc>
          <w:tcPr>
            <w:tcW w:w="9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Option</w:t>
            </w:r>
          </w:p>
        </w:tc>
        <w:tc>
          <w:tcPr>
            <w:tcW w:w="11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Incentive Plan</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30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1"/>
              </w:rPr>
              <w:t>All Other</w:t>
            </w: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2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 Position</w:t>
            </w:r>
          </w:p>
        </w:tc>
        <w:tc>
          <w:tcPr>
            <w:tcW w:w="180" w:type="dxa"/>
            <w:vAlign w:val="bottom"/>
          </w:tcPr>
          <w:p>
            <w:pPr>
              <w:spacing w:after="0"/>
              <w:rPr>
                <w:sz w:val="12"/>
                <w:szCs w:val="12"/>
                <w:color w:val="auto"/>
              </w:rPr>
            </w:pPr>
          </w:p>
        </w:tc>
        <w:tc>
          <w:tcPr>
            <w:tcW w:w="3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0"/>
              </w:rPr>
              <w:t>Fiscal</w:t>
            </w:r>
          </w:p>
        </w:tc>
        <w:tc>
          <w:tcPr>
            <w:tcW w:w="120" w:type="dxa"/>
            <w:vAlign w:val="bottom"/>
          </w:tcPr>
          <w:p>
            <w:pPr>
              <w:spacing w:after="0"/>
              <w:rPr>
                <w:sz w:val="12"/>
                <w:szCs w:val="12"/>
                <w:color w:val="auto"/>
              </w:rPr>
            </w:pPr>
          </w:p>
        </w:tc>
        <w:tc>
          <w:tcPr>
            <w:tcW w:w="90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Salary</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Bonus</w:t>
            </w:r>
          </w:p>
        </w:tc>
        <w:tc>
          <w:tcPr>
            <w:tcW w:w="84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98"/>
              </w:rPr>
              <w:t>Awards</w:t>
            </w:r>
          </w:p>
        </w:tc>
        <w:tc>
          <w:tcPr>
            <w:tcW w:w="9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6"/>
              </w:rPr>
              <w:t>Awards</w:t>
            </w:r>
          </w:p>
        </w:tc>
        <w:tc>
          <w:tcPr>
            <w:tcW w:w="11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0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6"/>
              </w:rPr>
              <w:t>Earnings</w:t>
            </w:r>
          </w:p>
        </w:tc>
        <w:tc>
          <w:tcPr>
            <w:tcW w:w="13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tcPr>
          <w:p>
            <w:pPr>
              <w:jc w:val="right"/>
              <w:ind w:right="192"/>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8"/>
        </w:trPr>
        <w:tc>
          <w:tcPr>
            <w:tcW w:w="3280" w:type="dxa"/>
            <w:vAlign w:val="bottom"/>
            <w:gridSpan w:val="3"/>
            <w:vMerge w:val="continue"/>
          </w:tcPr>
          <w:p>
            <w:pPr>
              <w:spacing w:after="0"/>
              <w:rPr>
                <w:sz w:val="12"/>
                <w:szCs w:val="12"/>
                <w:color w:val="auto"/>
              </w:rPr>
            </w:pPr>
          </w:p>
        </w:tc>
        <w:tc>
          <w:tcPr>
            <w:tcW w:w="180" w:type="dxa"/>
            <w:vAlign w:val="bottom"/>
          </w:tcPr>
          <w:p>
            <w:pPr>
              <w:spacing w:after="0"/>
              <w:rPr>
                <w:sz w:val="12"/>
                <w:szCs w:val="12"/>
                <w:color w:val="auto"/>
              </w:rPr>
            </w:pPr>
          </w:p>
        </w:tc>
        <w:tc>
          <w:tcPr>
            <w:tcW w:w="34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92"/>
              </w:rPr>
              <w:t>Year</w:t>
            </w:r>
          </w:p>
        </w:tc>
        <w:tc>
          <w:tcPr>
            <w:tcW w:w="600" w:type="dxa"/>
            <w:vAlign w:val="bottom"/>
            <w:gridSpan w:val="2"/>
          </w:tcPr>
          <w:p>
            <w:pPr>
              <w:jc w:val="right"/>
              <w:ind w:right="92"/>
              <w:spacing w:after="0" w:line="148" w:lineRule="exact"/>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2"/>
                <w:szCs w:val="12"/>
                <w:color w:val="auto"/>
              </w:rPr>
            </w:pPr>
          </w:p>
        </w:tc>
        <w:tc>
          <w:tcPr>
            <w:tcW w:w="420" w:type="dxa"/>
            <w:vAlign w:val="bottom"/>
          </w:tcPr>
          <w:p>
            <w:pPr>
              <w:ind w:left="140"/>
              <w:spacing w:after="0" w:line="148" w:lineRule="exact"/>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2"/>
                <w:szCs w:val="12"/>
                <w:color w:val="auto"/>
              </w:rPr>
            </w:pPr>
          </w:p>
        </w:tc>
        <w:tc>
          <w:tcPr>
            <w:tcW w:w="580" w:type="dxa"/>
            <w:vAlign w:val="bottom"/>
          </w:tcPr>
          <w:p>
            <w:pPr>
              <w:jc w:val="right"/>
              <w:ind w:right="52"/>
              <w:spacing w:after="0" w:line="148" w:lineRule="exact"/>
              <w:rPr>
                <w:sz w:val="20"/>
                <w:szCs w:val="20"/>
                <w:color w:val="auto"/>
              </w:rPr>
            </w:pPr>
            <w:r>
              <w:rPr>
                <w:rFonts w:ascii="Arial" w:cs="Arial" w:eastAsia="Arial" w:hAnsi="Arial"/>
                <w:sz w:val="14"/>
                <w:szCs w:val="14"/>
                <w:b w:val="1"/>
                <w:bCs w:val="1"/>
                <w:color w:val="auto"/>
              </w:rPr>
              <w:t>($)(1)</w:t>
            </w:r>
          </w:p>
        </w:tc>
        <w:tc>
          <w:tcPr>
            <w:tcW w:w="260" w:type="dxa"/>
            <w:vAlign w:val="bottom"/>
          </w:tcPr>
          <w:p>
            <w:pPr>
              <w:spacing w:after="0"/>
              <w:rPr>
                <w:sz w:val="12"/>
                <w:szCs w:val="12"/>
                <w:color w:val="auto"/>
              </w:rPr>
            </w:pPr>
          </w:p>
        </w:tc>
        <w:tc>
          <w:tcPr>
            <w:tcW w:w="6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($)(2)(3)</w:t>
            </w:r>
          </w:p>
        </w:tc>
        <w:tc>
          <w:tcPr>
            <w:tcW w:w="240" w:type="dxa"/>
            <w:vAlign w:val="bottom"/>
          </w:tcPr>
          <w:p>
            <w:pPr>
              <w:spacing w:after="0"/>
              <w:rPr>
                <w:sz w:val="12"/>
                <w:szCs w:val="12"/>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($)(4)</w:t>
            </w:r>
          </w:p>
        </w:tc>
        <w:tc>
          <w:tcPr>
            <w:tcW w:w="260" w:type="dxa"/>
            <w:vAlign w:val="bottom"/>
          </w:tcPr>
          <w:p>
            <w:pPr>
              <w:spacing w:after="0"/>
              <w:rPr>
                <w:sz w:val="12"/>
                <w:szCs w:val="12"/>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2"/>
                <w:szCs w:val="12"/>
                <w:color w:val="auto"/>
              </w:rPr>
            </w:pPr>
          </w:p>
        </w:tc>
        <w:tc>
          <w:tcPr>
            <w:tcW w:w="8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460" w:type="dxa"/>
            <w:vAlign w:val="bottom"/>
          </w:tcPr>
          <w:p>
            <w:pPr>
              <w:spacing w:after="0"/>
              <w:rPr>
                <w:sz w:val="12"/>
                <w:szCs w:val="12"/>
                <w:color w:val="auto"/>
              </w:rPr>
            </w:pPr>
          </w:p>
        </w:tc>
        <w:tc>
          <w:tcPr>
            <w:tcW w:w="720" w:type="dxa"/>
            <w:vAlign w:val="bottom"/>
          </w:tcPr>
          <w:p>
            <w:pPr>
              <w:jc w:val="right"/>
              <w:ind w:right="252"/>
              <w:spacing w:after="0" w:line="148"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40" w:type="dxa"/>
            <w:vAlign w:val="bottom"/>
            <w:tcBorders>
              <w:top w:val="single" w:sz="8" w:color="auto"/>
            </w:tcBorders>
            <w:vMerge w:val="restart"/>
            <w:shd w:val="clear" w:color="auto" w:fill="CCEEFF"/>
          </w:tcPr>
          <w:p>
            <w:pPr>
              <w:spacing w:after="0" w:line="155" w:lineRule="exact"/>
              <w:rPr>
                <w:sz w:val="20"/>
                <w:szCs w:val="20"/>
                <w:color w:val="auto"/>
              </w:rPr>
            </w:pPr>
            <w:r>
              <w:rPr>
                <w:rFonts w:ascii="Arial" w:cs="Arial" w:eastAsia="Arial" w:hAnsi="Arial"/>
                <w:sz w:val="14"/>
                <w:szCs w:val="14"/>
                <w:color w:val="auto"/>
              </w:rPr>
              <w:t>Dr. Sehat Sutardja</w:t>
            </w:r>
          </w:p>
        </w:tc>
        <w:tc>
          <w:tcPr>
            <w:tcW w:w="1520" w:type="dxa"/>
            <w:vAlign w:val="bottom"/>
            <w:vMerge w:val="restart"/>
            <w:shd w:val="clear" w:color="auto" w:fill="CCEEFF"/>
          </w:tcPr>
          <w:p>
            <w:pPr>
              <w:spacing w:after="0" w:line="20" w:lineRule="exact"/>
              <w:rPr>
                <w:sz w:val="1"/>
                <w:szCs w:val="1"/>
                <w:color w:val="auto"/>
              </w:rPr>
            </w:pPr>
          </w:p>
        </w:tc>
        <w:tc>
          <w:tcPr>
            <w:tcW w:w="180" w:type="dxa"/>
            <w:vAlign w:val="bottom"/>
            <w:vMerge w:val="restart"/>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20" w:type="dxa"/>
            <w:vAlign w:val="bottom"/>
            <w:vMerge w:val="restart"/>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20" w:type="dxa"/>
            <w:vAlign w:val="bottom"/>
            <w:vMerge w:val="restart"/>
            <w:shd w:val="clear" w:color="auto" w:fill="CCEEFF"/>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260" w:type="dxa"/>
            <w:vAlign w:val="bottom"/>
            <w:vMerge w:val="restart"/>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60" w:type="dxa"/>
            <w:vAlign w:val="bottom"/>
            <w:vMerge w:val="restart"/>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6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460" w:type="dxa"/>
            <w:vAlign w:val="bottom"/>
            <w:shd w:val="clear" w:color="auto" w:fill="CCEEFF"/>
          </w:tcPr>
          <w:p>
            <w:pPr>
              <w:spacing w:after="0" w:line="20" w:lineRule="exact"/>
              <w:rPr>
                <w:sz w:val="1"/>
                <w:szCs w:val="1"/>
                <w:color w:val="auto"/>
              </w:rPr>
            </w:pPr>
          </w:p>
        </w:tc>
        <w:tc>
          <w:tcPr>
            <w:tcW w:w="7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1740" w:type="dxa"/>
            <w:vAlign w:val="bottom"/>
            <w:vMerge w:val="continue"/>
            <w:shd w:val="clear" w:color="auto" w:fill="CCEEFF"/>
          </w:tcPr>
          <w:p>
            <w:pPr>
              <w:spacing w:after="0"/>
              <w:rPr>
                <w:sz w:val="11"/>
                <w:szCs w:val="11"/>
                <w:color w:val="auto"/>
              </w:rPr>
            </w:pPr>
          </w:p>
        </w:tc>
        <w:tc>
          <w:tcPr>
            <w:tcW w:w="1520" w:type="dxa"/>
            <w:vAlign w:val="bottom"/>
            <w:vMerge w:val="continue"/>
            <w:shd w:val="clear" w:color="auto" w:fill="CCEEFF"/>
          </w:tcPr>
          <w:p>
            <w:pPr>
              <w:spacing w:after="0"/>
              <w:rPr>
                <w:sz w:val="11"/>
                <w:szCs w:val="11"/>
                <w:color w:val="auto"/>
              </w:rPr>
            </w:pPr>
          </w:p>
        </w:tc>
        <w:tc>
          <w:tcPr>
            <w:tcW w:w="180" w:type="dxa"/>
            <w:vAlign w:val="bottom"/>
            <w:vMerge w:val="continue"/>
            <w:shd w:val="clear" w:color="auto" w:fill="CCEEFF"/>
          </w:tcPr>
          <w:p>
            <w:pPr>
              <w:spacing w:after="0"/>
              <w:rPr>
                <w:sz w:val="11"/>
                <w:szCs w:val="11"/>
                <w:color w:val="auto"/>
              </w:rPr>
            </w:pPr>
          </w:p>
        </w:tc>
        <w:tc>
          <w:tcPr>
            <w:tcW w:w="3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2014</w:t>
            </w:r>
          </w:p>
        </w:tc>
        <w:tc>
          <w:tcPr>
            <w:tcW w:w="120" w:type="dxa"/>
            <w:vAlign w:val="bottom"/>
            <w:vMerge w:val="continue"/>
            <w:shd w:val="clear" w:color="auto" w:fill="CCEEFF"/>
          </w:tcPr>
          <w:p>
            <w:pPr>
              <w:spacing w:after="0"/>
              <w:rPr>
                <w:sz w:val="11"/>
                <w:szCs w:val="11"/>
                <w:color w:val="auto"/>
              </w:rPr>
            </w:pPr>
          </w:p>
        </w:tc>
        <w:tc>
          <w:tcPr>
            <w:tcW w:w="480" w:type="dxa"/>
            <w:vAlign w:val="bottom"/>
            <w:shd w:val="clear" w:color="auto" w:fill="CCEEFF"/>
          </w:tcPr>
          <w:p>
            <w:pPr>
              <w:ind w:left="40"/>
              <w:spacing w:after="0" w:line="136" w:lineRule="exact"/>
              <w:rPr>
                <w:sz w:val="20"/>
                <w:szCs w:val="20"/>
                <w:color w:val="auto"/>
              </w:rPr>
            </w:pPr>
            <w:r>
              <w:rPr>
                <w:rFonts w:ascii="Arial" w:cs="Arial" w:eastAsia="Arial" w:hAnsi="Arial"/>
                <w:sz w:val="14"/>
                <w:szCs w:val="14"/>
                <w:color w:val="auto"/>
                <w:w w:val="82"/>
              </w:rPr>
              <w:t>850,000</w:t>
            </w:r>
          </w:p>
        </w:tc>
        <w:tc>
          <w:tcPr>
            <w:tcW w:w="420" w:type="dxa"/>
            <w:vAlign w:val="bottom"/>
            <w:vMerge w:val="continue"/>
            <w:shd w:val="clear" w:color="auto" w:fill="CCEEFF"/>
          </w:tcPr>
          <w:p>
            <w:pPr>
              <w:spacing w:after="0"/>
              <w:rPr>
                <w:sz w:val="11"/>
                <w:szCs w:val="11"/>
                <w:color w:val="auto"/>
              </w:rPr>
            </w:pPr>
          </w:p>
        </w:tc>
        <w:tc>
          <w:tcPr>
            <w:tcW w:w="420" w:type="dxa"/>
            <w:vAlign w:val="bottom"/>
            <w:shd w:val="clear" w:color="auto" w:fill="CCEEFF"/>
          </w:tcPr>
          <w:p>
            <w:pPr>
              <w:ind w:left="220"/>
              <w:spacing w:after="0" w:line="136" w:lineRule="exact"/>
              <w:rPr>
                <w:sz w:val="20"/>
                <w:szCs w:val="20"/>
                <w:color w:val="auto"/>
              </w:rPr>
            </w:pPr>
            <w:r>
              <w:rPr>
                <w:rFonts w:ascii="Arial" w:cs="Arial" w:eastAsia="Arial" w:hAnsi="Arial"/>
                <w:sz w:val="14"/>
                <w:szCs w:val="14"/>
                <w:color w:val="auto"/>
              </w:rPr>
              <w:t>—</w:t>
            </w:r>
          </w:p>
        </w:tc>
        <w:tc>
          <w:tcPr>
            <w:tcW w:w="260" w:type="dxa"/>
            <w:vAlign w:val="bottom"/>
            <w:vMerge w:val="continue"/>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2,104,000</w:t>
            </w:r>
          </w:p>
        </w:tc>
        <w:tc>
          <w:tcPr>
            <w:tcW w:w="260" w:type="dxa"/>
            <w:vAlign w:val="bottom"/>
            <w:vMerge w:val="continue"/>
            <w:shd w:val="clear" w:color="auto" w:fill="CCEEFF"/>
          </w:tcPr>
          <w:p>
            <w:pPr>
              <w:spacing w:after="0"/>
              <w:rPr>
                <w:sz w:val="11"/>
                <w:szCs w:val="11"/>
                <w:color w:val="auto"/>
              </w:rPr>
            </w:pPr>
          </w:p>
        </w:tc>
        <w:tc>
          <w:tcPr>
            <w:tcW w:w="6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5,112,450</w:t>
            </w:r>
          </w:p>
        </w:tc>
        <w:tc>
          <w:tcPr>
            <w:tcW w:w="240" w:type="dxa"/>
            <w:vAlign w:val="bottom"/>
            <w:vMerge w:val="continue"/>
            <w:shd w:val="clear" w:color="auto" w:fill="CCEEFF"/>
          </w:tcPr>
          <w:p>
            <w:pPr>
              <w:spacing w:after="0"/>
              <w:rPr>
                <w:sz w:val="11"/>
                <w:szCs w:val="11"/>
                <w:color w:val="auto"/>
              </w:rPr>
            </w:pPr>
          </w:p>
        </w:tc>
        <w:tc>
          <w:tcPr>
            <w:tcW w:w="840" w:type="dxa"/>
            <w:vAlign w:val="bottom"/>
            <w:shd w:val="clear" w:color="auto" w:fill="CCEEFF"/>
          </w:tcPr>
          <w:p>
            <w:pPr>
              <w:ind w:left="640"/>
              <w:spacing w:after="0" w:line="136" w:lineRule="exact"/>
              <w:rPr>
                <w:sz w:val="20"/>
                <w:szCs w:val="20"/>
                <w:color w:val="auto"/>
              </w:rPr>
            </w:pPr>
            <w:r>
              <w:rPr>
                <w:rFonts w:ascii="Arial" w:cs="Arial" w:eastAsia="Arial" w:hAnsi="Arial"/>
                <w:sz w:val="14"/>
                <w:szCs w:val="14"/>
                <w:color w:val="auto"/>
              </w:rPr>
              <w:t>—</w:t>
            </w:r>
          </w:p>
        </w:tc>
        <w:tc>
          <w:tcPr>
            <w:tcW w:w="260" w:type="dxa"/>
            <w:vAlign w:val="bottom"/>
            <w:vMerge w:val="continue"/>
            <w:shd w:val="clear" w:color="auto" w:fill="CCEEFF"/>
          </w:tcPr>
          <w:p>
            <w:pPr>
              <w:spacing w:after="0"/>
              <w:rPr>
                <w:sz w:val="11"/>
                <w:szCs w:val="11"/>
                <w:color w:val="auto"/>
              </w:rPr>
            </w:pPr>
          </w:p>
        </w:tc>
        <w:tc>
          <w:tcPr>
            <w:tcW w:w="840" w:type="dxa"/>
            <w:vAlign w:val="bottom"/>
            <w:shd w:val="clear" w:color="auto" w:fill="CCEEFF"/>
          </w:tcPr>
          <w:p>
            <w:pPr>
              <w:ind w:left="640"/>
              <w:spacing w:after="0" w:line="136" w:lineRule="exact"/>
              <w:rPr>
                <w:sz w:val="20"/>
                <w:szCs w:val="20"/>
                <w:color w:val="auto"/>
              </w:rPr>
            </w:pPr>
            <w:r>
              <w:rPr>
                <w:rFonts w:ascii="Arial" w:cs="Arial" w:eastAsia="Arial" w:hAnsi="Arial"/>
                <w:sz w:val="14"/>
                <w:szCs w:val="14"/>
                <w:color w:val="auto"/>
              </w:rPr>
              <w:t>—</w:t>
            </w:r>
          </w:p>
        </w:tc>
        <w:tc>
          <w:tcPr>
            <w:tcW w:w="220" w:type="dxa"/>
            <w:vAlign w:val="bottom"/>
            <w:vMerge w:val="continue"/>
            <w:shd w:val="clear" w:color="auto" w:fill="CCEEFF"/>
          </w:tcPr>
          <w:p>
            <w:pPr>
              <w:spacing w:after="0"/>
              <w:rPr>
                <w:sz w:val="11"/>
                <w:szCs w:val="11"/>
                <w:color w:val="auto"/>
              </w:rPr>
            </w:pPr>
          </w:p>
        </w:tc>
        <w:tc>
          <w:tcPr>
            <w:tcW w:w="1300" w:type="dxa"/>
            <w:vAlign w:val="bottom"/>
            <w:gridSpan w:val="2"/>
            <w:shd w:val="clear" w:color="auto" w:fill="CCEEFF"/>
          </w:tcPr>
          <w:p>
            <w:pPr>
              <w:jc w:val="right"/>
              <w:ind w:right="300"/>
              <w:spacing w:after="0" w:line="136" w:lineRule="exact"/>
              <w:rPr>
                <w:sz w:val="20"/>
                <w:szCs w:val="20"/>
                <w:color w:val="auto"/>
              </w:rPr>
            </w:pPr>
            <w:r>
              <w:rPr>
                <w:rFonts w:ascii="Arial" w:cs="Arial" w:eastAsia="Arial" w:hAnsi="Arial"/>
                <w:sz w:val="14"/>
                <w:szCs w:val="14"/>
                <w:color w:val="auto"/>
              </w:rPr>
              <w:t>1,603(5)</w:t>
            </w:r>
          </w:p>
        </w:tc>
        <w:tc>
          <w:tcPr>
            <w:tcW w:w="720" w:type="dxa"/>
            <w:vAlign w:val="bottom"/>
            <w:tcBorders>
              <w:right w:val="single" w:sz="8" w:color="CCEEFF"/>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8,068,053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6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Chief Executive Officer</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2013</w:t>
            </w:r>
          </w:p>
        </w:tc>
        <w:tc>
          <w:tcPr>
            <w:tcW w:w="60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w w:val="82"/>
              </w:rPr>
              <w:t>841,346</w:t>
            </w:r>
          </w:p>
        </w:tc>
        <w:tc>
          <w:tcPr>
            <w:tcW w:w="4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89"/>
              </w:rPr>
              <w:t>3,040,000</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8,751,750</w:t>
            </w:r>
          </w:p>
        </w:tc>
        <w:tc>
          <w:tcPr>
            <w:tcW w:w="24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1,517</w:t>
            </w:r>
          </w:p>
        </w:tc>
        <w:tc>
          <w:tcPr>
            <w:tcW w:w="460" w:type="dxa"/>
            <w:vAlign w:val="bottom"/>
            <w:shd w:val="clear" w:color="auto" w:fill="CCEEFF"/>
          </w:tcPr>
          <w:p>
            <w:pPr>
              <w:spacing w:after="0"/>
              <w:rPr>
                <w:sz w:val="12"/>
                <w:szCs w:val="12"/>
                <w:color w:val="auto"/>
              </w:rPr>
            </w:pP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12,634,613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shd w:val="clear" w:color="auto" w:fill="CCEEFF"/>
          </w:tcPr>
          <w:p>
            <w:pPr>
              <w:spacing w:after="0"/>
              <w:rPr>
                <w:sz w:val="12"/>
                <w:szCs w:val="12"/>
                <w:color w:val="auto"/>
              </w:rPr>
            </w:pPr>
          </w:p>
        </w:tc>
        <w:tc>
          <w:tcPr>
            <w:tcW w:w="15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2012</w:t>
            </w:r>
          </w:p>
        </w:tc>
        <w:tc>
          <w:tcPr>
            <w:tcW w:w="60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w w:val="82"/>
              </w:rPr>
              <w:t>783,076</w:t>
            </w:r>
          </w:p>
        </w:tc>
        <w:tc>
          <w:tcPr>
            <w:tcW w:w="4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11,324,040</w:t>
            </w:r>
          </w:p>
        </w:tc>
        <w:tc>
          <w:tcPr>
            <w:tcW w:w="24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180,000</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283,056</w:t>
            </w:r>
          </w:p>
        </w:tc>
        <w:tc>
          <w:tcPr>
            <w:tcW w:w="460" w:type="dxa"/>
            <w:vAlign w:val="bottom"/>
            <w:shd w:val="clear" w:color="auto" w:fill="CCEEFF"/>
          </w:tcPr>
          <w:p>
            <w:pPr>
              <w:spacing w:after="0"/>
              <w:rPr>
                <w:sz w:val="12"/>
                <w:szCs w:val="12"/>
                <w:color w:val="auto"/>
              </w:rPr>
            </w:pP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12,570,172</w:t>
            </w:r>
          </w:p>
        </w:tc>
        <w:tc>
          <w:tcPr>
            <w:tcW w:w="0" w:type="dxa"/>
            <w:vAlign w:val="bottom"/>
          </w:tcPr>
          <w:p>
            <w:pPr>
              <w:spacing w:after="0"/>
              <w:rPr>
                <w:sz w:val="1"/>
                <w:szCs w:val="1"/>
                <w:color w:val="auto"/>
              </w:rPr>
            </w:pPr>
          </w:p>
        </w:tc>
      </w:tr>
      <w:tr>
        <w:trPr>
          <w:trHeight w:val="246"/>
        </w:trPr>
        <w:tc>
          <w:tcPr>
            <w:tcW w:w="3280" w:type="dxa"/>
            <w:vAlign w:val="bottom"/>
            <w:gridSpan w:val="3"/>
          </w:tcPr>
          <w:p>
            <w:pPr>
              <w:spacing w:after="0"/>
              <w:rPr>
                <w:sz w:val="20"/>
                <w:szCs w:val="20"/>
                <w:color w:val="auto"/>
              </w:rPr>
            </w:pPr>
            <w:r>
              <w:rPr>
                <w:rFonts w:ascii="Arial" w:cs="Arial" w:eastAsia="Arial" w:hAnsi="Arial"/>
                <w:sz w:val="14"/>
                <w:szCs w:val="14"/>
                <w:color w:val="auto"/>
              </w:rPr>
              <w:t>Weili Dai (6)</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2014</w:t>
            </w:r>
          </w:p>
        </w:tc>
        <w:tc>
          <w:tcPr>
            <w:tcW w:w="600" w:type="dxa"/>
            <w:vAlign w:val="bottom"/>
            <w:gridSpan w:val="2"/>
          </w:tcPr>
          <w:p>
            <w:pPr>
              <w:ind w:left="160"/>
              <w:spacing w:after="0"/>
              <w:rPr>
                <w:sz w:val="20"/>
                <w:szCs w:val="20"/>
                <w:color w:val="auto"/>
              </w:rPr>
            </w:pPr>
            <w:r>
              <w:rPr>
                <w:rFonts w:ascii="Arial" w:cs="Arial" w:eastAsia="Arial" w:hAnsi="Arial"/>
                <w:sz w:val="14"/>
                <w:szCs w:val="14"/>
                <w:color w:val="auto"/>
                <w:w w:val="82"/>
              </w:rPr>
              <w:t>510,000</w:t>
            </w:r>
          </w:p>
        </w:tc>
        <w:tc>
          <w:tcPr>
            <w:tcW w:w="420" w:type="dxa"/>
            <w:vAlign w:val="bottom"/>
          </w:tcPr>
          <w:p>
            <w:pPr>
              <w:spacing w:after="0"/>
              <w:rPr>
                <w:sz w:val="21"/>
                <w:szCs w:val="21"/>
                <w:color w:val="auto"/>
              </w:rPr>
            </w:pPr>
          </w:p>
        </w:tc>
        <w:tc>
          <w:tcPr>
            <w:tcW w:w="680" w:type="dxa"/>
            <w:vAlign w:val="bottom"/>
            <w:gridSpan w:val="2"/>
          </w:tcPr>
          <w:p>
            <w:pPr>
              <w:ind w:left="220"/>
              <w:spacing w:after="0"/>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w w:val="89"/>
              </w:rPr>
              <w:t>1,683,200</w:t>
            </w:r>
          </w:p>
        </w:tc>
        <w:tc>
          <w:tcPr>
            <w:tcW w:w="660" w:type="dxa"/>
            <w:vAlign w:val="bottom"/>
          </w:tcPr>
          <w:p>
            <w:pPr>
              <w:jc w:val="right"/>
              <w:spacing w:after="0"/>
              <w:rPr>
                <w:sz w:val="20"/>
                <w:szCs w:val="20"/>
                <w:color w:val="auto"/>
              </w:rPr>
            </w:pPr>
            <w:r>
              <w:rPr>
                <w:rFonts w:ascii="Arial" w:cs="Arial" w:eastAsia="Arial" w:hAnsi="Arial"/>
                <w:sz w:val="14"/>
                <w:szCs w:val="14"/>
                <w:color w:val="auto"/>
              </w:rPr>
              <w:t>1,533,735</w:t>
            </w:r>
          </w:p>
        </w:tc>
        <w:tc>
          <w:tcPr>
            <w:tcW w:w="240" w:type="dxa"/>
            <w:vAlign w:val="bottom"/>
          </w:tcPr>
          <w:p>
            <w:pPr>
              <w:spacing w:after="0"/>
              <w:rPr>
                <w:sz w:val="21"/>
                <w:szCs w:val="21"/>
                <w:color w:val="auto"/>
              </w:rPr>
            </w:pPr>
          </w:p>
        </w:tc>
        <w:tc>
          <w:tcPr>
            <w:tcW w:w="110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06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300" w:type="dxa"/>
            <w:vAlign w:val="bottom"/>
            <w:gridSpan w:val="2"/>
          </w:tcPr>
          <w:p>
            <w:pPr>
              <w:jc w:val="right"/>
              <w:ind w:right="300"/>
              <w:spacing w:after="0"/>
              <w:rPr>
                <w:sz w:val="20"/>
                <w:szCs w:val="20"/>
                <w:color w:val="auto"/>
              </w:rPr>
            </w:pPr>
            <w:r>
              <w:rPr>
                <w:rFonts w:ascii="Arial" w:cs="Arial" w:eastAsia="Arial" w:hAnsi="Arial"/>
                <w:sz w:val="14"/>
                <w:szCs w:val="14"/>
                <w:color w:val="auto"/>
              </w:rPr>
              <w:t>1,603(7)</w:t>
            </w:r>
          </w:p>
        </w:tc>
        <w:tc>
          <w:tcPr>
            <w:tcW w:w="720" w:type="dxa"/>
            <w:vAlign w:val="bottom"/>
          </w:tcPr>
          <w:p>
            <w:pPr>
              <w:jc w:val="right"/>
              <w:spacing w:after="0"/>
              <w:rPr>
                <w:sz w:val="20"/>
                <w:szCs w:val="20"/>
                <w:color w:val="auto"/>
              </w:rPr>
            </w:pPr>
            <w:r>
              <w:rPr>
                <w:rFonts w:ascii="Arial" w:cs="Arial" w:eastAsia="Arial" w:hAnsi="Arial"/>
                <w:sz w:val="14"/>
                <w:szCs w:val="14"/>
                <w:color w:val="auto"/>
              </w:rPr>
              <w:t>4,359,738</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260" w:type="dxa"/>
            <w:vAlign w:val="bottom"/>
            <w:gridSpan w:val="2"/>
          </w:tcPr>
          <w:p>
            <w:pPr>
              <w:ind w:left="200"/>
              <w:spacing w:after="0"/>
              <w:rPr>
                <w:sz w:val="20"/>
                <w:szCs w:val="20"/>
                <w:color w:val="auto"/>
              </w:rPr>
            </w:pPr>
            <w:r>
              <w:rPr>
                <w:rFonts w:ascii="Arial" w:cs="Arial" w:eastAsia="Arial" w:hAnsi="Arial"/>
                <w:sz w:val="14"/>
                <w:szCs w:val="14"/>
                <w:color w:val="auto"/>
              </w:rPr>
              <w:t>President</w:t>
            </w: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1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1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6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26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 (8)</w:t>
            </w:r>
          </w:p>
        </w:tc>
        <w:tc>
          <w:tcPr>
            <w:tcW w:w="5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2014</w:t>
            </w:r>
          </w:p>
        </w:tc>
        <w:tc>
          <w:tcPr>
            <w:tcW w:w="60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w w:val="82"/>
              </w:rPr>
              <w:t>120,000</w:t>
            </w:r>
          </w:p>
        </w:tc>
        <w:tc>
          <w:tcPr>
            <w:tcW w:w="4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3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2,000(9)</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122,000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6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Chief Financial Officer</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720" w:type="dxa"/>
            <w:vAlign w:val="bottom"/>
            <w:tcBorders>
              <w:right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3280" w:type="dxa"/>
            <w:vAlign w:val="bottom"/>
            <w:gridSpan w:val="3"/>
          </w:tcPr>
          <w:p>
            <w:pPr>
              <w:spacing w:after="0"/>
              <w:rPr>
                <w:sz w:val="20"/>
                <w:szCs w:val="20"/>
                <w:color w:val="auto"/>
              </w:rPr>
            </w:pPr>
            <w:r>
              <w:rPr>
                <w:rFonts w:ascii="Arial" w:cs="Arial" w:eastAsia="Arial" w:hAnsi="Arial"/>
                <w:sz w:val="14"/>
                <w:szCs w:val="14"/>
                <w:color w:val="auto"/>
              </w:rPr>
              <w:t>Dr. Zining Wu (10)</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2014</w:t>
            </w:r>
          </w:p>
        </w:tc>
        <w:tc>
          <w:tcPr>
            <w:tcW w:w="1020" w:type="dxa"/>
            <w:vAlign w:val="bottom"/>
            <w:gridSpan w:val="3"/>
          </w:tcPr>
          <w:p>
            <w:pPr>
              <w:ind w:left="160"/>
              <w:spacing w:after="0"/>
              <w:rPr>
                <w:sz w:val="20"/>
                <w:szCs w:val="20"/>
                <w:color w:val="auto"/>
              </w:rPr>
            </w:pPr>
            <w:r>
              <w:rPr>
                <w:rFonts w:ascii="Arial" w:cs="Arial" w:eastAsia="Arial" w:hAnsi="Arial"/>
                <w:sz w:val="14"/>
                <w:szCs w:val="14"/>
                <w:color w:val="auto"/>
              </w:rPr>
              <w:t>307,911(11)</w:t>
            </w:r>
          </w:p>
        </w:tc>
        <w:tc>
          <w:tcPr>
            <w:tcW w:w="680" w:type="dxa"/>
            <w:vAlign w:val="bottom"/>
            <w:gridSpan w:val="2"/>
          </w:tcPr>
          <w:p>
            <w:pPr>
              <w:ind w:left="220"/>
              <w:spacing w:after="0"/>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rPr>
              <w:t>168,320</w:t>
            </w:r>
          </w:p>
        </w:tc>
        <w:tc>
          <w:tcPr>
            <w:tcW w:w="660" w:type="dxa"/>
            <w:vAlign w:val="bottom"/>
          </w:tcPr>
          <w:p>
            <w:pPr>
              <w:jc w:val="right"/>
              <w:spacing w:after="0"/>
              <w:rPr>
                <w:sz w:val="20"/>
                <w:szCs w:val="20"/>
                <w:color w:val="auto"/>
              </w:rPr>
            </w:pPr>
            <w:r>
              <w:rPr>
                <w:rFonts w:ascii="Arial" w:cs="Arial" w:eastAsia="Arial" w:hAnsi="Arial"/>
                <w:sz w:val="14"/>
                <w:szCs w:val="14"/>
                <w:color w:val="auto"/>
              </w:rPr>
              <w:t>408,996</w:t>
            </w:r>
          </w:p>
        </w:tc>
        <w:tc>
          <w:tcPr>
            <w:tcW w:w="240" w:type="dxa"/>
            <w:vAlign w:val="bottom"/>
          </w:tcPr>
          <w:p>
            <w:pPr>
              <w:spacing w:after="0"/>
              <w:rPr>
                <w:sz w:val="21"/>
                <w:szCs w:val="21"/>
                <w:color w:val="auto"/>
              </w:rPr>
            </w:pPr>
          </w:p>
        </w:tc>
        <w:tc>
          <w:tcPr>
            <w:tcW w:w="110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06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300" w:type="dxa"/>
            <w:vAlign w:val="bottom"/>
            <w:gridSpan w:val="2"/>
          </w:tcPr>
          <w:p>
            <w:pPr>
              <w:jc w:val="right"/>
              <w:ind w:right="220"/>
              <w:spacing w:after="0"/>
              <w:rPr>
                <w:sz w:val="20"/>
                <w:szCs w:val="20"/>
                <w:color w:val="auto"/>
              </w:rPr>
            </w:pPr>
            <w:r>
              <w:rPr>
                <w:rFonts w:ascii="Arial" w:cs="Arial" w:eastAsia="Arial" w:hAnsi="Arial"/>
                <w:sz w:val="14"/>
                <w:szCs w:val="14"/>
                <w:color w:val="auto"/>
              </w:rPr>
              <w:t>47,135(12)</w:t>
            </w:r>
          </w:p>
        </w:tc>
        <w:tc>
          <w:tcPr>
            <w:tcW w:w="720" w:type="dxa"/>
            <w:vAlign w:val="bottom"/>
          </w:tcPr>
          <w:p>
            <w:pPr>
              <w:jc w:val="right"/>
              <w:spacing w:after="0"/>
              <w:rPr>
                <w:sz w:val="20"/>
                <w:szCs w:val="20"/>
                <w:color w:val="auto"/>
              </w:rPr>
            </w:pPr>
            <w:r>
              <w:rPr>
                <w:rFonts w:ascii="Arial" w:cs="Arial" w:eastAsia="Arial" w:hAnsi="Arial"/>
                <w:sz w:val="14"/>
                <w:szCs w:val="14"/>
                <w:color w:val="auto"/>
              </w:rPr>
              <w:t>932,362</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260" w:type="dxa"/>
            <w:vAlign w:val="bottom"/>
            <w:gridSpan w:val="2"/>
          </w:tcPr>
          <w:p>
            <w:pPr>
              <w:ind w:left="200"/>
              <w:spacing w:after="0"/>
              <w:rPr>
                <w:sz w:val="20"/>
                <w:szCs w:val="20"/>
                <w:color w:val="auto"/>
              </w:rPr>
            </w:pPr>
            <w:r>
              <w:rPr>
                <w:rFonts w:ascii="Arial" w:cs="Arial" w:eastAsia="Arial" w:hAnsi="Arial"/>
                <w:sz w:val="14"/>
                <w:szCs w:val="14"/>
                <w:color w:val="auto"/>
              </w:rPr>
              <w:t>Chief Technology Officer</w:t>
            </w: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740" w:type="dxa"/>
            <w:vAlign w:val="bottom"/>
          </w:tcPr>
          <w:p>
            <w:pPr>
              <w:spacing w:after="0"/>
              <w:rPr>
                <w:sz w:val="8"/>
                <w:szCs w:val="8"/>
                <w:color w:val="auto"/>
              </w:rPr>
            </w:pPr>
          </w:p>
        </w:tc>
        <w:tc>
          <w:tcPr>
            <w:tcW w:w="1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1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6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460" w:type="dxa"/>
            <w:vAlign w:val="bottom"/>
          </w:tcPr>
          <w:p>
            <w:pPr>
              <w:spacing w:after="0"/>
              <w:rPr>
                <w:sz w:val="8"/>
                <w:szCs w:val="8"/>
                <w:color w:val="auto"/>
              </w:rPr>
            </w:pPr>
          </w:p>
        </w:tc>
        <w:tc>
          <w:tcPr>
            <w:tcW w:w="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26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 (13)</w:t>
            </w:r>
          </w:p>
        </w:tc>
        <w:tc>
          <w:tcPr>
            <w:tcW w:w="5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2014</w:t>
            </w:r>
          </w:p>
        </w:tc>
        <w:tc>
          <w:tcPr>
            <w:tcW w:w="60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w w:val="82"/>
              </w:rPr>
              <w:t>425,000</w:t>
            </w:r>
          </w:p>
        </w:tc>
        <w:tc>
          <w:tcPr>
            <w:tcW w:w="4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210,400</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511,245</w:t>
            </w:r>
          </w:p>
        </w:tc>
        <w:tc>
          <w:tcPr>
            <w:tcW w:w="24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36,295(14)</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1,182,940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6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w w:val="92"/>
              </w:rPr>
              <w:t>Former Vice President, Chief Technology Officer and</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2013</w:t>
            </w:r>
          </w:p>
        </w:tc>
        <w:tc>
          <w:tcPr>
            <w:tcW w:w="60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w w:val="82"/>
              </w:rPr>
              <w:t>423,442</w:t>
            </w:r>
          </w:p>
        </w:tc>
        <w:tc>
          <w:tcPr>
            <w:tcW w:w="4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638,400</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1,983,730</w:t>
            </w:r>
          </w:p>
        </w:tc>
        <w:tc>
          <w:tcPr>
            <w:tcW w:w="24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3,517</w:t>
            </w:r>
          </w:p>
        </w:tc>
        <w:tc>
          <w:tcPr>
            <w:tcW w:w="460" w:type="dxa"/>
            <w:vAlign w:val="bottom"/>
            <w:shd w:val="clear" w:color="auto" w:fill="CCEEFF"/>
          </w:tcPr>
          <w:p>
            <w:pPr>
              <w:spacing w:after="0"/>
              <w:rPr>
                <w:sz w:val="12"/>
                <w:szCs w:val="12"/>
                <w:color w:val="auto"/>
              </w:rPr>
            </w:pP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3,049,089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6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Chief Research and Development Officer</w:t>
            </w:r>
          </w:p>
        </w:tc>
        <w:tc>
          <w:tcPr>
            <w:tcW w:w="1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2012</w:t>
            </w:r>
          </w:p>
        </w:tc>
        <w:tc>
          <w:tcPr>
            <w:tcW w:w="60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w w:val="82"/>
              </w:rPr>
              <w:t>413,292</w:t>
            </w:r>
          </w:p>
        </w:tc>
        <w:tc>
          <w:tcPr>
            <w:tcW w:w="420" w:type="dxa"/>
            <w:vAlign w:val="bottom"/>
            <w:shd w:val="clear" w:color="auto" w:fill="CCEEFF"/>
          </w:tcPr>
          <w:p>
            <w:pPr>
              <w:spacing w:after="0"/>
              <w:rPr>
                <w:sz w:val="12"/>
                <w:szCs w:val="12"/>
                <w:color w:val="auto"/>
              </w:rPr>
            </w:pPr>
          </w:p>
        </w:tc>
        <w:tc>
          <w:tcPr>
            <w:tcW w:w="680" w:type="dxa"/>
            <w:vAlign w:val="bottom"/>
            <w:gridSpan w:val="2"/>
            <w:shd w:val="clear" w:color="auto" w:fill="CCEEFF"/>
          </w:tcPr>
          <w:p>
            <w:pPr>
              <w:ind w:left="22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2,426,580</w:t>
            </w:r>
          </w:p>
        </w:tc>
        <w:tc>
          <w:tcPr>
            <w:tcW w:w="24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24,960</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156,030</w:t>
            </w:r>
          </w:p>
        </w:tc>
        <w:tc>
          <w:tcPr>
            <w:tcW w:w="460" w:type="dxa"/>
            <w:vAlign w:val="bottom"/>
            <w:shd w:val="clear" w:color="auto" w:fill="CCEEFF"/>
          </w:tcPr>
          <w:p>
            <w:pPr>
              <w:spacing w:after="0"/>
              <w:rPr>
                <w:sz w:val="12"/>
                <w:szCs w:val="12"/>
                <w:color w:val="auto"/>
              </w:rPr>
            </w:pP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3,020,862</w:t>
            </w: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1740" w:type="dxa"/>
            <w:vAlign w:val="bottom"/>
            <w:shd w:val="clear" w:color="auto" w:fill="CCEEFF"/>
          </w:tcPr>
          <w:p>
            <w:pPr>
              <w:spacing w:after="0"/>
              <w:rPr>
                <w:sz w:val="24"/>
                <w:szCs w:val="24"/>
                <w:color w:val="auto"/>
              </w:rPr>
            </w:pPr>
          </w:p>
        </w:tc>
        <w:tc>
          <w:tcPr>
            <w:tcW w:w="15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480" w:type="dxa"/>
            <w:vAlign w:val="bottom"/>
            <w:shd w:val="clear" w:color="auto" w:fill="CCEEFF"/>
          </w:tcPr>
          <w:p>
            <w:pPr>
              <w:spacing w:after="0"/>
              <w:rPr>
                <w:sz w:val="24"/>
                <w:szCs w:val="24"/>
                <w:color w:val="auto"/>
              </w:rPr>
            </w:pPr>
          </w:p>
        </w:tc>
        <w:tc>
          <w:tcPr>
            <w:tcW w:w="420" w:type="dxa"/>
            <w:vAlign w:val="bottom"/>
            <w:shd w:val="clear" w:color="auto" w:fill="CCEEFF"/>
          </w:tcPr>
          <w:p>
            <w:pPr>
              <w:spacing w:after="0"/>
              <w:rPr>
                <w:sz w:val="24"/>
                <w:szCs w:val="24"/>
                <w:color w:val="auto"/>
              </w:rPr>
            </w:pPr>
          </w:p>
        </w:tc>
        <w:tc>
          <w:tcPr>
            <w:tcW w:w="42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58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66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84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8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840" w:type="dxa"/>
            <w:vAlign w:val="bottom"/>
            <w:shd w:val="clear" w:color="auto" w:fill="CCEEFF"/>
          </w:tcPr>
          <w:p>
            <w:pPr>
              <w:spacing w:after="0"/>
              <w:rPr>
                <w:sz w:val="24"/>
                <w:szCs w:val="24"/>
                <w:color w:val="auto"/>
              </w:rPr>
            </w:pPr>
          </w:p>
        </w:tc>
        <w:tc>
          <w:tcPr>
            <w:tcW w:w="460" w:type="dxa"/>
            <w:vAlign w:val="bottom"/>
            <w:shd w:val="clear" w:color="auto" w:fill="CCEEFF"/>
          </w:tcPr>
          <w:p>
            <w:pPr>
              <w:spacing w:after="0"/>
              <w:rPr>
                <w:sz w:val="24"/>
                <w:szCs w:val="24"/>
                <w:color w:val="auto"/>
              </w:rPr>
            </w:pPr>
          </w:p>
        </w:tc>
        <w:tc>
          <w:tcPr>
            <w:tcW w:w="720" w:type="dxa"/>
            <w:vAlign w:val="bottom"/>
            <w:tcBorders>
              <w:right w:val="single" w:sz="8" w:color="CCEEFF"/>
            </w:tcBorders>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6"/>
        </w:trPr>
        <w:tc>
          <w:tcPr>
            <w:tcW w:w="3280" w:type="dxa"/>
            <w:vAlign w:val="bottom"/>
            <w:gridSpan w:val="3"/>
          </w:tcPr>
          <w:p>
            <w:pPr>
              <w:spacing w:after="0"/>
              <w:rPr>
                <w:sz w:val="20"/>
                <w:szCs w:val="20"/>
                <w:color w:val="auto"/>
              </w:rPr>
            </w:pPr>
            <w:r>
              <w:rPr>
                <w:rFonts w:ascii="Arial" w:cs="Arial" w:eastAsia="Arial" w:hAnsi="Arial"/>
                <w:sz w:val="14"/>
                <w:szCs w:val="14"/>
                <w:color w:val="auto"/>
              </w:rPr>
              <w:t>Brad D. Feller (15)</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2014</w:t>
            </w:r>
          </w:p>
        </w:tc>
        <w:tc>
          <w:tcPr>
            <w:tcW w:w="600" w:type="dxa"/>
            <w:vAlign w:val="bottom"/>
            <w:gridSpan w:val="2"/>
          </w:tcPr>
          <w:p>
            <w:pPr>
              <w:ind w:left="160"/>
              <w:spacing w:after="0"/>
              <w:rPr>
                <w:sz w:val="20"/>
                <w:szCs w:val="20"/>
                <w:color w:val="auto"/>
              </w:rPr>
            </w:pPr>
            <w:r>
              <w:rPr>
                <w:rFonts w:ascii="Arial" w:cs="Arial" w:eastAsia="Arial" w:hAnsi="Arial"/>
                <w:sz w:val="14"/>
                <w:szCs w:val="14"/>
                <w:color w:val="auto"/>
                <w:w w:val="82"/>
              </w:rPr>
              <w:t>304,810</w:t>
            </w:r>
          </w:p>
        </w:tc>
        <w:tc>
          <w:tcPr>
            <w:tcW w:w="420" w:type="dxa"/>
            <w:vAlign w:val="bottom"/>
          </w:tcPr>
          <w:p>
            <w:pPr>
              <w:spacing w:after="0"/>
              <w:rPr>
                <w:sz w:val="21"/>
                <w:szCs w:val="21"/>
                <w:color w:val="auto"/>
              </w:rPr>
            </w:pPr>
          </w:p>
        </w:tc>
        <w:tc>
          <w:tcPr>
            <w:tcW w:w="680" w:type="dxa"/>
            <w:vAlign w:val="bottom"/>
            <w:gridSpan w:val="2"/>
          </w:tcPr>
          <w:p>
            <w:pPr>
              <w:ind w:left="220"/>
              <w:spacing w:after="0"/>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60"/>
              <w:spacing w:after="0"/>
              <w:rPr>
                <w:sz w:val="20"/>
                <w:szCs w:val="20"/>
                <w:color w:val="auto"/>
              </w:rPr>
            </w:pPr>
            <w:r>
              <w:rPr>
                <w:rFonts w:ascii="Arial" w:cs="Arial" w:eastAsia="Arial" w:hAnsi="Arial"/>
                <w:sz w:val="14"/>
                <w:szCs w:val="14"/>
                <w:color w:val="auto"/>
              </w:rPr>
              <w:t>42,080</w:t>
            </w:r>
          </w:p>
        </w:tc>
        <w:tc>
          <w:tcPr>
            <w:tcW w:w="660" w:type="dxa"/>
            <w:vAlign w:val="bottom"/>
          </w:tcPr>
          <w:p>
            <w:pPr>
              <w:jc w:val="right"/>
              <w:spacing w:after="0"/>
              <w:rPr>
                <w:sz w:val="20"/>
                <w:szCs w:val="20"/>
                <w:color w:val="auto"/>
              </w:rPr>
            </w:pPr>
            <w:r>
              <w:rPr>
                <w:rFonts w:ascii="Arial" w:cs="Arial" w:eastAsia="Arial" w:hAnsi="Arial"/>
                <w:sz w:val="14"/>
                <w:szCs w:val="14"/>
                <w:color w:val="auto"/>
              </w:rPr>
              <w:t>153,374</w:t>
            </w:r>
          </w:p>
        </w:tc>
        <w:tc>
          <w:tcPr>
            <w:tcW w:w="240" w:type="dxa"/>
            <w:vAlign w:val="bottom"/>
          </w:tcPr>
          <w:p>
            <w:pPr>
              <w:spacing w:after="0"/>
              <w:rPr>
                <w:sz w:val="21"/>
                <w:szCs w:val="21"/>
                <w:color w:val="auto"/>
              </w:rPr>
            </w:pPr>
          </w:p>
        </w:tc>
        <w:tc>
          <w:tcPr>
            <w:tcW w:w="110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06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300" w:type="dxa"/>
            <w:vAlign w:val="bottom"/>
            <w:gridSpan w:val="2"/>
          </w:tcPr>
          <w:p>
            <w:pPr>
              <w:jc w:val="right"/>
              <w:ind w:right="220"/>
              <w:spacing w:after="0"/>
              <w:rPr>
                <w:sz w:val="20"/>
                <w:szCs w:val="20"/>
                <w:color w:val="auto"/>
              </w:rPr>
            </w:pPr>
            <w:r>
              <w:rPr>
                <w:rFonts w:ascii="Arial" w:cs="Arial" w:eastAsia="Arial" w:hAnsi="Arial"/>
                <w:sz w:val="14"/>
                <w:szCs w:val="14"/>
                <w:color w:val="auto"/>
              </w:rPr>
              <w:t>23,387(16)</w:t>
            </w:r>
          </w:p>
        </w:tc>
        <w:tc>
          <w:tcPr>
            <w:tcW w:w="720" w:type="dxa"/>
            <w:vAlign w:val="bottom"/>
          </w:tcPr>
          <w:p>
            <w:pPr>
              <w:jc w:val="right"/>
              <w:spacing w:after="0"/>
              <w:rPr>
                <w:sz w:val="20"/>
                <w:szCs w:val="20"/>
                <w:color w:val="auto"/>
              </w:rPr>
            </w:pPr>
            <w:r>
              <w:rPr>
                <w:rFonts w:ascii="Arial" w:cs="Arial" w:eastAsia="Arial" w:hAnsi="Arial"/>
                <w:sz w:val="14"/>
                <w:szCs w:val="14"/>
                <w:color w:val="auto"/>
              </w:rPr>
              <w:t>523,651</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260" w:type="dxa"/>
            <w:vAlign w:val="bottom"/>
            <w:gridSpan w:val="2"/>
          </w:tcPr>
          <w:p>
            <w:pPr>
              <w:ind w:left="200"/>
              <w:spacing w:after="0"/>
              <w:rPr>
                <w:sz w:val="20"/>
                <w:szCs w:val="20"/>
                <w:color w:val="auto"/>
              </w:rPr>
            </w:pPr>
            <w:r>
              <w:rPr>
                <w:rFonts w:ascii="Arial" w:cs="Arial" w:eastAsia="Arial" w:hAnsi="Arial"/>
                <w:sz w:val="14"/>
                <w:szCs w:val="14"/>
                <w:color w:val="auto"/>
              </w:rPr>
              <w:t>Former Interim Chief Financial Officer</w:t>
            </w:r>
          </w:p>
        </w:tc>
        <w:tc>
          <w:tcPr>
            <w:tcW w:w="520" w:type="dxa"/>
            <w:vAlign w:val="bottom"/>
            <w:gridSpan w:val="2"/>
          </w:tcPr>
          <w:p>
            <w:pPr>
              <w:jc w:val="right"/>
              <w:spacing w:after="0"/>
              <w:rPr>
                <w:sz w:val="20"/>
                <w:szCs w:val="20"/>
                <w:color w:val="auto"/>
              </w:rPr>
            </w:pPr>
            <w:r>
              <w:rPr>
                <w:rFonts w:ascii="Arial" w:cs="Arial" w:eastAsia="Arial" w:hAnsi="Arial"/>
                <w:sz w:val="14"/>
                <w:szCs w:val="14"/>
                <w:color w:val="auto"/>
              </w:rPr>
              <w:t>2013</w:t>
            </w:r>
          </w:p>
        </w:tc>
        <w:tc>
          <w:tcPr>
            <w:tcW w:w="600" w:type="dxa"/>
            <w:vAlign w:val="bottom"/>
            <w:gridSpan w:val="2"/>
          </w:tcPr>
          <w:p>
            <w:pPr>
              <w:ind w:left="160"/>
              <w:spacing w:after="0"/>
              <w:rPr>
                <w:sz w:val="20"/>
                <w:szCs w:val="20"/>
                <w:color w:val="auto"/>
              </w:rPr>
            </w:pPr>
            <w:r>
              <w:rPr>
                <w:rFonts w:ascii="Arial" w:cs="Arial" w:eastAsia="Arial" w:hAnsi="Arial"/>
                <w:sz w:val="14"/>
                <w:szCs w:val="14"/>
                <w:color w:val="auto"/>
                <w:w w:val="82"/>
              </w:rPr>
              <w:t>287,642</w:t>
            </w:r>
          </w:p>
        </w:tc>
        <w:tc>
          <w:tcPr>
            <w:tcW w:w="420" w:type="dxa"/>
            <w:vAlign w:val="bottom"/>
          </w:tcPr>
          <w:p>
            <w:pPr>
              <w:spacing w:after="0"/>
              <w:rPr>
                <w:sz w:val="14"/>
                <w:szCs w:val="14"/>
                <w:color w:val="auto"/>
              </w:rPr>
            </w:pPr>
          </w:p>
        </w:tc>
        <w:tc>
          <w:tcPr>
            <w:tcW w:w="420" w:type="dxa"/>
            <w:vAlign w:val="bottom"/>
          </w:tcPr>
          <w:p>
            <w:pPr>
              <w:ind w:left="60"/>
              <w:spacing w:after="0"/>
              <w:rPr>
                <w:sz w:val="20"/>
                <w:szCs w:val="20"/>
                <w:color w:val="auto"/>
              </w:rPr>
            </w:pPr>
            <w:r>
              <w:rPr>
                <w:rFonts w:ascii="Arial" w:cs="Arial" w:eastAsia="Arial" w:hAnsi="Arial"/>
                <w:sz w:val="14"/>
                <w:szCs w:val="14"/>
                <w:color w:val="auto"/>
                <w:w w:val="79"/>
              </w:rPr>
              <w:t>40,000</w:t>
            </w:r>
          </w:p>
        </w:tc>
        <w:tc>
          <w:tcPr>
            <w:tcW w:w="260" w:type="dxa"/>
            <w:vAlign w:val="bottom"/>
          </w:tcPr>
          <w:p>
            <w:pPr>
              <w:spacing w:after="0"/>
              <w:rPr>
                <w:sz w:val="14"/>
                <w:szCs w:val="14"/>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660" w:type="dxa"/>
            <w:vAlign w:val="bottom"/>
          </w:tcPr>
          <w:p>
            <w:pPr>
              <w:jc w:val="right"/>
              <w:spacing w:after="0"/>
              <w:rPr>
                <w:sz w:val="20"/>
                <w:szCs w:val="20"/>
                <w:color w:val="auto"/>
              </w:rPr>
            </w:pPr>
            <w:r>
              <w:rPr>
                <w:rFonts w:ascii="Arial" w:cs="Arial" w:eastAsia="Arial" w:hAnsi="Arial"/>
                <w:sz w:val="14"/>
                <w:szCs w:val="14"/>
                <w:color w:val="auto"/>
              </w:rPr>
              <w:t>656,381</w:t>
            </w:r>
          </w:p>
        </w:tc>
        <w:tc>
          <w:tcPr>
            <w:tcW w:w="240" w:type="dxa"/>
            <w:vAlign w:val="bottom"/>
          </w:tcPr>
          <w:p>
            <w:pPr>
              <w:spacing w:after="0"/>
              <w:rPr>
                <w:sz w:val="14"/>
                <w:szCs w:val="14"/>
                <w:color w:val="auto"/>
              </w:rPr>
            </w:pPr>
          </w:p>
        </w:tc>
        <w:tc>
          <w:tcPr>
            <w:tcW w:w="110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06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840" w:type="dxa"/>
            <w:vAlign w:val="bottom"/>
          </w:tcPr>
          <w:p>
            <w:pPr>
              <w:jc w:val="right"/>
              <w:spacing w:after="0"/>
              <w:rPr>
                <w:sz w:val="20"/>
                <w:szCs w:val="20"/>
                <w:color w:val="auto"/>
              </w:rPr>
            </w:pPr>
            <w:r>
              <w:rPr>
                <w:rFonts w:ascii="Arial" w:cs="Arial" w:eastAsia="Arial" w:hAnsi="Arial"/>
                <w:sz w:val="14"/>
                <w:szCs w:val="14"/>
                <w:color w:val="auto"/>
              </w:rPr>
              <w:t>2,598</w:t>
            </w:r>
          </w:p>
        </w:tc>
        <w:tc>
          <w:tcPr>
            <w:tcW w:w="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Arial" w:cs="Arial" w:eastAsia="Arial" w:hAnsi="Arial"/>
                <w:sz w:val="14"/>
                <w:szCs w:val="14"/>
                <w:color w:val="auto"/>
              </w:rPr>
              <w:t>986,621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72898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53" w:lineRule="exact"/>
        <w:rPr>
          <w:sz w:val="20"/>
          <w:szCs w:val="20"/>
          <w:color w:val="auto"/>
        </w:rPr>
      </w:pPr>
    </w:p>
    <w:p>
      <w:pPr>
        <w:ind w:left="340" w:right="20" w:hanging="332"/>
        <w:spacing w:after="0" w:line="265" w:lineRule="auto"/>
        <w:tabs>
          <w:tab w:leader="none" w:pos="340" w:val="left"/>
        </w:tabs>
        <w:numPr>
          <w:ilvl w:val="0"/>
          <w:numId w:val="78"/>
        </w:numPr>
        <w:rPr>
          <w:rFonts w:ascii="Arial" w:cs="Arial" w:eastAsia="Arial" w:hAnsi="Arial"/>
          <w:sz w:val="12"/>
          <w:szCs w:val="12"/>
          <w:color w:val="auto"/>
        </w:rPr>
      </w:pPr>
      <w:r>
        <w:rPr>
          <w:rFonts w:ascii="Arial" w:cs="Arial" w:eastAsia="Arial" w:hAnsi="Arial"/>
          <w:sz w:val="12"/>
          <w:szCs w:val="12"/>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ind w:left="340" w:right="100" w:hanging="332"/>
        <w:spacing w:after="0" w:line="258" w:lineRule="auto"/>
        <w:tabs>
          <w:tab w:leader="none" w:pos="340" w:val="left"/>
        </w:tabs>
        <w:numPr>
          <w:ilvl w:val="0"/>
          <w:numId w:val="78"/>
        </w:numPr>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our Annual Report Form 10-K for fiscal 2014.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ind w:left="340" w:hanging="332"/>
        <w:spacing w:after="0" w:line="264" w:lineRule="auto"/>
        <w:tabs>
          <w:tab w:leader="none" w:pos="340" w:val="left"/>
        </w:tabs>
        <w:numPr>
          <w:ilvl w:val="0"/>
          <w:numId w:val="78"/>
        </w:numPr>
        <w:rPr>
          <w:rFonts w:ascii="Arial" w:cs="Arial" w:eastAsia="Arial" w:hAnsi="Arial"/>
          <w:sz w:val="12"/>
          <w:szCs w:val="12"/>
          <w:color w:val="auto"/>
        </w:rPr>
      </w:pPr>
      <w:r>
        <w:rPr>
          <w:rFonts w:ascii="Arial" w:cs="Arial" w:eastAsia="Arial" w:hAnsi="Arial"/>
          <w:sz w:val="12"/>
          <w:szCs w:val="12"/>
          <w:color w:val="auto"/>
        </w:rPr>
        <w:t>Companies make different assumptions regarding the volatility input when determining the estimated grant date fair value of stock option awards in accordance with FASB ASC Topic 718. We used an equally weighted combination of historical stock price volatility and implied volatility in our financial statements beginning in fiscal 2012. The implied volatility is derived from traded options on our stock in the marketplace and the historical volatility is based on the actual historical changes in our stock price over an extended period of time prior to the grant. Because many companies use only an implied volatility, which is based on the level of volatility assumed in the market prices of freely traded options as of the date of grant, we believe it is useful to provide investors with what the value of stock option awards would be had we used only implied volatility as an input for comparative purposes. The following table presents the grant date fair value of our stock option awards in fiscal 2014 assuming an implied volatility of 41% (compared to a blended implied and historical volatility of 49%), the grant date fair value of our stock option awards in fiscal 2013 assuming an implied volatility of 37% (compared to a blended implied and historical volatility of 44%), and the grant date fair value of our stock option awards in fiscal 2012 assuming an implied volatility of 34% (compared to a blended implied and historical volatility of 42%).</w:t>
      </w:r>
    </w:p>
    <w:p>
      <w:pPr>
        <w:spacing w:after="0" w:line="30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5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(Decrease) to</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12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16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15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Total Compensation</w:t>
            </w:r>
          </w:p>
        </w:tc>
        <w:tc>
          <w:tcPr>
            <w:tcW w:w="0" w:type="dxa"/>
            <w:vAlign w:val="bottom"/>
          </w:tcPr>
          <w:p>
            <w:pPr>
              <w:spacing w:after="0"/>
              <w:rPr>
                <w:sz w:val="1"/>
                <w:szCs w:val="1"/>
                <w:color w:val="auto"/>
              </w:rPr>
            </w:pPr>
          </w:p>
        </w:tc>
      </w:tr>
      <w:tr>
        <w:trPr>
          <w:trHeight w:val="149"/>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20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12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6"/>
              </w:rPr>
              <w:t>Calculation Using</w:t>
            </w:r>
          </w:p>
        </w:tc>
        <w:tc>
          <w:tcPr>
            <w:tcW w:w="16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Calculation Using</w:t>
            </w:r>
          </w:p>
        </w:tc>
        <w:tc>
          <w:tcPr>
            <w:tcW w:w="15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7"/>
              </w:rPr>
              <w:t>Using Implied</w:t>
            </w:r>
          </w:p>
        </w:tc>
        <w:tc>
          <w:tcPr>
            <w:tcW w:w="0" w:type="dxa"/>
            <w:vAlign w:val="bottom"/>
          </w:tcPr>
          <w:p>
            <w:pPr>
              <w:spacing w:after="0"/>
              <w:rPr>
                <w:sz w:val="1"/>
                <w:szCs w:val="1"/>
                <w:color w:val="auto"/>
              </w:rPr>
            </w:pPr>
          </w:p>
        </w:tc>
      </w:tr>
      <w:tr>
        <w:trPr>
          <w:trHeight w:val="168"/>
        </w:trPr>
        <w:tc>
          <w:tcPr>
            <w:tcW w:w="1560" w:type="dxa"/>
            <w:vAlign w:val="bottom"/>
            <w:tcBorders>
              <w:bottom w:val="single" w:sz="8" w:color="auto"/>
            </w:tcBorders>
            <w:vMerge w:val="continue"/>
          </w:tcPr>
          <w:p>
            <w:pPr>
              <w:spacing w:after="0"/>
              <w:rPr>
                <w:sz w:val="14"/>
                <w:szCs w:val="14"/>
                <w:color w:val="auto"/>
              </w:rPr>
            </w:pPr>
          </w:p>
        </w:tc>
        <w:tc>
          <w:tcPr>
            <w:tcW w:w="2060" w:type="dxa"/>
            <w:vAlign w:val="bottom"/>
          </w:tcPr>
          <w:p>
            <w:pPr>
              <w:spacing w:after="0"/>
              <w:rPr>
                <w:sz w:val="14"/>
                <w:szCs w:val="14"/>
                <w:color w:val="auto"/>
              </w:rPr>
            </w:pPr>
          </w:p>
        </w:tc>
        <w:tc>
          <w:tcPr>
            <w:tcW w:w="1540" w:type="dxa"/>
            <w:vAlign w:val="bottom"/>
            <w:gridSpan w:val="2"/>
          </w:tcPr>
          <w:p>
            <w:pPr>
              <w:jc w:val="right"/>
              <w:ind w:right="900"/>
              <w:spacing w:after="0" w:line="148" w:lineRule="exact"/>
              <w:rPr>
                <w:sz w:val="20"/>
                <w:szCs w:val="20"/>
                <w:color w:val="auto"/>
              </w:rPr>
            </w:pPr>
            <w:r>
              <w:rPr>
                <w:rFonts w:ascii="Arial" w:cs="Arial" w:eastAsia="Arial" w:hAnsi="Arial"/>
                <w:sz w:val="14"/>
                <w:szCs w:val="14"/>
                <w:b w:val="1"/>
                <w:bCs w:val="1"/>
                <w:color w:val="auto"/>
                <w:w w:val="83"/>
              </w:rPr>
              <w:t>Fiscal Year</w:t>
            </w:r>
          </w:p>
        </w:tc>
        <w:tc>
          <w:tcPr>
            <w:tcW w:w="2120" w:type="dxa"/>
            <w:vAlign w:val="bottom"/>
            <w:gridSpan w:val="2"/>
          </w:tcPr>
          <w:p>
            <w:pPr>
              <w:jc w:val="center"/>
              <w:ind w:right="900"/>
              <w:spacing w:after="0" w:line="148" w:lineRule="exact"/>
              <w:rPr>
                <w:sz w:val="20"/>
                <w:szCs w:val="20"/>
                <w:color w:val="auto"/>
              </w:rPr>
            </w:pPr>
            <w:r>
              <w:rPr>
                <w:rFonts w:ascii="Arial" w:cs="Arial" w:eastAsia="Arial" w:hAnsi="Arial"/>
                <w:sz w:val="14"/>
                <w:szCs w:val="14"/>
                <w:b w:val="1"/>
                <w:bCs w:val="1"/>
                <w:color w:val="auto"/>
                <w:w w:val="88"/>
              </w:rPr>
              <w:t xml:space="preserve">Blended Volatility </w:t>
            </w:r>
            <w:r>
              <w:rPr>
                <w:rFonts w:ascii="Arial" w:cs="Arial" w:eastAsia="Arial" w:hAnsi="Arial"/>
                <w:sz w:val="14"/>
                <w:szCs w:val="14"/>
                <w:b w:val="1"/>
                <w:bCs w:val="1"/>
                <w:u w:val="single" w:color="auto"/>
                <w:color w:val="auto"/>
                <w:w w:val="88"/>
              </w:rPr>
              <w:t>($</w:t>
            </w:r>
            <w:r>
              <w:rPr>
                <w:rFonts w:ascii="Arial" w:cs="Arial" w:eastAsia="Arial" w:hAnsi="Arial"/>
                <w:sz w:val="14"/>
                <w:szCs w:val="14"/>
                <w:b w:val="1"/>
                <w:bCs w:val="1"/>
                <w:color w:val="auto"/>
                <w:w w:val="88"/>
              </w:rPr>
              <w:t>)</w:t>
            </w:r>
          </w:p>
        </w:tc>
        <w:tc>
          <w:tcPr>
            <w:tcW w:w="1660" w:type="dxa"/>
            <w:vAlign w:val="bottom"/>
            <w:gridSpan w:val="2"/>
          </w:tcPr>
          <w:p>
            <w:pPr>
              <w:jc w:val="center"/>
              <w:ind w:right="460"/>
              <w:spacing w:after="0" w:line="148" w:lineRule="exact"/>
              <w:rPr>
                <w:sz w:val="20"/>
                <w:szCs w:val="20"/>
                <w:color w:val="auto"/>
              </w:rPr>
            </w:pPr>
            <w:r>
              <w:rPr>
                <w:rFonts w:ascii="Arial" w:cs="Arial" w:eastAsia="Arial" w:hAnsi="Arial"/>
                <w:sz w:val="14"/>
                <w:szCs w:val="14"/>
                <w:b w:val="1"/>
                <w:bCs w:val="1"/>
                <w:color w:val="auto"/>
                <w:w w:val="90"/>
              </w:rPr>
              <w:t xml:space="preserve">Implied 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156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90"/>
              </w:rPr>
              <w:t>Volatility ($)</w:t>
            </w:r>
          </w:p>
        </w:tc>
        <w:tc>
          <w:tcPr>
            <w:tcW w:w="0" w:type="dxa"/>
            <w:vAlign w:val="bottom"/>
          </w:tcPr>
          <w:p>
            <w:pPr>
              <w:spacing w:after="0"/>
              <w:rPr>
                <w:sz w:val="1"/>
                <w:szCs w:val="1"/>
                <w:color w:val="auto"/>
              </w:rPr>
            </w:pPr>
          </w:p>
        </w:tc>
      </w:tr>
      <w:tr>
        <w:trPr>
          <w:trHeight w:val="136"/>
        </w:trPr>
        <w:tc>
          <w:tcPr>
            <w:tcW w:w="1560" w:type="dxa"/>
            <w:vAlign w:val="bottom"/>
            <w:tcBorders>
              <w:top w:val="single" w:sz="8" w:color="CCEEFF"/>
            </w:tcBorders>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2060" w:type="dxa"/>
            <w:vAlign w:val="bottom"/>
            <w:tcBorders>
              <w:top w:val="single" w:sz="8" w:color="CCEEFF"/>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2014</w:t>
            </w:r>
          </w:p>
        </w:tc>
        <w:tc>
          <w:tcPr>
            <w:tcW w:w="900" w:type="dxa"/>
            <w:vAlign w:val="bottom"/>
            <w:tcBorders>
              <w:top w:val="single" w:sz="8" w:color="CCEEFF"/>
            </w:tcBorders>
            <w:shd w:val="clear" w:color="auto" w:fill="CCEEFF"/>
          </w:tcPr>
          <w:p>
            <w:pPr>
              <w:spacing w:after="0"/>
              <w:rPr>
                <w:sz w:val="11"/>
                <w:szCs w:val="11"/>
                <w:color w:val="auto"/>
              </w:rPr>
            </w:pPr>
          </w:p>
        </w:tc>
        <w:tc>
          <w:tcPr>
            <w:tcW w:w="12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5,112,450</w:t>
            </w:r>
          </w:p>
        </w:tc>
        <w:tc>
          <w:tcPr>
            <w:tcW w:w="900" w:type="dxa"/>
            <w:vAlign w:val="bottom"/>
            <w:tcBorders>
              <w:top w:val="single" w:sz="8" w:color="CCEEFF"/>
            </w:tcBorders>
            <w:shd w:val="clear" w:color="auto" w:fill="CCEEFF"/>
          </w:tcPr>
          <w:p>
            <w:pPr>
              <w:spacing w:after="0"/>
              <w:rPr>
                <w:sz w:val="11"/>
                <w:szCs w:val="11"/>
                <w:color w:val="auto"/>
              </w:rPr>
            </w:pPr>
          </w:p>
        </w:tc>
        <w:tc>
          <w:tcPr>
            <w:tcW w:w="120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4,627,350</w:t>
            </w:r>
          </w:p>
        </w:tc>
        <w:tc>
          <w:tcPr>
            <w:tcW w:w="460" w:type="dxa"/>
            <w:vAlign w:val="bottom"/>
            <w:tcBorders>
              <w:top w:val="single" w:sz="8" w:color="CCEEFF"/>
            </w:tcBorders>
            <w:shd w:val="clear" w:color="auto" w:fill="CCEEFF"/>
          </w:tcPr>
          <w:p>
            <w:pPr>
              <w:spacing w:after="0"/>
              <w:rPr>
                <w:sz w:val="11"/>
                <w:szCs w:val="11"/>
                <w:color w:val="auto"/>
              </w:rPr>
            </w:pPr>
          </w:p>
        </w:tc>
        <w:tc>
          <w:tcPr>
            <w:tcW w:w="116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(485,100)</w:t>
            </w:r>
          </w:p>
        </w:tc>
        <w:tc>
          <w:tcPr>
            <w:tcW w:w="40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Sehat Sutardja</w:t>
            </w:r>
          </w:p>
        </w:tc>
        <w:tc>
          <w:tcPr>
            <w:tcW w:w="360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2013</w:t>
            </w:r>
          </w:p>
        </w:tc>
        <w:tc>
          <w:tcPr>
            <w:tcW w:w="1220" w:type="dxa"/>
            <w:vAlign w:val="bottom"/>
          </w:tcPr>
          <w:p>
            <w:pPr>
              <w:jc w:val="right"/>
              <w:spacing w:after="0" w:line="149" w:lineRule="exact"/>
              <w:rPr>
                <w:sz w:val="20"/>
                <w:szCs w:val="20"/>
                <w:color w:val="auto"/>
              </w:rPr>
            </w:pPr>
            <w:r>
              <w:rPr>
                <w:rFonts w:ascii="Arial" w:cs="Arial" w:eastAsia="Arial" w:hAnsi="Arial"/>
                <w:sz w:val="14"/>
                <w:szCs w:val="14"/>
                <w:color w:val="auto"/>
              </w:rPr>
              <w:t>8,751,750</w:t>
            </w:r>
          </w:p>
        </w:tc>
        <w:tc>
          <w:tcPr>
            <w:tcW w:w="900" w:type="dxa"/>
            <w:vAlign w:val="bottom"/>
          </w:tcPr>
          <w:p>
            <w:pPr>
              <w:spacing w:after="0"/>
              <w:rPr>
                <w:sz w:val="12"/>
                <w:szCs w:val="12"/>
                <w:color w:val="auto"/>
              </w:rPr>
            </w:pP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7,581,000</w:t>
            </w:r>
          </w:p>
        </w:tc>
        <w:tc>
          <w:tcPr>
            <w:tcW w:w="15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(1,170,750)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Sehat Sutardja</w:t>
            </w:r>
          </w:p>
        </w:tc>
        <w:tc>
          <w:tcPr>
            <w:tcW w:w="360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2012</w:t>
            </w:r>
          </w:p>
        </w:tc>
        <w:tc>
          <w:tcPr>
            <w:tcW w:w="2120" w:type="dxa"/>
            <w:vAlign w:val="bottom"/>
            <w:gridSpan w:val="2"/>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11,324,040</w:t>
            </w: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9,200,448</w:t>
            </w:r>
          </w:p>
        </w:tc>
        <w:tc>
          <w:tcPr>
            <w:tcW w:w="15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(2,123,592)</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Brad D. Feller</w:t>
            </w:r>
          </w:p>
        </w:tc>
        <w:tc>
          <w:tcPr>
            <w:tcW w:w="360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2014</w:t>
            </w:r>
          </w:p>
        </w:tc>
        <w:tc>
          <w:tcPr>
            <w:tcW w:w="1220" w:type="dxa"/>
            <w:vAlign w:val="bottom"/>
          </w:tcPr>
          <w:p>
            <w:pPr>
              <w:jc w:val="right"/>
              <w:spacing w:after="0" w:line="149" w:lineRule="exact"/>
              <w:rPr>
                <w:sz w:val="20"/>
                <w:szCs w:val="20"/>
                <w:color w:val="auto"/>
              </w:rPr>
            </w:pPr>
            <w:r>
              <w:rPr>
                <w:rFonts w:ascii="Arial" w:cs="Arial" w:eastAsia="Arial" w:hAnsi="Arial"/>
                <w:sz w:val="14"/>
                <w:szCs w:val="14"/>
                <w:color w:val="auto"/>
              </w:rPr>
              <w:t>153,374</w:t>
            </w:r>
          </w:p>
        </w:tc>
        <w:tc>
          <w:tcPr>
            <w:tcW w:w="900" w:type="dxa"/>
            <w:vAlign w:val="bottom"/>
          </w:tcPr>
          <w:p>
            <w:pPr>
              <w:spacing w:after="0"/>
              <w:rPr>
                <w:sz w:val="12"/>
                <w:szCs w:val="12"/>
                <w:color w:val="auto"/>
              </w:rPr>
            </w:pP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138,821</w:t>
            </w:r>
          </w:p>
        </w:tc>
        <w:tc>
          <w:tcPr>
            <w:tcW w:w="15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(14,553)</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Brad D. Feller</w:t>
            </w:r>
          </w:p>
        </w:tc>
        <w:tc>
          <w:tcPr>
            <w:tcW w:w="360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2013</w:t>
            </w:r>
          </w:p>
        </w:tc>
        <w:tc>
          <w:tcPr>
            <w:tcW w:w="12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656,381</w:t>
            </w:r>
          </w:p>
        </w:tc>
        <w:tc>
          <w:tcPr>
            <w:tcW w:w="900" w:type="dxa"/>
            <w:vAlign w:val="bottom"/>
            <w:shd w:val="clear" w:color="auto" w:fill="CCEEFF"/>
          </w:tcPr>
          <w:p>
            <w:pPr>
              <w:spacing w:after="0"/>
              <w:rPr>
                <w:sz w:val="12"/>
                <w:szCs w:val="12"/>
                <w:color w:val="auto"/>
              </w:rPr>
            </w:pP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568,575</w:t>
            </w:r>
          </w:p>
        </w:tc>
        <w:tc>
          <w:tcPr>
            <w:tcW w:w="15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(87,806)</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Pantas Sutardja</w:t>
            </w:r>
          </w:p>
        </w:tc>
        <w:tc>
          <w:tcPr>
            <w:tcW w:w="360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2014</w:t>
            </w:r>
          </w:p>
        </w:tc>
        <w:tc>
          <w:tcPr>
            <w:tcW w:w="2120" w:type="dxa"/>
            <w:vAlign w:val="bottom"/>
            <w:gridSpan w:val="2"/>
          </w:tcPr>
          <w:p>
            <w:pPr>
              <w:jc w:val="right"/>
              <w:ind w:right="900"/>
              <w:spacing w:after="0" w:line="149" w:lineRule="exact"/>
              <w:rPr>
                <w:sz w:val="20"/>
                <w:szCs w:val="20"/>
                <w:color w:val="auto"/>
              </w:rPr>
            </w:pPr>
            <w:r>
              <w:rPr>
                <w:rFonts w:ascii="Arial" w:cs="Arial" w:eastAsia="Arial" w:hAnsi="Arial"/>
                <w:sz w:val="14"/>
                <w:szCs w:val="14"/>
                <w:color w:val="auto"/>
              </w:rPr>
              <w:t>511,245</w:t>
            </w: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462,735</w:t>
            </w:r>
          </w:p>
        </w:tc>
        <w:tc>
          <w:tcPr>
            <w:tcW w:w="15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(48,510)</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360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2013</w:t>
            </w:r>
          </w:p>
        </w:tc>
        <w:tc>
          <w:tcPr>
            <w:tcW w:w="12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1,983,730</w:t>
            </w:r>
          </w:p>
        </w:tc>
        <w:tc>
          <w:tcPr>
            <w:tcW w:w="900" w:type="dxa"/>
            <w:vAlign w:val="bottom"/>
            <w:shd w:val="clear" w:color="auto" w:fill="CCEEFF"/>
          </w:tcPr>
          <w:p>
            <w:pPr>
              <w:spacing w:after="0"/>
              <w:rPr>
                <w:sz w:val="12"/>
                <w:szCs w:val="12"/>
                <w:color w:val="auto"/>
              </w:rPr>
            </w:pP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1,718,360</w:t>
            </w:r>
          </w:p>
        </w:tc>
        <w:tc>
          <w:tcPr>
            <w:tcW w:w="15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(265,370)</w:t>
            </w: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Dr. Pantas Sutardja</w:t>
            </w:r>
          </w:p>
        </w:tc>
        <w:tc>
          <w:tcPr>
            <w:tcW w:w="360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2012</w:t>
            </w:r>
          </w:p>
        </w:tc>
        <w:tc>
          <w:tcPr>
            <w:tcW w:w="1220" w:type="dxa"/>
            <w:vAlign w:val="bottom"/>
          </w:tcPr>
          <w:p>
            <w:pPr>
              <w:jc w:val="right"/>
              <w:spacing w:after="0" w:line="149" w:lineRule="exact"/>
              <w:rPr>
                <w:sz w:val="20"/>
                <w:szCs w:val="20"/>
                <w:color w:val="auto"/>
              </w:rPr>
            </w:pPr>
            <w:r>
              <w:rPr>
                <w:rFonts w:ascii="Arial" w:cs="Arial" w:eastAsia="Arial" w:hAnsi="Arial"/>
                <w:sz w:val="14"/>
                <w:szCs w:val="14"/>
                <w:color w:val="auto"/>
              </w:rPr>
              <w:t>2,426,580</w:t>
            </w:r>
          </w:p>
        </w:tc>
        <w:tc>
          <w:tcPr>
            <w:tcW w:w="900" w:type="dxa"/>
            <w:vAlign w:val="bottom"/>
          </w:tcPr>
          <w:p>
            <w:pPr>
              <w:spacing w:after="0"/>
              <w:rPr>
                <w:sz w:val="12"/>
                <w:szCs w:val="12"/>
                <w:color w:val="auto"/>
              </w:rPr>
            </w:pPr>
          </w:p>
        </w:tc>
        <w:tc>
          <w:tcPr>
            <w:tcW w:w="166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1,971,525</w:t>
            </w:r>
          </w:p>
        </w:tc>
        <w:tc>
          <w:tcPr>
            <w:tcW w:w="156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(455,055)</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Weili Dai</w:t>
            </w:r>
          </w:p>
        </w:tc>
        <w:tc>
          <w:tcPr>
            <w:tcW w:w="360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2014</w:t>
            </w:r>
          </w:p>
        </w:tc>
        <w:tc>
          <w:tcPr>
            <w:tcW w:w="12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1,533,735</w:t>
            </w:r>
          </w:p>
        </w:tc>
        <w:tc>
          <w:tcPr>
            <w:tcW w:w="900" w:type="dxa"/>
            <w:vAlign w:val="bottom"/>
            <w:shd w:val="clear" w:color="auto" w:fill="CCEEFF"/>
          </w:tcPr>
          <w:p>
            <w:pPr>
              <w:spacing w:after="0"/>
              <w:rPr>
                <w:sz w:val="12"/>
                <w:szCs w:val="12"/>
                <w:color w:val="auto"/>
              </w:rPr>
            </w:pPr>
          </w:p>
        </w:tc>
        <w:tc>
          <w:tcPr>
            <w:tcW w:w="166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1,388,205</w:t>
            </w:r>
          </w:p>
        </w:tc>
        <w:tc>
          <w:tcPr>
            <w:tcW w:w="156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(145,530)</w:t>
            </w:r>
          </w:p>
        </w:tc>
        <w:tc>
          <w:tcPr>
            <w:tcW w:w="0" w:type="dxa"/>
            <w:vAlign w:val="bottom"/>
          </w:tcPr>
          <w:p>
            <w:pPr>
              <w:spacing w:after="0"/>
              <w:rPr>
                <w:sz w:val="1"/>
                <w:szCs w:val="1"/>
                <w:color w:val="auto"/>
              </w:rPr>
            </w:pPr>
          </w:p>
        </w:tc>
      </w:tr>
      <w:tr>
        <w:trPr>
          <w:trHeight w:val="172"/>
        </w:trPr>
        <w:tc>
          <w:tcPr>
            <w:tcW w:w="1560" w:type="dxa"/>
            <w:vAlign w:val="bottom"/>
          </w:tcPr>
          <w:p>
            <w:pPr>
              <w:spacing w:after="0"/>
              <w:rPr>
                <w:sz w:val="20"/>
                <w:szCs w:val="20"/>
                <w:color w:val="auto"/>
              </w:rPr>
            </w:pPr>
            <w:r>
              <w:rPr>
                <w:rFonts w:ascii="Arial" w:cs="Arial" w:eastAsia="Arial" w:hAnsi="Arial"/>
                <w:sz w:val="14"/>
                <w:szCs w:val="14"/>
                <w:color w:val="auto"/>
              </w:rPr>
              <w:t>Dr. Zining Wu</w:t>
            </w:r>
          </w:p>
        </w:tc>
        <w:tc>
          <w:tcPr>
            <w:tcW w:w="3600" w:type="dxa"/>
            <w:vAlign w:val="bottom"/>
            <w:gridSpan w:val="3"/>
          </w:tcPr>
          <w:p>
            <w:pPr>
              <w:jc w:val="right"/>
              <w:ind w:right="900"/>
              <w:spacing w:after="0"/>
              <w:rPr>
                <w:sz w:val="20"/>
                <w:szCs w:val="20"/>
                <w:color w:val="auto"/>
              </w:rPr>
            </w:pPr>
            <w:r>
              <w:rPr>
                <w:rFonts w:ascii="Arial" w:cs="Arial" w:eastAsia="Arial" w:hAnsi="Arial"/>
                <w:sz w:val="14"/>
                <w:szCs w:val="14"/>
                <w:color w:val="auto"/>
              </w:rPr>
              <w:t>2014</w:t>
            </w:r>
          </w:p>
        </w:tc>
        <w:tc>
          <w:tcPr>
            <w:tcW w:w="1220" w:type="dxa"/>
            <w:vAlign w:val="bottom"/>
          </w:tcPr>
          <w:p>
            <w:pPr>
              <w:jc w:val="right"/>
              <w:spacing w:after="0"/>
              <w:rPr>
                <w:sz w:val="20"/>
                <w:szCs w:val="20"/>
                <w:color w:val="auto"/>
              </w:rPr>
            </w:pPr>
            <w:r>
              <w:rPr>
                <w:rFonts w:ascii="Arial" w:cs="Arial" w:eastAsia="Arial" w:hAnsi="Arial"/>
                <w:sz w:val="14"/>
                <w:szCs w:val="14"/>
                <w:color w:val="auto"/>
              </w:rPr>
              <w:t>408,996</w:t>
            </w:r>
          </w:p>
        </w:tc>
        <w:tc>
          <w:tcPr>
            <w:tcW w:w="900" w:type="dxa"/>
            <w:vAlign w:val="bottom"/>
          </w:tcPr>
          <w:p>
            <w:pPr>
              <w:spacing w:after="0"/>
              <w:rPr>
                <w:sz w:val="14"/>
                <w:szCs w:val="14"/>
                <w:color w:val="auto"/>
              </w:rPr>
            </w:pPr>
          </w:p>
        </w:tc>
        <w:tc>
          <w:tcPr>
            <w:tcW w:w="1660" w:type="dxa"/>
            <w:vAlign w:val="bottom"/>
            <w:gridSpan w:val="2"/>
          </w:tcPr>
          <w:p>
            <w:pPr>
              <w:jc w:val="right"/>
              <w:ind w:right="460"/>
              <w:spacing w:after="0"/>
              <w:rPr>
                <w:sz w:val="20"/>
                <w:szCs w:val="20"/>
                <w:color w:val="auto"/>
              </w:rPr>
            </w:pPr>
            <w:r>
              <w:rPr>
                <w:rFonts w:ascii="Arial" w:cs="Arial" w:eastAsia="Arial" w:hAnsi="Arial"/>
                <w:sz w:val="14"/>
                <w:szCs w:val="14"/>
                <w:color w:val="auto"/>
              </w:rPr>
              <w:t>370,188</w:t>
            </w:r>
          </w:p>
        </w:tc>
        <w:tc>
          <w:tcPr>
            <w:tcW w:w="1560" w:type="dxa"/>
            <w:vAlign w:val="bottom"/>
            <w:gridSpan w:val="2"/>
          </w:tcPr>
          <w:p>
            <w:pPr>
              <w:jc w:val="right"/>
              <w:ind w:right="340"/>
              <w:spacing w:after="0"/>
              <w:rPr>
                <w:sz w:val="20"/>
                <w:szCs w:val="20"/>
                <w:color w:val="auto"/>
              </w:rPr>
            </w:pPr>
            <w:r>
              <w:rPr>
                <w:rFonts w:ascii="Arial" w:cs="Arial" w:eastAsia="Arial" w:hAnsi="Arial"/>
                <w:sz w:val="14"/>
                <w:szCs w:val="14"/>
                <w:color w:val="auto"/>
              </w:rPr>
              <w:t>(38,808)</w:t>
            </w:r>
          </w:p>
        </w:tc>
        <w:tc>
          <w:tcPr>
            <w:tcW w:w="0" w:type="dxa"/>
            <w:vAlign w:val="bottom"/>
          </w:tcPr>
          <w:p>
            <w:pPr>
              <w:spacing w:after="0"/>
              <w:rPr>
                <w:sz w:val="1"/>
                <w:szCs w:val="1"/>
                <w:color w:val="auto"/>
              </w:rPr>
            </w:pPr>
          </w:p>
        </w:tc>
      </w:tr>
    </w:tbl>
    <w:p>
      <w:pPr>
        <w:spacing w:after="0" w:line="168" w:lineRule="exact"/>
        <w:rPr>
          <w:sz w:val="20"/>
          <w:szCs w:val="20"/>
          <w:color w:val="auto"/>
        </w:rPr>
      </w:pPr>
    </w:p>
    <w:p>
      <w:pPr>
        <w:ind w:left="340" w:hanging="332"/>
        <w:spacing w:after="0"/>
        <w:tabs>
          <w:tab w:leader="none" w:pos="340" w:val="left"/>
        </w:tabs>
        <w:numPr>
          <w:ilvl w:val="0"/>
          <w:numId w:val="79"/>
        </w:numPr>
        <w:rPr>
          <w:rFonts w:ascii="Arial" w:cs="Arial" w:eastAsia="Arial" w:hAnsi="Arial"/>
          <w:sz w:val="12"/>
          <w:szCs w:val="12"/>
          <w:color w:val="auto"/>
        </w:rPr>
      </w:pPr>
      <w:r>
        <w:rPr>
          <w:rFonts w:ascii="Arial" w:cs="Arial" w:eastAsia="Arial" w:hAnsi="Arial"/>
          <w:sz w:val="12"/>
          <w:szCs w:val="12"/>
          <w:color w:val="auto"/>
        </w:rPr>
        <w:t>The amounts shown in this column represent annual cash incentive awards made to the named executive officers under our fiscal 2014 annual incentive plan, which is intended to qualify under</w:t>
      </w:r>
    </w:p>
    <w:p>
      <w:pPr>
        <w:spacing w:after="0" w:line="22" w:lineRule="exact"/>
        <w:rPr>
          <w:rFonts w:ascii="Arial" w:cs="Arial" w:eastAsia="Arial" w:hAnsi="Arial"/>
          <w:sz w:val="12"/>
          <w:szCs w:val="12"/>
          <w:color w:val="auto"/>
        </w:rPr>
      </w:pPr>
    </w:p>
    <w:p>
      <w:pPr>
        <w:ind w:left="340" w:right="200"/>
        <w:spacing w:after="0" w:line="230" w:lineRule="auto"/>
        <w:rPr>
          <w:rFonts w:ascii="Arial" w:cs="Arial" w:eastAsia="Arial" w:hAnsi="Arial"/>
          <w:sz w:val="12"/>
          <w:szCs w:val="12"/>
          <w:color w:val="auto"/>
        </w:rPr>
      </w:pPr>
      <w:r>
        <w:rPr>
          <w:rFonts w:ascii="Arial" w:cs="Arial" w:eastAsia="Arial" w:hAnsi="Arial"/>
          <w:sz w:val="14"/>
          <w:szCs w:val="14"/>
          <w:color w:val="auto"/>
        </w:rPr>
        <w:t>Section 162(m). Further information regarding the fiscal 2014 awards is included in the section entitled “Elements of Executive Compensation for Fiscal 2014-Fiscal 2014 Annual Incentive Plan” in the Compensation Discussion and Analysis above. Ms. Dai, Mr. Rashkin and Dr. Wu did not participate in this plan in fiscal 2014.</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hanging="332"/>
        <w:spacing w:after="0"/>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$600,000 in the amount of $1,603.</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Ms. Dai was appointed President effective as of July 14, 2013.</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$600,000 in the amount of $1,603.</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Mr. Rashkin was appointed Interim Chief Financial Officer effective as of December 10, 2013 and Chief Financial Officer effective as of February 17, 2014.</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This amount represents matching contributions to 401(k) of $2,000.</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Dr. Wu was appointed Chief Technology Officer effective as of January 15, 2014.</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Dr. Wu’s annual salary was increased from $284,394 to $312,833 effective as of April 1, 2013 prior to his appointment as Chief Technology Officer.</w:t>
      </w:r>
    </w:p>
    <w:p>
      <w:pPr>
        <w:ind w:left="340" w:right="12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This amount includes a payment for a Flexible Spending Account HR clerical error from 2012 of $996, group term life insurance premiums of $677, 401(k) match of $2,000, cash out of accrued vacation of $19,962, and payments under our non-executive patent award program to Dr. Wu prior to his appointment as an executive officer of $23,500.</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Dr. Pantas Sutardja resigned as Vice President, Chief Technology Officer, and Chief Research and Development Officer effective as of January 15, 2014.</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$600,000 of $1,603, 401(k) match of $2,000 and cash out of accrued vacation of $32,692.</w:t>
      </w:r>
    </w:p>
    <w:p>
      <w:pPr>
        <w:ind w:left="340" w:hanging="332"/>
        <w:spacing w:after="0" w:line="221"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Mr. Feller was not a named officer in FY 2012. He was appointed Interim Chief Financial Officer effective as of October 16, 2012 and resigned effective as of December 10, 2013.</w:t>
      </w:r>
    </w:p>
    <w:p>
      <w:pPr>
        <w:ind w:left="340" w:right="280" w:hanging="332"/>
        <w:spacing w:after="0" w:line="230" w:lineRule="auto"/>
        <w:tabs>
          <w:tab w:leader="none" w:pos="340" w:val="left"/>
        </w:tabs>
        <w:numPr>
          <w:ilvl w:val="0"/>
          <w:numId w:val="80"/>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$1,500, premium for basic life insurance of 2.5 times annual salary up to $600,000 in the amount of $558 and cash out of accrued vacation of $21,329.</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2014</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rPr>
              <w:t>All</w:t>
            </w: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9"/>
              </w:rPr>
              <w:t>All</w:t>
            </w:r>
          </w:p>
        </w:tc>
        <w:tc>
          <w:tcPr>
            <w:tcW w:w="5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Other</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6"/>
              </w:rPr>
              <w:t>Other</w:t>
            </w: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w w:val="99"/>
              </w:rPr>
              <w:t>Stock</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Option</w:t>
            </w: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Number</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Number</w:t>
            </w:r>
          </w:p>
        </w:tc>
        <w:tc>
          <w:tcPr>
            <w:tcW w:w="7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Exercise</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660" w:type="dxa"/>
            <w:vAlign w:val="bottom"/>
            <w:gridSpan w:val="6"/>
            <w:vMerge w:val="restart"/>
          </w:tcPr>
          <w:p>
            <w:pPr>
              <w:jc w:val="center"/>
              <w:ind w:right="200"/>
              <w:spacing w:after="0"/>
              <w:rPr>
                <w:sz w:val="20"/>
                <w:szCs w:val="20"/>
                <w:color w:val="auto"/>
              </w:rPr>
            </w:pPr>
            <w:r>
              <w:rPr>
                <w:rFonts w:ascii="Arial" w:cs="Arial" w:eastAsia="Arial" w:hAnsi="Arial"/>
                <w:sz w:val="14"/>
                <w:szCs w:val="14"/>
                <w:b w:val="1"/>
                <w:bCs w:val="1"/>
                <w:color w:val="auto"/>
                <w:w w:val="86"/>
              </w:rPr>
              <w:t>Estimated Future Payouts</w:t>
            </w:r>
          </w:p>
        </w:tc>
        <w:tc>
          <w:tcPr>
            <w:tcW w:w="2600" w:type="dxa"/>
            <w:vAlign w:val="bottom"/>
            <w:gridSpan w:val="6"/>
            <w:vMerge w:val="restart"/>
          </w:tcPr>
          <w:p>
            <w:pPr>
              <w:jc w:val="center"/>
              <w:ind w:right="160"/>
              <w:spacing w:after="0"/>
              <w:rPr>
                <w:sz w:val="20"/>
                <w:szCs w:val="20"/>
                <w:color w:val="auto"/>
              </w:rPr>
            </w:pPr>
            <w:r>
              <w:rPr>
                <w:rFonts w:ascii="Arial" w:cs="Arial" w:eastAsia="Arial" w:hAnsi="Arial"/>
                <w:sz w:val="14"/>
                <w:szCs w:val="14"/>
                <w:b w:val="1"/>
                <w:bCs w:val="1"/>
                <w:color w:val="auto"/>
                <w:w w:val="87"/>
              </w:rPr>
              <w:t>Estimated Future Payouts</w:t>
            </w:r>
          </w:p>
        </w:tc>
        <w:tc>
          <w:tcPr>
            <w:tcW w:w="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of</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of</w:t>
            </w: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89"/>
              </w:rPr>
              <w:t>or Base</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660" w:type="dxa"/>
            <w:vAlign w:val="bottom"/>
            <w:gridSpan w:val="6"/>
            <w:vMerge w:val="continue"/>
          </w:tcPr>
          <w:p>
            <w:pPr>
              <w:spacing w:after="0"/>
              <w:rPr>
                <w:sz w:val="11"/>
                <w:szCs w:val="11"/>
                <w:color w:val="auto"/>
              </w:rPr>
            </w:pPr>
          </w:p>
        </w:tc>
        <w:tc>
          <w:tcPr>
            <w:tcW w:w="2600" w:type="dxa"/>
            <w:vAlign w:val="bottom"/>
            <w:gridSpan w:val="6"/>
            <w:vMerge w:val="continue"/>
          </w:tcPr>
          <w:p>
            <w:pPr>
              <w:spacing w:after="0"/>
              <w:rPr>
                <w:sz w:val="11"/>
                <w:szCs w:val="11"/>
                <w:color w:val="auto"/>
              </w:rPr>
            </w:pPr>
          </w:p>
        </w:tc>
        <w:tc>
          <w:tcPr>
            <w:tcW w:w="700" w:type="dxa"/>
            <w:vAlign w:val="bottom"/>
            <w:gridSpan w:val="2"/>
          </w:tcPr>
          <w:p>
            <w:pPr>
              <w:jc w:val="right"/>
              <w:ind w:right="260"/>
              <w:spacing w:after="0" w:line="135" w:lineRule="exact"/>
              <w:rPr>
                <w:sz w:val="20"/>
                <w:szCs w:val="20"/>
                <w:color w:val="auto"/>
              </w:rPr>
            </w:pPr>
            <w:r>
              <w:rPr>
                <w:rFonts w:ascii="Arial" w:cs="Arial" w:eastAsia="Arial" w:hAnsi="Arial"/>
                <w:sz w:val="14"/>
                <w:szCs w:val="14"/>
                <w:b w:val="1"/>
                <w:bCs w:val="1"/>
                <w:color w:val="auto"/>
                <w:w w:val="89"/>
              </w:rPr>
              <w:t>Shares</w:t>
            </w:r>
          </w:p>
        </w:tc>
        <w:tc>
          <w:tcPr>
            <w:tcW w:w="8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3"/>
              </w:rPr>
              <w:t>Securities</w:t>
            </w:r>
          </w:p>
        </w:tc>
        <w:tc>
          <w:tcPr>
            <w:tcW w:w="7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7"/>
              </w:rPr>
              <w:t>Price</w:t>
            </w:r>
          </w:p>
        </w:tc>
        <w:tc>
          <w:tcPr>
            <w:tcW w:w="640" w:type="dxa"/>
            <w:vAlign w:val="bottom"/>
            <w:gridSpan w:val="2"/>
          </w:tcPr>
          <w:p>
            <w:pPr>
              <w:jc w:val="center"/>
              <w:ind w:right="60"/>
              <w:spacing w:after="0" w:line="135"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660" w:type="dxa"/>
            <w:vAlign w:val="bottom"/>
            <w:gridSpan w:val="6"/>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Under Non-Equity Incentive</w:t>
            </w:r>
          </w:p>
        </w:tc>
        <w:tc>
          <w:tcPr>
            <w:tcW w:w="2600" w:type="dxa"/>
            <w:vAlign w:val="bottom"/>
            <w:gridSpan w:val="6"/>
          </w:tcPr>
          <w:p>
            <w:pPr>
              <w:ind w:left="540"/>
              <w:spacing w:after="0" w:line="149" w:lineRule="exact"/>
              <w:rPr>
                <w:sz w:val="20"/>
                <w:szCs w:val="20"/>
                <w:color w:val="auto"/>
              </w:rPr>
            </w:pPr>
            <w:r>
              <w:rPr>
                <w:rFonts w:ascii="Arial" w:cs="Arial" w:eastAsia="Arial" w:hAnsi="Arial"/>
                <w:sz w:val="14"/>
                <w:szCs w:val="14"/>
                <w:b w:val="1"/>
                <w:bCs w:val="1"/>
                <w:color w:val="auto"/>
              </w:rPr>
              <w:t>Under Equity Incentive</w:t>
            </w:r>
          </w:p>
        </w:tc>
        <w:tc>
          <w:tcPr>
            <w:tcW w:w="7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of Stock</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Underlying</w:t>
            </w:r>
          </w:p>
        </w:tc>
        <w:tc>
          <w:tcPr>
            <w:tcW w:w="7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of Option</w:t>
            </w:r>
          </w:p>
        </w:tc>
        <w:tc>
          <w:tcPr>
            <w:tcW w:w="6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96"/>
              </w:rPr>
              <w:t>Grant</w:t>
            </w:r>
          </w:p>
        </w:tc>
        <w:tc>
          <w:tcPr>
            <w:tcW w:w="760" w:type="dxa"/>
            <w:vAlign w:val="bottom"/>
            <w:tcBorders>
              <w:bottom w:val="single" w:sz="8" w:color="auto"/>
            </w:tcBorders>
          </w:tcPr>
          <w:p>
            <w:pPr>
              <w:spacing w:after="0"/>
              <w:rPr>
                <w:sz w:val="11"/>
                <w:szCs w:val="11"/>
                <w:color w:val="auto"/>
              </w:rPr>
            </w:pPr>
          </w:p>
        </w:tc>
        <w:tc>
          <w:tcPr>
            <w:tcW w:w="940" w:type="dxa"/>
            <w:vAlign w:val="bottom"/>
            <w:tcBorders>
              <w:bottom w:val="single" w:sz="8" w:color="auto"/>
            </w:tcBorders>
            <w:gridSpan w:val="3"/>
          </w:tcPr>
          <w:p>
            <w:pPr>
              <w:jc w:val="center"/>
              <w:spacing w:after="0" w:line="115" w:lineRule="exact"/>
              <w:rPr>
                <w:sz w:val="20"/>
                <w:szCs w:val="20"/>
                <w:color w:val="auto"/>
              </w:rPr>
            </w:pPr>
            <w:r>
              <w:rPr>
                <w:rFonts w:ascii="Arial" w:cs="Arial" w:eastAsia="Arial" w:hAnsi="Arial"/>
                <w:sz w:val="12"/>
                <w:szCs w:val="12"/>
                <w:b w:val="1"/>
                <w:bCs w:val="1"/>
                <w:color w:val="auto"/>
              </w:rPr>
              <w:t>Plan Awards(1)</w:t>
            </w:r>
          </w:p>
        </w:tc>
        <w:tc>
          <w:tcPr>
            <w:tcW w:w="760" w:type="dxa"/>
            <w:vAlign w:val="bottom"/>
            <w:tcBorders>
              <w:bottom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760" w:type="dxa"/>
            <w:vAlign w:val="bottom"/>
            <w:tcBorders>
              <w:bottom w:val="single" w:sz="8" w:color="auto"/>
            </w:tcBorders>
          </w:tcPr>
          <w:p>
            <w:pPr>
              <w:spacing w:after="0"/>
              <w:rPr>
                <w:sz w:val="11"/>
                <w:szCs w:val="11"/>
                <w:color w:val="auto"/>
              </w:rPr>
            </w:pPr>
          </w:p>
        </w:tc>
        <w:tc>
          <w:tcPr>
            <w:tcW w:w="900" w:type="dxa"/>
            <w:vAlign w:val="bottom"/>
            <w:tcBorders>
              <w:bottom w:val="single" w:sz="8" w:color="auto"/>
            </w:tcBorders>
            <w:gridSpan w:val="3"/>
          </w:tcPr>
          <w:p>
            <w:pPr>
              <w:jc w:val="center"/>
              <w:spacing w:after="0" w:line="115" w:lineRule="exact"/>
              <w:rPr>
                <w:sz w:val="20"/>
                <w:szCs w:val="20"/>
                <w:color w:val="auto"/>
              </w:rPr>
            </w:pPr>
            <w:r>
              <w:rPr>
                <w:rFonts w:ascii="Arial" w:cs="Arial" w:eastAsia="Arial" w:hAnsi="Arial"/>
                <w:sz w:val="12"/>
                <w:szCs w:val="12"/>
                <w:b w:val="1"/>
                <w:bCs w:val="1"/>
                <w:color w:val="auto"/>
              </w:rPr>
              <w:t>Plan Awards</w:t>
            </w:r>
          </w:p>
        </w:tc>
        <w:tc>
          <w:tcPr>
            <w:tcW w:w="760" w:type="dxa"/>
            <w:vAlign w:val="bottom"/>
            <w:tcBorders>
              <w:bottom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70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or Units</w:t>
            </w:r>
          </w:p>
        </w:tc>
        <w:tc>
          <w:tcPr>
            <w:tcW w:w="86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Options</w:t>
            </w:r>
          </w:p>
        </w:tc>
        <w:tc>
          <w:tcPr>
            <w:tcW w:w="760" w:type="dxa"/>
            <w:vAlign w:val="bottom"/>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w w:val="94"/>
              </w:rPr>
              <w:t>Awards</w:t>
            </w:r>
          </w:p>
        </w:tc>
        <w:tc>
          <w:tcPr>
            <w:tcW w:w="640" w:type="dxa"/>
            <w:vAlign w:val="bottom"/>
            <w:gridSpan w:val="2"/>
          </w:tcPr>
          <w:p>
            <w:pPr>
              <w:jc w:val="center"/>
              <w:ind w:right="80"/>
              <w:spacing w:after="0" w:line="12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56"/>
        </w:trPr>
        <w:tc>
          <w:tcPr>
            <w:tcW w:w="2200" w:type="dxa"/>
            <w:vAlign w:val="bottom"/>
            <w:gridSpan w:val="3"/>
          </w:tcPr>
          <w:p>
            <w:pPr>
              <w:spacing w:after="0" w:line="155" w:lineRule="exact"/>
              <w:rPr>
                <w:sz w:val="20"/>
                <w:szCs w:val="20"/>
                <w:color w:val="auto"/>
              </w:rPr>
            </w:pPr>
            <w:r>
              <w:rPr>
                <w:rFonts w:ascii="Arial" w:cs="Arial" w:eastAsia="Arial" w:hAnsi="Arial"/>
                <w:sz w:val="14"/>
                <w:szCs w:val="14"/>
                <w:b w:val="1"/>
                <w:bCs w:val="1"/>
                <w:color w:val="auto"/>
              </w:rPr>
              <w:t>Name</w:t>
            </w:r>
          </w:p>
        </w:tc>
        <w:tc>
          <w:tcPr>
            <w:tcW w:w="140" w:type="dxa"/>
            <w:vAlign w:val="bottom"/>
          </w:tcPr>
          <w:p>
            <w:pPr>
              <w:spacing w:after="0"/>
              <w:rPr>
                <w:sz w:val="13"/>
                <w:szCs w:val="13"/>
                <w:color w:val="auto"/>
              </w:rPr>
            </w:pPr>
          </w:p>
        </w:tc>
        <w:tc>
          <w:tcPr>
            <w:tcW w:w="860" w:type="dxa"/>
            <w:vAlign w:val="bottom"/>
            <w:gridSpan w:val="2"/>
          </w:tcPr>
          <w:p>
            <w:pPr>
              <w:jc w:val="center"/>
              <w:ind w:right="220"/>
              <w:spacing w:after="0" w:line="155" w:lineRule="exact"/>
              <w:rPr>
                <w:sz w:val="20"/>
                <w:szCs w:val="20"/>
                <w:color w:val="auto"/>
              </w:rPr>
            </w:pPr>
            <w:r>
              <w:rPr>
                <w:rFonts w:ascii="Arial" w:cs="Arial" w:eastAsia="Arial" w:hAnsi="Arial"/>
                <w:sz w:val="14"/>
                <w:szCs w:val="14"/>
                <w:b w:val="1"/>
                <w:bCs w:val="1"/>
                <w:color w:val="auto"/>
                <w:w w:val="92"/>
              </w:rPr>
              <w:t>Date</w:t>
            </w:r>
          </w:p>
        </w:tc>
        <w:tc>
          <w:tcPr>
            <w:tcW w:w="760" w:type="dxa"/>
            <w:vAlign w:val="bottom"/>
          </w:tcPr>
          <w:p>
            <w:pPr>
              <w:jc w:val="right"/>
              <w:spacing w:after="0" w:line="155" w:lineRule="exact"/>
              <w:rPr>
                <w:sz w:val="20"/>
                <w:szCs w:val="20"/>
                <w:color w:val="auto"/>
              </w:rPr>
            </w:pPr>
            <w:r>
              <w:rPr>
                <w:rFonts w:ascii="Arial" w:cs="Arial" w:eastAsia="Arial" w:hAnsi="Arial"/>
                <w:sz w:val="14"/>
                <w:szCs w:val="14"/>
                <w:b w:val="1"/>
                <w:bCs w:val="1"/>
                <w:u w:val="single" w:color="auto"/>
                <w:color w:val="auto"/>
                <w:w w:val="84"/>
              </w:rPr>
              <w:t>Threshold($</w:t>
            </w:r>
            <w:r>
              <w:rPr>
                <w:rFonts w:ascii="Arial" w:cs="Arial" w:eastAsia="Arial" w:hAnsi="Arial"/>
                <w:sz w:val="14"/>
                <w:szCs w:val="14"/>
                <w:b w:val="1"/>
                <w:bCs w:val="1"/>
                <w:color w:val="auto"/>
                <w:w w:val="84"/>
              </w:rPr>
              <w:t>)</w:t>
            </w:r>
          </w:p>
        </w:tc>
        <w:tc>
          <w:tcPr>
            <w:tcW w:w="200" w:type="dxa"/>
            <w:vAlign w:val="bottom"/>
          </w:tcPr>
          <w:p>
            <w:pPr>
              <w:spacing w:after="0"/>
              <w:rPr>
                <w:sz w:val="13"/>
                <w:szCs w:val="13"/>
                <w:color w:val="auto"/>
              </w:rPr>
            </w:pPr>
          </w:p>
        </w:tc>
        <w:tc>
          <w:tcPr>
            <w:tcW w:w="740" w:type="dxa"/>
            <w:vAlign w:val="bottom"/>
            <w:gridSpan w:val="2"/>
          </w:tcPr>
          <w:p>
            <w:pPr>
              <w:jc w:val="center"/>
              <w:ind w:right="200"/>
              <w:spacing w:after="0" w:line="155" w:lineRule="exact"/>
              <w:rPr>
                <w:sz w:val="20"/>
                <w:szCs w:val="20"/>
                <w:color w:val="auto"/>
              </w:rPr>
            </w:pPr>
            <w:r>
              <w:rPr>
                <w:rFonts w:ascii="Arial" w:cs="Arial" w:eastAsia="Arial" w:hAnsi="Arial"/>
                <w:sz w:val="14"/>
                <w:szCs w:val="14"/>
                <w:b w:val="1"/>
                <w:bCs w:val="1"/>
                <w:u w:val="single" w:color="auto"/>
                <w:color w:val="auto"/>
                <w:w w:val="90"/>
              </w:rPr>
              <w:t>Target($</w:t>
            </w:r>
            <w:r>
              <w:rPr>
                <w:rFonts w:ascii="Arial" w:cs="Arial" w:eastAsia="Arial" w:hAnsi="Arial"/>
                <w:sz w:val="14"/>
                <w:szCs w:val="14"/>
                <w:b w:val="1"/>
                <w:bCs w:val="1"/>
                <w:color w:val="auto"/>
                <w:w w:val="90"/>
              </w:rPr>
              <w:t>)</w:t>
            </w:r>
          </w:p>
        </w:tc>
        <w:tc>
          <w:tcPr>
            <w:tcW w:w="960" w:type="dxa"/>
            <w:vAlign w:val="bottom"/>
            <w:gridSpan w:val="2"/>
          </w:tcPr>
          <w:p>
            <w:pPr>
              <w:spacing w:after="0" w:line="155" w:lineRule="exact"/>
              <w:rPr>
                <w:sz w:val="20"/>
                <w:szCs w:val="20"/>
                <w:color w:val="auto"/>
              </w:rPr>
            </w:pPr>
            <w:r>
              <w:rPr>
                <w:rFonts w:ascii="Arial" w:cs="Arial" w:eastAsia="Arial" w:hAnsi="Arial"/>
                <w:sz w:val="14"/>
                <w:szCs w:val="14"/>
                <w:b w:val="1"/>
                <w:bCs w:val="1"/>
                <w:u w:val="single" w:color="auto"/>
                <w:color w:val="auto"/>
              </w:rPr>
              <w:t>Maximum($</w:t>
            </w:r>
            <w:r>
              <w:rPr>
                <w:rFonts w:ascii="Arial" w:cs="Arial" w:eastAsia="Arial" w:hAnsi="Arial"/>
                <w:sz w:val="14"/>
                <w:szCs w:val="14"/>
                <w:b w:val="1"/>
                <w:bCs w:val="1"/>
                <w:color w:val="auto"/>
              </w:rPr>
              <w:t>)</w:t>
            </w:r>
          </w:p>
        </w:tc>
        <w:tc>
          <w:tcPr>
            <w:tcW w:w="760" w:type="dxa"/>
            <w:vAlign w:val="bottom"/>
          </w:tcPr>
          <w:p>
            <w:pPr>
              <w:jc w:val="right"/>
              <w:spacing w:after="0" w:line="155" w:lineRule="exact"/>
              <w:rPr>
                <w:sz w:val="20"/>
                <w:szCs w:val="20"/>
                <w:color w:val="auto"/>
              </w:rPr>
            </w:pPr>
            <w:r>
              <w:rPr>
                <w:rFonts w:ascii="Arial" w:cs="Arial" w:eastAsia="Arial" w:hAnsi="Arial"/>
                <w:sz w:val="14"/>
                <w:szCs w:val="14"/>
                <w:b w:val="1"/>
                <w:bCs w:val="1"/>
                <w:color w:val="auto"/>
                <w:w w:val="87"/>
              </w:rPr>
              <w:t>Threshold(#)</w:t>
            </w:r>
          </w:p>
        </w:tc>
        <w:tc>
          <w:tcPr>
            <w:tcW w:w="180" w:type="dxa"/>
            <w:vAlign w:val="bottom"/>
          </w:tcPr>
          <w:p>
            <w:pPr>
              <w:spacing w:after="0"/>
              <w:rPr>
                <w:sz w:val="13"/>
                <w:szCs w:val="13"/>
                <w:color w:val="auto"/>
              </w:rPr>
            </w:pPr>
          </w:p>
        </w:tc>
        <w:tc>
          <w:tcPr>
            <w:tcW w:w="720" w:type="dxa"/>
            <w:vAlign w:val="bottom"/>
            <w:gridSpan w:val="2"/>
          </w:tcPr>
          <w:p>
            <w:pPr>
              <w:jc w:val="center"/>
              <w:ind w:right="180"/>
              <w:spacing w:after="0" w:line="155" w:lineRule="exact"/>
              <w:rPr>
                <w:sz w:val="20"/>
                <w:szCs w:val="20"/>
                <w:color w:val="auto"/>
              </w:rPr>
            </w:pPr>
            <w:r>
              <w:rPr>
                <w:rFonts w:ascii="Arial" w:cs="Arial" w:eastAsia="Arial" w:hAnsi="Arial"/>
                <w:sz w:val="14"/>
                <w:szCs w:val="14"/>
                <w:b w:val="1"/>
                <w:bCs w:val="1"/>
                <w:color w:val="auto"/>
                <w:w w:val="90"/>
              </w:rPr>
              <w:t>Target(#)</w:t>
            </w:r>
          </w:p>
        </w:tc>
        <w:tc>
          <w:tcPr>
            <w:tcW w:w="940" w:type="dxa"/>
            <w:vAlign w:val="bottom"/>
            <w:gridSpan w:val="2"/>
          </w:tcPr>
          <w:p>
            <w:pPr>
              <w:jc w:val="right"/>
              <w:ind w:right="180"/>
              <w:spacing w:after="0" w:line="155" w:lineRule="exact"/>
              <w:rPr>
                <w:sz w:val="20"/>
                <w:szCs w:val="20"/>
                <w:color w:val="auto"/>
              </w:rPr>
            </w:pPr>
            <w:r>
              <w:rPr>
                <w:rFonts w:ascii="Arial" w:cs="Arial" w:eastAsia="Arial" w:hAnsi="Arial"/>
                <w:sz w:val="14"/>
                <w:szCs w:val="14"/>
                <w:b w:val="1"/>
                <w:bCs w:val="1"/>
                <w:color w:val="auto"/>
                <w:w w:val="90"/>
              </w:rPr>
              <w:t>Maximum(#)</w:t>
            </w:r>
          </w:p>
        </w:tc>
        <w:tc>
          <w:tcPr>
            <w:tcW w:w="480" w:type="dxa"/>
            <w:vAlign w:val="bottom"/>
          </w:tcPr>
          <w:p>
            <w:pPr>
              <w:jc w:val="right"/>
              <w:ind w:right="12"/>
              <w:spacing w:after="0" w:line="155" w:lineRule="exact"/>
              <w:rPr>
                <w:sz w:val="20"/>
                <w:szCs w:val="20"/>
                <w:color w:val="auto"/>
              </w:rPr>
            </w:pPr>
            <w:r>
              <w:rPr>
                <w:rFonts w:ascii="Arial" w:cs="Arial" w:eastAsia="Arial" w:hAnsi="Arial"/>
                <w:sz w:val="14"/>
                <w:szCs w:val="14"/>
                <w:b w:val="1"/>
                <w:bCs w:val="1"/>
                <w:color w:val="auto"/>
              </w:rPr>
              <w:t>(#)(2)</w:t>
            </w:r>
          </w:p>
        </w:tc>
        <w:tc>
          <w:tcPr>
            <w:tcW w:w="220" w:type="dxa"/>
            <w:vAlign w:val="bottom"/>
          </w:tcPr>
          <w:p>
            <w:pPr>
              <w:spacing w:after="0"/>
              <w:rPr>
                <w:sz w:val="13"/>
                <w:szCs w:val="13"/>
                <w:color w:val="auto"/>
              </w:rPr>
            </w:pPr>
          </w:p>
        </w:tc>
        <w:tc>
          <w:tcPr>
            <w:tcW w:w="660" w:type="dxa"/>
            <w:vAlign w:val="bottom"/>
          </w:tcPr>
          <w:p>
            <w:pPr>
              <w:jc w:val="center"/>
              <w:spacing w:after="0" w:line="155" w:lineRule="exact"/>
              <w:rPr>
                <w:sz w:val="20"/>
                <w:szCs w:val="20"/>
                <w:color w:val="auto"/>
              </w:rPr>
            </w:pPr>
            <w:r>
              <w:rPr>
                <w:rFonts w:ascii="Arial" w:cs="Arial" w:eastAsia="Arial" w:hAnsi="Arial"/>
                <w:sz w:val="14"/>
                <w:szCs w:val="14"/>
                <w:b w:val="1"/>
                <w:bCs w:val="1"/>
                <w:color w:val="auto"/>
                <w:w w:val="93"/>
              </w:rPr>
              <w:t>(#)(3)</w:t>
            </w:r>
          </w:p>
        </w:tc>
        <w:tc>
          <w:tcPr>
            <w:tcW w:w="200" w:type="dxa"/>
            <w:vAlign w:val="bottom"/>
          </w:tcPr>
          <w:p>
            <w:pPr>
              <w:spacing w:after="0"/>
              <w:rPr>
                <w:sz w:val="13"/>
                <w:szCs w:val="13"/>
                <w:color w:val="auto"/>
              </w:rPr>
            </w:pPr>
          </w:p>
        </w:tc>
        <w:tc>
          <w:tcPr>
            <w:tcW w:w="760" w:type="dxa"/>
            <w:vAlign w:val="bottom"/>
            <w:gridSpan w:val="2"/>
          </w:tcPr>
          <w:p>
            <w:pPr>
              <w:jc w:val="center"/>
              <w:ind w:right="200"/>
              <w:spacing w:after="0" w:line="155" w:lineRule="exact"/>
              <w:rPr>
                <w:sz w:val="20"/>
                <w:szCs w:val="20"/>
                <w:color w:val="auto"/>
              </w:rPr>
            </w:pPr>
            <w:r>
              <w:rPr>
                <w:rFonts w:ascii="Arial" w:cs="Arial" w:eastAsia="Arial" w:hAnsi="Arial"/>
                <w:sz w:val="14"/>
                <w:szCs w:val="14"/>
                <w:b w:val="1"/>
                <w:bCs w:val="1"/>
                <w:color w:val="auto"/>
                <w:w w:val="85"/>
              </w:rPr>
              <w:t>($/sh)</w:t>
            </w:r>
          </w:p>
        </w:tc>
        <w:tc>
          <w:tcPr>
            <w:tcW w:w="580" w:type="dxa"/>
            <w:vAlign w:val="bottom"/>
          </w:tcPr>
          <w:p>
            <w:pPr>
              <w:jc w:val="center"/>
              <w:spacing w:after="0" w:line="155" w:lineRule="exact"/>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)(4)(5)</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182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18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140" w:type="dxa"/>
            <w:vAlign w:val="bottom"/>
            <w:shd w:val="clear" w:color="auto" w:fill="CCEEFF"/>
          </w:tcPr>
          <w:p>
            <w:pPr>
              <w:spacing w:after="0"/>
              <w:rPr>
                <w:sz w:val="11"/>
                <w:szCs w:val="11"/>
                <w:color w:val="auto"/>
              </w:rPr>
            </w:pPr>
          </w:p>
        </w:tc>
        <w:tc>
          <w:tcPr>
            <w:tcW w:w="660" w:type="dxa"/>
            <w:vAlign w:val="bottom"/>
            <w:shd w:val="clear" w:color="auto" w:fill="CCEEFF"/>
          </w:tcPr>
          <w:p>
            <w:pPr>
              <w:jc w:val="center"/>
              <w:spacing w:after="0" w:line="136" w:lineRule="exact"/>
              <w:rPr>
                <w:sz w:val="20"/>
                <w:szCs w:val="20"/>
                <w:color w:val="auto"/>
              </w:rPr>
            </w:pPr>
            <w:r>
              <w:rPr>
                <w:rFonts w:ascii="Arial" w:cs="Arial" w:eastAsia="Arial" w:hAnsi="Arial"/>
                <w:sz w:val="14"/>
                <w:szCs w:val="14"/>
                <w:color w:val="auto"/>
                <w:w w:val="88"/>
              </w:rPr>
              <w:t>04/30/2013</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jc w:val="right"/>
              <w:ind w:right="12"/>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1"/>
                <w:szCs w:val="11"/>
                <w:color w:val="auto"/>
              </w:rPr>
            </w:pPr>
          </w:p>
        </w:tc>
        <w:tc>
          <w:tcPr>
            <w:tcW w:w="540" w:type="dxa"/>
            <w:vAlign w:val="bottom"/>
            <w:shd w:val="clear" w:color="auto" w:fill="CCEEFF"/>
          </w:tcPr>
          <w:p>
            <w:pPr>
              <w:ind w:left="340"/>
              <w:spacing w:after="0" w:line="136"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1"/>
                <w:szCs w:val="11"/>
                <w:color w:val="auto"/>
              </w:rPr>
            </w:pPr>
          </w:p>
        </w:tc>
        <w:tc>
          <w:tcPr>
            <w:tcW w:w="760" w:type="dxa"/>
            <w:vAlign w:val="bottom"/>
            <w:shd w:val="clear" w:color="auto" w:fill="CCEEFF"/>
          </w:tcPr>
          <w:p>
            <w:pPr>
              <w:ind w:left="560"/>
              <w:spacing w:after="0" w:line="136"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1"/>
                <w:szCs w:val="11"/>
                <w:color w:val="auto"/>
              </w:rPr>
            </w:pPr>
          </w:p>
        </w:tc>
        <w:tc>
          <w:tcPr>
            <w:tcW w:w="6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1,500,000</w:t>
            </w: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ind w:left="240"/>
              <w:spacing w:after="0" w:line="136" w:lineRule="exact"/>
              <w:rPr>
                <w:sz w:val="20"/>
                <w:szCs w:val="20"/>
                <w:color w:val="auto"/>
              </w:rPr>
            </w:pPr>
            <w:r>
              <w:rPr>
                <w:rFonts w:ascii="Arial" w:cs="Arial" w:eastAsia="Arial" w:hAnsi="Arial"/>
                <w:sz w:val="14"/>
                <w:szCs w:val="14"/>
                <w:color w:val="auto"/>
                <w:w w:val="79"/>
              </w:rPr>
              <w:t>10.76</w:t>
            </w:r>
          </w:p>
        </w:tc>
        <w:tc>
          <w:tcPr>
            <w:tcW w:w="220" w:type="dxa"/>
            <w:vAlign w:val="bottom"/>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9"/>
              </w:rPr>
              <w:t>5,112,450</w:t>
            </w: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8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center"/>
              <w:ind w:right="160"/>
              <w:spacing w:after="0" w:line="149" w:lineRule="exact"/>
              <w:rPr>
                <w:sz w:val="20"/>
                <w:szCs w:val="20"/>
                <w:color w:val="auto"/>
              </w:rPr>
            </w:pPr>
            <w:r>
              <w:rPr>
                <w:rFonts w:ascii="Arial" w:cs="Arial" w:eastAsia="Arial" w:hAnsi="Arial"/>
                <w:sz w:val="14"/>
                <w:szCs w:val="14"/>
                <w:color w:val="auto"/>
                <w:w w:val="88"/>
              </w:rPr>
              <w:t>04/30/2013</w:t>
            </w:r>
          </w:p>
        </w:tc>
        <w:tc>
          <w:tcPr>
            <w:tcW w:w="76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0"/>
              </w:rPr>
              <w:t>200,000</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89"/>
              </w:rPr>
              <w:t>2,104,000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8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159,375</w:t>
            </w:r>
          </w:p>
        </w:tc>
        <w:tc>
          <w:tcPr>
            <w:tcW w:w="94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318,750</w:t>
            </w: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1,275,000</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20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1000" w:type="dxa"/>
            <w:vAlign w:val="bottom"/>
            <w:gridSpan w:val="3"/>
          </w:tcPr>
          <w:p>
            <w:pPr>
              <w:jc w:val="center"/>
              <w:ind w:right="20"/>
              <w:spacing w:after="0"/>
              <w:rPr>
                <w:sz w:val="20"/>
                <w:szCs w:val="20"/>
                <w:color w:val="auto"/>
              </w:rPr>
            </w:pPr>
            <w:r>
              <w:rPr>
                <w:rFonts w:ascii="Arial" w:cs="Arial" w:eastAsia="Arial" w:hAnsi="Arial"/>
                <w:sz w:val="14"/>
                <w:szCs w:val="14"/>
                <w:color w:val="auto"/>
                <w:w w:val="88"/>
              </w:rPr>
              <w:t>04/30/2013</w:t>
            </w:r>
          </w:p>
        </w:tc>
        <w:tc>
          <w:tcPr>
            <w:tcW w:w="760" w:type="dxa"/>
            <w:vAlign w:val="bottom"/>
          </w:tcPr>
          <w:p>
            <w:pPr>
              <w:jc w:val="right"/>
              <w:ind w:right="12"/>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74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1"/>
                <w:szCs w:val="21"/>
                <w:color w:val="auto"/>
              </w:rPr>
            </w:pPr>
          </w:p>
        </w:tc>
        <w:tc>
          <w:tcPr>
            <w:tcW w:w="72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9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660" w:type="dxa"/>
            <w:vAlign w:val="bottom"/>
          </w:tcPr>
          <w:p>
            <w:pPr>
              <w:jc w:val="right"/>
              <w:spacing w:after="0"/>
              <w:rPr>
                <w:sz w:val="20"/>
                <w:szCs w:val="20"/>
                <w:color w:val="auto"/>
              </w:rPr>
            </w:pPr>
            <w:r>
              <w:rPr>
                <w:rFonts w:ascii="Arial" w:cs="Arial" w:eastAsia="Arial" w:hAnsi="Arial"/>
                <w:sz w:val="14"/>
                <w:szCs w:val="14"/>
                <w:color w:val="auto"/>
              </w:rPr>
              <w:t>450,000</w:t>
            </w:r>
          </w:p>
        </w:tc>
        <w:tc>
          <w:tcPr>
            <w:tcW w:w="200" w:type="dxa"/>
            <w:vAlign w:val="bottom"/>
          </w:tcPr>
          <w:p>
            <w:pPr>
              <w:spacing w:after="0"/>
              <w:rPr>
                <w:sz w:val="21"/>
                <w:szCs w:val="21"/>
                <w:color w:val="auto"/>
              </w:rPr>
            </w:pPr>
          </w:p>
        </w:tc>
        <w:tc>
          <w:tcPr>
            <w:tcW w:w="760" w:type="dxa"/>
            <w:vAlign w:val="bottom"/>
            <w:gridSpan w:val="2"/>
          </w:tcPr>
          <w:p>
            <w:pPr>
              <w:ind w:left="240"/>
              <w:spacing w:after="0"/>
              <w:rPr>
                <w:sz w:val="20"/>
                <w:szCs w:val="20"/>
                <w:color w:val="auto"/>
              </w:rPr>
            </w:pPr>
            <w:r>
              <w:rPr>
                <w:rFonts w:ascii="Arial" w:cs="Arial" w:eastAsia="Arial" w:hAnsi="Arial"/>
                <w:sz w:val="14"/>
                <w:szCs w:val="14"/>
                <w:color w:val="auto"/>
              </w:rPr>
              <w:t>10.76</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1,533,735</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000" w:type="dxa"/>
            <w:vAlign w:val="bottom"/>
            <w:gridSpan w:val="3"/>
          </w:tcPr>
          <w:p>
            <w:pPr>
              <w:jc w:val="center"/>
              <w:ind w:right="20"/>
              <w:spacing w:after="0" w:line="149" w:lineRule="exact"/>
              <w:rPr>
                <w:sz w:val="20"/>
                <w:szCs w:val="20"/>
                <w:color w:val="auto"/>
              </w:rPr>
            </w:pPr>
            <w:r>
              <w:rPr>
                <w:rFonts w:ascii="Arial" w:cs="Arial" w:eastAsia="Arial" w:hAnsi="Arial"/>
                <w:sz w:val="14"/>
                <w:szCs w:val="14"/>
                <w:color w:val="auto"/>
                <w:w w:val="88"/>
              </w:rPr>
              <w:t>04/30/2013</w:t>
            </w:r>
          </w:p>
        </w:tc>
        <w:tc>
          <w:tcPr>
            <w:tcW w:w="76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2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60,000</w:t>
            </w:r>
          </w:p>
        </w:tc>
        <w:tc>
          <w:tcPr>
            <w:tcW w:w="86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631,200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000" w:type="dxa"/>
            <w:vAlign w:val="bottom"/>
            <w:gridSpan w:val="3"/>
          </w:tcPr>
          <w:p>
            <w:pPr>
              <w:jc w:val="center"/>
              <w:ind w:right="20"/>
              <w:spacing w:after="0"/>
              <w:rPr>
                <w:sz w:val="20"/>
                <w:szCs w:val="20"/>
                <w:color w:val="auto"/>
              </w:rPr>
            </w:pPr>
            <w:r>
              <w:rPr>
                <w:rFonts w:ascii="Arial" w:cs="Arial" w:eastAsia="Arial" w:hAnsi="Arial"/>
                <w:sz w:val="14"/>
                <w:szCs w:val="14"/>
                <w:color w:val="auto"/>
                <w:w w:val="88"/>
              </w:rPr>
              <w:t>04/30/2013</w:t>
            </w:r>
          </w:p>
        </w:tc>
        <w:tc>
          <w:tcPr>
            <w:tcW w:w="760" w:type="dxa"/>
            <w:vAlign w:val="bottom"/>
          </w:tcPr>
          <w:p>
            <w:pPr>
              <w:jc w:val="right"/>
              <w:ind w:right="12"/>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74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jc w:val="right"/>
              <w:spacing w:after="0"/>
              <w:rPr>
                <w:sz w:val="20"/>
                <w:szCs w:val="20"/>
                <w:color w:val="auto"/>
              </w:rPr>
            </w:pPr>
            <w:r>
              <w:rPr>
                <w:rFonts w:ascii="Arial" w:cs="Arial" w:eastAsia="Arial" w:hAnsi="Arial"/>
                <w:sz w:val="14"/>
                <w:szCs w:val="14"/>
                <w:color w:val="auto"/>
              </w:rPr>
              <w:t>0</w:t>
            </w:r>
          </w:p>
        </w:tc>
        <w:tc>
          <w:tcPr>
            <w:tcW w:w="900" w:type="dxa"/>
            <w:vAlign w:val="bottom"/>
            <w:gridSpan w:val="3"/>
          </w:tcPr>
          <w:p>
            <w:pPr>
              <w:jc w:val="right"/>
              <w:ind w:right="180"/>
              <w:spacing w:after="0"/>
              <w:rPr>
                <w:sz w:val="20"/>
                <w:szCs w:val="20"/>
                <w:color w:val="auto"/>
              </w:rPr>
            </w:pPr>
            <w:r>
              <w:rPr>
                <w:rFonts w:ascii="Arial" w:cs="Arial" w:eastAsia="Arial" w:hAnsi="Arial"/>
                <w:sz w:val="14"/>
                <w:szCs w:val="14"/>
                <w:color w:val="auto"/>
              </w:rPr>
              <w:t>50,000</w:t>
            </w:r>
          </w:p>
        </w:tc>
        <w:tc>
          <w:tcPr>
            <w:tcW w:w="940" w:type="dxa"/>
            <w:vAlign w:val="bottom"/>
            <w:gridSpan w:val="2"/>
          </w:tcPr>
          <w:p>
            <w:pPr>
              <w:jc w:val="right"/>
              <w:ind w:right="180"/>
              <w:spacing w:after="0"/>
              <w:rPr>
                <w:sz w:val="20"/>
                <w:szCs w:val="20"/>
                <w:color w:val="auto"/>
              </w:rPr>
            </w:pPr>
            <w:r>
              <w:rPr>
                <w:rFonts w:ascii="Arial" w:cs="Arial" w:eastAsia="Arial" w:hAnsi="Arial"/>
                <w:sz w:val="14"/>
                <w:szCs w:val="14"/>
                <w:color w:val="auto"/>
              </w:rPr>
              <w:t>100,000</w:t>
            </w: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580" w:type="dxa"/>
            <w:vAlign w:val="bottom"/>
          </w:tcPr>
          <w:p>
            <w:pPr>
              <w:jc w:val="right"/>
              <w:spacing w:after="0"/>
              <w:rPr>
                <w:sz w:val="20"/>
                <w:szCs w:val="20"/>
                <w:color w:val="auto"/>
              </w:rPr>
            </w:pPr>
            <w:r>
              <w:rPr>
                <w:rFonts w:ascii="Arial" w:cs="Arial" w:eastAsia="Arial" w:hAnsi="Arial"/>
                <w:sz w:val="14"/>
                <w:szCs w:val="14"/>
                <w:color w:val="auto"/>
                <w:w w:val="89"/>
              </w:rPr>
              <w:t>1,052,000</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800" w:type="dxa"/>
            <w:vAlign w:val="bottom"/>
            <w:gridSpan w:val="2"/>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180" w:type="dxa"/>
            <w:vAlign w:val="bottom"/>
          </w:tcPr>
          <w:p>
            <w:pPr>
              <w:spacing w:after="0"/>
              <w:rPr>
                <w:sz w:val="8"/>
                <w:szCs w:val="8"/>
                <w:color w:val="auto"/>
              </w:rPr>
            </w:pPr>
          </w:p>
        </w:tc>
        <w:tc>
          <w:tcPr>
            <w:tcW w:w="540" w:type="dxa"/>
            <w:vAlign w:val="bottom"/>
          </w:tcPr>
          <w:p>
            <w:pPr>
              <w:spacing w:after="0"/>
              <w:rPr>
                <w:sz w:val="8"/>
                <w:szCs w:val="8"/>
                <w:color w:val="auto"/>
              </w:rPr>
            </w:pPr>
          </w:p>
        </w:tc>
        <w:tc>
          <w:tcPr>
            <w:tcW w:w="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1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Zining Wu</w:t>
            </w:r>
          </w:p>
        </w:tc>
        <w:tc>
          <w:tcPr>
            <w:tcW w:w="1000" w:type="dxa"/>
            <w:vAlign w:val="bottom"/>
            <w:gridSpan w:val="3"/>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8"/>
              </w:rPr>
              <w:t>04/30/2013</w:t>
            </w:r>
          </w:p>
        </w:tc>
        <w:tc>
          <w:tcPr>
            <w:tcW w:w="76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120,000</w:t>
            </w:r>
          </w:p>
        </w:tc>
        <w:tc>
          <w:tcPr>
            <w:tcW w:w="2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ind w:left="240"/>
              <w:spacing w:after="0" w:line="149" w:lineRule="exact"/>
              <w:rPr>
                <w:sz w:val="20"/>
                <w:szCs w:val="20"/>
                <w:color w:val="auto"/>
              </w:rPr>
            </w:pPr>
            <w:r>
              <w:rPr>
                <w:rFonts w:ascii="Arial" w:cs="Arial" w:eastAsia="Arial" w:hAnsi="Arial"/>
                <w:sz w:val="14"/>
                <w:szCs w:val="14"/>
                <w:color w:val="auto"/>
              </w:rPr>
              <w:t>10.76</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408,996</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820" w:type="dxa"/>
            <w:vAlign w:val="bottom"/>
            <w:shd w:val="clear" w:color="auto" w:fill="CCEEFF"/>
          </w:tcPr>
          <w:p>
            <w:pPr>
              <w:spacing w:after="0"/>
              <w:rPr>
                <w:sz w:val="12"/>
                <w:szCs w:val="12"/>
                <w:color w:val="auto"/>
              </w:rPr>
            </w:pPr>
          </w:p>
        </w:tc>
        <w:tc>
          <w:tcPr>
            <w:tcW w:w="1000" w:type="dxa"/>
            <w:vAlign w:val="bottom"/>
            <w:gridSpan w:val="3"/>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8"/>
              </w:rPr>
              <w:t>04/30/2013</w:t>
            </w:r>
          </w:p>
        </w:tc>
        <w:tc>
          <w:tcPr>
            <w:tcW w:w="76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16,000</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168,320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2200" w:type="dxa"/>
            <w:vAlign w:val="bottom"/>
            <w:gridSpan w:val="3"/>
          </w:tcPr>
          <w:p>
            <w:pPr>
              <w:spacing w:after="0"/>
              <w:rPr>
                <w:sz w:val="20"/>
                <w:szCs w:val="20"/>
                <w:color w:val="auto"/>
              </w:rPr>
            </w:pPr>
            <w:r>
              <w:rPr>
                <w:rFonts w:ascii="Arial" w:cs="Arial" w:eastAsia="Arial" w:hAnsi="Arial"/>
                <w:sz w:val="14"/>
                <w:szCs w:val="14"/>
                <w:color w:val="auto"/>
              </w:rPr>
              <w:t>Dr. Pantas Sutardja(6)</w:t>
            </w:r>
          </w:p>
        </w:tc>
        <w:tc>
          <w:tcPr>
            <w:tcW w:w="1000" w:type="dxa"/>
            <w:vAlign w:val="bottom"/>
            <w:gridSpan w:val="3"/>
          </w:tcPr>
          <w:p>
            <w:pPr>
              <w:jc w:val="center"/>
              <w:ind w:right="20"/>
              <w:spacing w:after="0"/>
              <w:rPr>
                <w:sz w:val="20"/>
                <w:szCs w:val="20"/>
                <w:color w:val="auto"/>
              </w:rPr>
            </w:pPr>
            <w:r>
              <w:rPr>
                <w:rFonts w:ascii="Arial" w:cs="Arial" w:eastAsia="Arial" w:hAnsi="Arial"/>
                <w:sz w:val="14"/>
                <w:szCs w:val="14"/>
                <w:color w:val="auto"/>
                <w:w w:val="88"/>
              </w:rPr>
              <w:t>04/30/2013</w:t>
            </w:r>
          </w:p>
        </w:tc>
        <w:tc>
          <w:tcPr>
            <w:tcW w:w="760" w:type="dxa"/>
            <w:vAlign w:val="bottom"/>
          </w:tcPr>
          <w:p>
            <w:pPr>
              <w:jc w:val="right"/>
              <w:ind w:right="12"/>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1"/>
                <w:szCs w:val="21"/>
                <w:color w:val="auto"/>
              </w:rPr>
            </w:pPr>
          </w:p>
        </w:tc>
        <w:tc>
          <w:tcPr>
            <w:tcW w:w="74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21"/>
                <w:szCs w:val="21"/>
                <w:color w:val="auto"/>
              </w:rPr>
            </w:pPr>
          </w:p>
        </w:tc>
        <w:tc>
          <w:tcPr>
            <w:tcW w:w="72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9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660" w:type="dxa"/>
            <w:vAlign w:val="bottom"/>
          </w:tcPr>
          <w:p>
            <w:pPr>
              <w:jc w:val="right"/>
              <w:spacing w:after="0"/>
              <w:rPr>
                <w:sz w:val="20"/>
                <w:szCs w:val="20"/>
                <w:color w:val="auto"/>
              </w:rPr>
            </w:pPr>
            <w:r>
              <w:rPr>
                <w:rFonts w:ascii="Arial" w:cs="Arial" w:eastAsia="Arial" w:hAnsi="Arial"/>
                <w:sz w:val="14"/>
                <w:szCs w:val="14"/>
                <w:color w:val="auto"/>
              </w:rPr>
              <w:t>150,000</w:t>
            </w:r>
          </w:p>
        </w:tc>
        <w:tc>
          <w:tcPr>
            <w:tcW w:w="200" w:type="dxa"/>
            <w:vAlign w:val="bottom"/>
          </w:tcPr>
          <w:p>
            <w:pPr>
              <w:spacing w:after="0"/>
              <w:rPr>
                <w:sz w:val="21"/>
                <w:szCs w:val="21"/>
                <w:color w:val="auto"/>
              </w:rPr>
            </w:pPr>
          </w:p>
        </w:tc>
        <w:tc>
          <w:tcPr>
            <w:tcW w:w="760" w:type="dxa"/>
            <w:vAlign w:val="bottom"/>
            <w:gridSpan w:val="2"/>
          </w:tcPr>
          <w:p>
            <w:pPr>
              <w:ind w:left="240"/>
              <w:spacing w:after="0"/>
              <w:rPr>
                <w:sz w:val="20"/>
                <w:szCs w:val="20"/>
                <w:color w:val="auto"/>
              </w:rPr>
            </w:pPr>
            <w:r>
              <w:rPr>
                <w:rFonts w:ascii="Arial" w:cs="Arial" w:eastAsia="Arial" w:hAnsi="Arial"/>
                <w:sz w:val="14"/>
                <w:szCs w:val="14"/>
                <w:color w:val="auto"/>
              </w:rPr>
              <w:t>10.76</w:t>
            </w:r>
          </w:p>
        </w:tc>
        <w:tc>
          <w:tcPr>
            <w:tcW w:w="580" w:type="dxa"/>
            <w:vAlign w:val="bottom"/>
          </w:tcPr>
          <w:p>
            <w:pPr>
              <w:jc w:val="right"/>
              <w:spacing w:after="0"/>
              <w:rPr>
                <w:sz w:val="20"/>
                <w:szCs w:val="20"/>
                <w:color w:val="auto"/>
              </w:rPr>
            </w:pPr>
            <w:r>
              <w:rPr>
                <w:rFonts w:ascii="Arial" w:cs="Arial" w:eastAsia="Arial" w:hAnsi="Arial"/>
                <w:sz w:val="14"/>
                <w:szCs w:val="14"/>
                <w:color w:val="auto"/>
              </w:rPr>
              <w:t>511,245</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000" w:type="dxa"/>
            <w:vAlign w:val="bottom"/>
            <w:gridSpan w:val="3"/>
          </w:tcPr>
          <w:p>
            <w:pPr>
              <w:jc w:val="center"/>
              <w:ind w:right="20"/>
              <w:spacing w:after="0" w:line="149" w:lineRule="exact"/>
              <w:rPr>
                <w:sz w:val="20"/>
                <w:szCs w:val="20"/>
                <w:color w:val="auto"/>
              </w:rPr>
            </w:pPr>
            <w:r>
              <w:rPr>
                <w:rFonts w:ascii="Arial" w:cs="Arial" w:eastAsia="Arial" w:hAnsi="Arial"/>
                <w:sz w:val="14"/>
                <w:szCs w:val="14"/>
                <w:color w:val="auto"/>
                <w:w w:val="88"/>
              </w:rPr>
              <w:t>04/30/2013</w:t>
            </w:r>
          </w:p>
        </w:tc>
        <w:tc>
          <w:tcPr>
            <w:tcW w:w="76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74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2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20,000</w:t>
            </w:r>
          </w:p>
        </w:tc>
        <w:tc>
          <w:tcPr>
            <w:tcW w:w="86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580" w:type="dxa"/>
            <w:vAlign w:val="bottom"/>
          </w:tcPr>
          <w:p>
            <w:pPr>
              <w:jc w:val="right"/>
              <w:spacing w:after="0" w:line="149" w:lineRule="exact"/>
              <w:rPr>
                <w:sz w:val="20"/>
                <w:szCs w:val="20"/>
                <w:color w:val="auto"/>
              </w:rPr>
            </w:pPr>
            <w:r>
              <w:rPr>
                <w:rFonts w:ascii="Arial" w:cs="Arial" w:eastAsia="Arial" w:hAnsi="Arial"/>
                <w:sz w:val="14"/>
                <w:szCs w:val="14"/>
                <w:color w:val="auto"/>
              </w:rPr>
              <w:t>210,400</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Arial" w:cs="Arial" w:eastAsia="Arial" w:hAnsi="Arial"/>
                <w:sz w:val="14"/>
                <w:szCs w:val="14"/>
                <w:color w:val="auto"/>
              </w:rPr>
              <w:t>26,563</w:t>
            </w:r>
          </w:p>
        </w:tc>
        <w:tc>
          <w:tcPr>
            <w:tcW w:w="940" w:type="dxa"/>
            <w:vAlign w:val="bottom"/>
            <w:gridSpan w:val="3"/>
          </w:tcPr>
          <w:p>
            <w:pPr>
              <w:jc w:val="right"/>
              <w:ind w:right="200"/>
              <w:spacing w:after="0"/>
              <w:rPr>
                <w:sz w:val="20"/>
                <w:szCs w:val="20"/>
                <w:color w:val="auto"/>
              </w:rPr>
            </w:pPr>
            <w:r>
              <w:rPr>
                <w:rFonts w:ascii="Arial" w:cs="Arial" w:eastAsia="Arial" w:hAnsi="Arial"/>
                <w:sz w:val="14"/>
                <w:szCs w:val="14"/>
                <w:color w:val="auto"/>
              </w:rPr>
              <w:t>53,125</w:t>
            </w:r>
          </w:p>
        </w:tc>
        <w:tc>
          <w:tcPr>
            <w:tcW w:w="960" w:type="dxa"/>
            <w:vAlign w:val="bottom"/>
            <w:gridSpan w:val="2"/>
          </w:tcPr>
          <w:p>
            <w:pPr>
              <w:jc w:val="right"/>
              <w:ind w:right="200"/>
              <w:spacing w:after="0"/>
              <w:rPr>
                <w:sz w:val="20"/>
                <w:szCs w:val="20"/>
                <w:color w:val="auto"/>
              </w:rPr>
            </w:pPr>
            <w:r>
              <w:rPr>
                <w:rFonts w:ascii="Arial" w:cs="Arial" w:eastAsia="Arial" w:hAnsi="Arial"/>
                <w:sz w:val="14"/>
                <w:szCs w:val="14"/>
                <w:color w:val="auto"/>
              </w:rPr>
              <w:t>212,500</w:t>
            </w:r>
          </w:p>
        </w:tc>
        <w:tc>
          <w:tcPr>
            <w:tcW w:w="760" w:type="dxa"/>
            <w:vAlign w:val="bottom"/>
          </w:tcPr>
          <w:p>
            <w:pPr>
              <w:ind w:left="560"/>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14"/>
                <w:szCs w:val="14"/>
                <w:color w:val="auto"/>
              </w:rPr>
            </w:pPr>
          </w:p>
        </w:tc>
        <w:tc>
          <w:tcPr>
            <w:tcW w:w="720" w:type="dxa"/>
            <w:vAlign w:val="bottom"/>
            <w:gridSpan w:val="2"/>
          </w:tcPr>
          <w:p>
            <w:pPr>
              <w:ind w:left="340"/>
              <w:spacing w:after="0"/>
              <w:rPr>
                <w:sz w:val="20"/>
                <w:szCs w:val="20"/>
                <w:color w:val="auto"/>
              </w:rPr>
            </w:pPr>
            <w:r>
              <w:rPr>
                <w:rFonts w:ascii="Arial" w:cs="Arial" w:eastAsia="Arial" w:hAnsi="Arial"/>
                <w:sz w:val="14"/>
                <w:szCs w:val="14"/>
                <w:color w:val="auto"/>
              </w:rPr>
              <w:t>—</w:t>
            </w:r>
          </w:p>
        </w:tc>
        <w:tc>
          <w:tcPr>
            <w:tcW w:w="940" w:type="dxa"/>
            <w:vAlign w:val="bottom"/>
            <w:gridSpan w:val="2"/>
          </w:tcPr>
          <w:p>
            <w:pPr>
              <w:ind w:left="560"/>
              <w:spacing w:after="0"/>
              <w:rPr>
                <w:sz w:val="20"/>
                <w:szCs w:val="20"/>
                <w:color w:val="auto"/>
              </w:rPr>
            </w:pPr>
            <w:r>
              <w:rPr>
                <w:rFonts w:ascii="Arial" w:cs="Arial" w:eastAsia="Arial" w:hAnsi="Arial"/>
                <w:sz w:val="14"/>
                <w:szCs w:val="14"/>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64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800" w:type="dxa"/>
            <w:vAlign w:val="bottom"/>
            <w:gridSpan w:val="2"/>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0" w:type="dxa"/>
            <w:vAlign w:val="bottom"/>
          </w:tcPr>
          <w:p>
            <w:pPr>
              <w:spacing w:after="0"/>
              <w:rPr>
                <w:sz w:val="8"/>
                <w:szCs w:val="8"/>
                <w:color w:val="auto"/>
              </w:rPr>
            </w:pPr>
          </w:p>
        </w:tc>
        <w:tc>
          <w:tcPr>
            <w:tcW w:w="760" w:type="dxa"/>
            <w:vAlign w:val="bottom"/>
          </w:tcPr>
          <w:p>
            <w:pPr>
              <w:spacing w:after="0"/>
              <w:rPr>
                <w:sz w:val="8"/>
                <w:szCs w:val="8"/>
                <w:color w:val="auto"/>
              </w:rPr>
            </w:pPr>
          </w:p>
        </w:tc>
        <w:tc>
          <w:tcPr>
            <w:tcW w:w="180" w:type="dxa"/>
            <w:vAlign w:val="bottom"/>
          </w:tcPr>
          <w:p>
            <w:pPr>
              <w:spacing w:after="0"/>
              <w:rPr>
                <w:sz w:val="8"/>
                <w:szCs w:val="8"/>
                <w:color w:val="auto"/>
              </w:rPr>
            </w:pPr>
          </w:p>
        </w:tc>
        <w:tc>
          <w:tcPr>
            <w:tcW w:w="540" w:type="dxa"/>
            <w:vAlign w:val="bottom"/>
          </w:tcPr>
          <w:p>
            <w:pPr>
              <w:spacing w:after="0"/>
              <w:rPr>
                <w:sz w:val="8"/>
                <w:szCs w:val="8"/>
                <w:color w:val="auto"/>
              </w:rPr>
            </w:pPr>
          </w:p>
        </w:tc>
        <w:tc>
          <w:tcPr>
            <w:tcW w:w="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18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1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Brad D. Feller(7)</w:t>
            </w:r>
          </w:p>
        </w:tc>
        <w:tc>
          <w:tcPr>
            <w:tcW w:w="1000" w:type="dxa"/>
            <w:vAlign w:val="bottom"/>
            <w:gridSpan w:val="3"/>
            <w:shd w:val="clear" w:color="auto" w:fill="CCEEFF"/>
          </w:tcPr>
          <w:p>
            <w:pPr>
              <w:jc w:val="center"/>
              <w:ind w:right="20"/>
              <w:spacing w:after="0" w:line="149" w:lineRule="exact"/>
              <w:rPr>
                <w:sz w:val="20"/>
                <w:szCs w:val="20"/>
                <w:color w:val="auto"/>
              </w:rPr>
            </w:pPr>
            <w:r>
              <w:rPr>
                <w:rFonts w:ascii="Arial" w:cs="Arial" w:eastAsia="Arial" w:hAnsi="Arial"/>
                <w:sz w:val="14"/>
                <w:szCs w:val="14"/>
                <w:color w:val="auto"/>
                <w:w w:val="88"/>
              </w:rPr>
              <w:t>04/30/2013</w:t>
            </w:r>
          </w:p>
        </w:tc>
        <w:tc>
          <w:tcPr>
            <w:tcW w:w="76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45,000</w:t>
            </w:r>
          </w:p>
        </w:tc>
        <w:tc>
          <w:tcPr>
            <w:tcW w:w="2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ind w:left="240"/>
              <w:spacing w:after="0" w:line="149" w:lineRule="exact"/>
              <w:rPr>
                <w:sz w:val="20"/>
                <w:szCs w:val="20"/>
                <w:color w:val="auto"/>
              </w:rPr>
            </w:pPr>
            <w:r>
              <w:rPr>
                <w:rFonts w:ascii="Arial" w:cs="Arial" w:eastAsia="Arial" w:hAnsi="Arial"/>
                <w:sz w:val="14"/>
                <w:szCs w:val="14"/>
                <w:color w:val="auto"/>
              </w:rPr>
              <w:t>10.76</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153,374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8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center"/>
              <w:ind w:right="160"/>
              <w:spacing w:after="0" w:line="149" w:lineRule="exact"/>
              <w:rPr>
                <w:sz w:val="20"/>
                <w:szCs w:val="20"/>
                <w:color w:val="auto"/>
              </w:rPr>
            </w:pPr>
            <w:r>
              <w:rPr>
                <w:rFonts w:ascii="Arial" w:cs="Arial" w:eastAsia="Arial" w:hAnsi="Arial"/>
                <w:sz w:val="14"/>
                <w:szCs w:val="14"/>
                <w:color w:val="auto"/>
                <w:w w:val="88"/>
              </w:rPr>
              <w:t>04/30/2013</w:t>
            </w:r>
          </w:p>
        </w:tc>
        <w:tc>
          <w:tcPr>
            <w:tcW w:w="76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4,000</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5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42,080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8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14,250</w:t>
            </w:r>
          </w:p>
        </w:tc>
        <w:tc>
          <w:tcPr>
            <w:tcW w:w="94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28,500</w:t>
            </w: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114,000</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7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8" w:lineRule="exact"/>
        <w:rPr>
          <w:sz w:val="20"/>
          <w:szCs w:val="20"/>
          <w:color w:val="auto"/>
        </w:rPr>
      </w:pPr>
    </w:p>
    <w:p>
      <w:pPr>
        <w:ind w:left="340" w:hanging="332"/>
        <w:spacing w:after="0" w:line="265" w:lineRule="auto"/>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This plan is intended to qualify under Section 162(m). The amounts represent the threshold, target and maximum dollar payouts under our Executive Incentive Performance Plan for fiscal 2014. There is no payout below threshold performance. There were no payments made under this plan for fiscal 2014 performance. Further information regarding this plan is included in the section entitled “Elements of Executive Compensation-Fiscal 2014 Annual Incentive Plan” in the Compensation Discussion and Analysis above. Ms. Dai, Mr. Rashkin and Dr. Wu did not participate in this plan.</w:t>
      </w:r>
    </w:p>
    <w:p>
      <w:pPr>
        <w:ind w:left="340" w:hanging="332"/>
        <w:spacing w:after="0"/>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Amounts shown represent RSUs issued under the 1995 Stock Plan that vested in full upon the named executive officer’s completion of a one-year service period, measured from April 1, 2013.</w:t>
      </w:r>
    </w:p>
    <w:p>
      <w:pPr>
        <w:spacing w:after="0" w:line="10" w:lineRule="exact"/>
        <w:rPr>
          <w:rFonts w:ascii="Arial" w:cs="Arial" w:eastAsia="Arial" w:hAnsi="Arial"/>
          <w:sz w:val="12"/>
          <w:szCs w:val="12"/>
          <w:color w:val="auto"/>
        </w:rPr>
      </w:pPr>
    </w:p>
    <w:p>
      <w:pPr>
        <w:ind w:left="340" w:right="140" w:hanging="332"/>
        <w:spacing w:after="0" w:line="258" w:lineRule="auto"/>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Amounts shown represent options issued under the 1995 Stock Plan that will, in general, vest and become exercisable in three equal annual installments upon the named executive officer’s completion of each year of service on the second, third and fourth anniversary, measured from April 1, 2013. The options have a term of 10 years from the date of grant.</w:t>
      </w:r>
    </w:p>
    <w:p>
      <w:pPr>
        <w:ind w:left="340" w:right="20" w:hanging="332"/>
        <w:spacing w:after="0" w:line="258" w:lineRule="auto"/>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ind w:left="360" w:right="100"/>
        <w:spacing w:after="0" w:line="258" w:lineRule="auto"/>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12 of Notes to Consolidated Financial Statements in Part I, Item 8 of our Annual Report Form 10-K for fiscal 2014.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ind w:left="340" w:right="160" w:hanging="332"/>
        <w:spacing w:after="0" w:line="221" w:lineRule="auto"/>
        <w:tabs>
          <w:tab w:leader="none" w:pos="3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Companies make different assumptions regarding the volatility input when determining the estimated grant date fair value in accordance with FASB ASC Topic 718 pursuant to the Black-Scholes option pricing model. For additional details on the difference between the aggregate value of fiscal 2013 stock option awards using a blended volatility and implied volatility, see note (3) to the Summary Compensation Table for Fiscal 2014, 2013 and 2012.</w:t>
      </w:r>
    </w:p>
    <w:p>
      <w:pPr>
        <w:ind w:left="340" w:right="360" w:hanging="332"/>
        <w:spacing w:after="0" w:line="258" w:lineRule="auto"/>
        <w:tabs>
          <w:tab w:leader="none" w:pos="340" w:val="left"/>
        </w:tabs>
        <w:numPr>
          <w:ilvl w:val="0"/>
          <w:numId w:val="81"/>
        </w:numPr>
        <w:rPr>
          <w:rFonts w:ascii="Arial" w:cs="Arial" w:eastAsia="Arial" w:hAnsi="Arial"/>
          <w:sz w:val="12"/>
          <w:szCs w:val="12"/>
          <w:color w:val="auto"/>
        </w:rPr>
      </w:pPr>
      <w:r>
        <w:rPr>
          <w:rFonts w:ascii="Arial" w:cs="Arial" w:eastAsia="Arial" w:hAnsi="Arial"/>
          <w:sz w:val="12"/>
          <w:szCs w:val="12"/>
          <w:color w:val="auto"/>
        </w:rPr>
        <w:t>Dr. Pantas Sutardja resigned as Vice President, Chief Financial Officer and Chief Research and Development Officer effective as of January 15, 2014, but continued on as an employee to assist in the transition until February 28, 2014. Each of the awards in the table above was cancelled upon his termination of employment effective as of February 28, 2014.</w:t>
      </w:r>
    </w:p>
    <w:p>
      <w:pPr>
        <w:ind w:left="340" w:hanging="332"/>
        <w:spacing w:after="0"/>
        <w:tabs>
          <w:tab w:leader="none" w:pos="3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Mr. Feller resigned as Interim Chief Financial Officer effective as of December 10, 2013. Each of the awards in the table above was cancelled upon his resignation.</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2014 Year-End</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4"/>
          </w:tcPr>
          <w:p>
            <w:pPr>
              <w:jc w:val="right"/>
              <w:ind w:right="420"/>
              <w:spacing w:after="0"/>
              <w:rPr>
                <w:sz w:val="20"/>
                <w:szCs w:val="20"/>
                <w:color w:val="auto"/>
              </w:rPr>
            </w:pPr>
            <w:r>
              <w:rPr>
                <w:rFonts w:ascii="Arial" w:cs="Arial" w:eastAsia="Arial" w:hAnsi="Arial"/>
                <w:sz w:val="14"/>
                <w:szCs w:val="14"/>
                <w:b w:val="1"/>
                <w:bCs w:val="1"/>
                <w:color w:val="auto"/>
                <w:w w:val="90"/>
              </w:rPr>
              <w:t>Option Awards</w:t>
            </w: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860" w:type="dxa"/>
            <w:vAlign w:val="bottom"/>
            <w:tcBorders>
              <w:bottom w:val="single" w:sz="8" w:color="auto"/>
            </w:tcBorders>
            <w:gridSpan w:val="4"/>
          </w:tcPr>
          <w:p>
            <w:pPr>
              <w:ind w:left="380"/>
              <w:spacing w:after="0"/>
              <w:rPr>
                <w:sz w:val="20"/>
                <w:szCs w:val="20"/>
                <w:color w:val="auto"/>
              </w:rPr>
            </w:pPr>
            <w:r>
              <w:rPr>
                <w:rFonts w:ascii="Arial" w:cs="Arial" w:eastAsia="Arial" w:hAnsi="Arial"/>
                <w:sz w:val="14"/>
                <w:szCs w:val="14"/>
                <w:b w:val="1"/>
                <w:bCs w:val="1"/>
                <w:color w:val="auto"/>
              </w:rPr>
              <w:t>Stock Awards</w:t>
            </w:r>
          </w:p>
        </w:tc>
        <w:tc>
          <w:tcPr>
            <w:tcW w:w="68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88"/>
              </w:rPr>
              <w:t>Equity</w:t>
            </w: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9"/>
              </w:rPr>
              <w:t>Equity Plan</w:t>
            </w: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Incentive</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Equity</w:t>
            </w: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5"/>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Plan</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Incentive</w:t>
            </w: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4"/>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Awards:</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Plan</w:t>
            </w: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60" w:type="dxa"/>
            <w:vAlign w:val="bottom"/>
          </w:tcPr>
          <w:p>
            <w:pPr>
              <w:spacing w:after="0"/>
              <w:rPr>
                <w:sz w:val="12"/>
                <w:szCs w:val="12"/>
                <w:color w:val="auto"/>
              </w:rPr>
            </w:pPr>
          </w:p>
        </w:tc>
        <w:tc>
          <w:tcPr>
            <w:tcW w:w="1020" w:type="dxa"/>
            <w:vAlign w:val="bottom"/>
            <w:gridSpan w:val="2"/>
          </w:tcPr>
          <w:p>
            <w:pPr>
              <w:jc w:val="center"/>
              <w:ind w:right="272"/>
              <w:spacing w:after="0" w:line="149" w:lineRule="exact"/>
              <w:rPr>
                <w:sz w:val="20"/>
                <w:szCs w:val="20"/>
                <w:color w:val="auto"/>
              </w:rPr>
            </w:pPr>
            <w:r>
              <w:rPr>
                <w:rFonts w:ascii="Arial" w:cs="Arial" w:eastAsia="Arial" w:hAnsi="Arial"/>
                <w:sz w:val="14"/>
                <w:szCs w:val="14"/>
                <w:b w:val="1"/>
                <w:bCs w:val="1"/>
                <w:color w:val="auto"/>
                <w:w w:val="91"/>
              </w:rPr>
              <w:t>Number of</w:t>
            </w:r>
          </w:p>
        </w:tc>
        <w:tc>
          <w:tcPr>
            <w:tcW w:w="10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7"/>
              </w:rPr>
              <w:t>Market</w:t>
            </w:r>
          </w:p>
        </w:tc>
        <w:tc>
          <w:tcPr>
            <w:tcW w:w="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Awards:</w:t>
            </w: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60" w:type="dxa"/>
            <w:vAlign w:val="bottom"/>
          </w:tcPr>
          <w:p>
            <w:pPr>
              <w:spacing w:after="0"/>
              <w:rPr>
                <w:sz w:val="12"/>
                <w:szCs w:val="12"/>
                <w:color w:val="auto"/>
              </w:rPr>
            </w:pPr>
          </w:p>
        </w:tc>
        <w:tc>
          <w:tcPr>
            <w:tcW w:w="1020" w:type="dxa"/>
            <w:vAlign w:val="bottom"/>
            <w:gridSpan w:val="2"/>
          </w:tcPr>
          <w:p>
            <w:pPr>
              <w:jc w:val="center"/>
              <w:ind w:right="272"/>
              <w:spacing w:after="0" w:line="149" w:lineRule="exact"/>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6"/>
              </w:rPr>
              <w:t>Securities</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Value of</w:t>
            </w:r>
          </w:p>
        </w:tc>
        <w:tc>
          <w:tcPr>
            <w:tcW w:w="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Underlying</w:t>
            </w:r>
          </w:p>
        </w:tc>
        <w:tc>
          <w:tcPr>
            <w:tcW w:w="160" w:type="dxa"/>
            <w:vAlign w:val="bottom"/>
          </w:tcPr>
          <w:p>
            <w:pPr>
              <w:spacing w:after="0"/>
              <w:rPr>
                <w:sz w:val="12"/>
                <w:szCs w:val="12"/>
                <w:color w:val="auto"/>
              </w:rPr>
            </w:pPr>
          </w:p>
        </w:tc>
        <w:tc>
          <w:tcPr>
            <w:tcW w:w="1020" w:type="dxa"/>
            <w:vAlign w:val="bottom"/>
            <w:gridSpan w:val="2"/>
          </w:tcPr>
          <w:p>
            <w:pPr>
              <w:jc w:val="center"/>
              <w:ind w:right="272"/>
              <w:spacing w:after="0" w:line="149" w:lineRule="exact"/>
              <w:rPr>
                <w:sz w:val="20"/>
                <w:szCs w:val="20"/>
                <w:color w:val="auto"/>
              </w:rPr>
            </w:pPr>
            <w:r>
              <w:rPr>
                <w:rFonts w:ascii="Arial" w:cs="Arial" w:eastAsia="Arial" w:hAnsi="Arial"/>
                <w:sz w:val="14"/>
                <w:szCs w:val="14"/>
                <w:b w:val="1"/>
                <w:bCs w:val="1"/>
                <w:color w:val="auto"/>
                <w:w w:val="87"/>
              </w:rPr>
              <w:t>Underlying</w:t>
            </w:r>
          </w:p>
        </w:tc>
        <w:tc>
          <w:tcPr>
            <w:tcW w:w="10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100" w:type="dxa"/>
            <w:vAlign w:val="bottom"/>
          </w:tcPr>
          <w:p>
            <w:pPr>
              <w:spacing w:after="0"/>
              <w:rPr>
                <w:sz w:val="12"/>
                <w:szCs w:val="12"/>
                <w:color w:val="auto"/>
              </w:rPr>
            </w:pPr>
          </w:p>
        </w:tc>
        <w:tc>
          <w:tcPr>
            <w:tcW w:w="7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Option</w:t>
            </w: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Number of</w:t>
            </w:r>
          </w:p>
        </w:tc>
        <w:tc>
          <w:tcPr>
            <w:tcW w:w="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4"/>
              </w:rPr>
              <w:t>Units of</w:t>
            </w:r>
          </w:p>
        </w:tc>
        <w:tc>
          <w:tcPr>
            <w:tcW w:w="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9"/>
              </w:rPr>
              <w:t>Unearned</w:t>
            </w: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79"/>
              </w:rPr>
              <w:t>Unexercised</w:t>
            </w:r>
          </w:p>
        </w:tc>
        <w:tc>
          <w:tcPr>
            <w:tcW w:w="16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0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00" w:type="dxa"/>
            <w:vAlign w:val="bottom"/>
          </w:tcPr>
          <w:p>
            <w:pPr>
              <w:spacing w:after="0"/>
              <w:rPr>
                <w:sz w:val="12"/>
                <w:szCs w:val="12"/>
                <w:color w:val="auto"/>
              </w:rPr>
            </w:pPr>
          </w:p>
        </w:tc>
        <w:tc>
          <w:tcPr>
            <w:tcW w:w="7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3"/>
              </w:rPr>
              <w:t>Exercise</w:t>
            </w:r>
          </w:p>
        </w:tc>
        <w:tc>
          <w:tcPr>
            <w:tcW w:w="9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Option</w:t>
            </w:r>
          </w:p>
        </w:tc>
        <w:tc>
          <w:tcPr>
            <w:tcW w:w="1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Units That</w:t>
            </w:r>
          </w:p>
        </w:tc>
        <w:tc>
          <w:tcPr>
            <w:tcW w:w="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9"/>
              </w:rPr>
              <w:t>Stock That</w:t>
            </w:r>
          </w:p>
        </w:tc>
        <w:tc>
          <w:tcPr>
            <w:tcW w:w="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Units That</w:t>
            </w: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Units That</w:t>
            </w:r>
          </w:p>
        </w:tc>
        <w:tc>
          <w:tcPr>
            <w:tcW w:w="0" w:type="dxa"/>
            <w:vAlign w:val="bottom"/>
          </w:tcPr>
          <w:p>
            <w:pPr>
              <w:spacing w:after="0"/>
              <w:rPr>
                <w:sz w:val="1"/>
                <w:szCs w:val="1"/>
                <w:color w:val="auto"/>
              </w:rPr>
            </w:pPr>
          </w:p>
        </w:tc>
      </w:tr>
      <w:tr>
        <w:trPr>
          <w:trHeight w:val="149"/>
        </w:trPr>
        <w:tc>
          <w:tcPr>
            <w:tcW w:w="26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Options (#)</w:t>
            </w:r>
          </w:p>
        </w:tc>
        <w:tc>
          <w:tcPr>
            <w:tcW w:w="160" w:type="dxa"/>
            <w:vAlign w:val="bottom"/>
          </w:tcPr>
          <w:p>
            <w:pPr>
              <w:spacing w:after="0"/>
              <w:rPr>
                <w:sz w:val="12"/>
                <w:szCs w:val="12"/>
                <w:color w:val="auto"/>
              </w:rPr>
            </w:pPr>
          </w:p>
        </w:tc>
        <w:tc>
          <w:tcPr>
            <w:tcW w:w="1020" w:type="dxa"/>
            <w:vAlign w:val="bottom"/>
            <w:gridSpan w:val="2"/>
          </w:tcPr>
          <w:p>
            <w:pPr>
              <w:jc w:val="center"/>
              <w:ind w:right="272"/>
              <w:spacing w:after="0" w:line="149" w:lineRule="exact"/>
              <w:rPr>
                <w:sz w:val="20"/>
                <w:szCs w:val="20"/>
                <w:color w:val="auto"/>
              </w:rPr>
            </w:pPr>
            <w:r>
              <w:rPr>
                <w:rFonts w:ascii="Arial" w:cs="Arial" w:eastAsia="Arial" w:hAnsi="Arial"/>
                <w:sz w:val="14"/>
                <w:szCs w:val="14"/>
                <w:b w:val="1"/>
                <w:bCs w:val="1"/>
                <w:color w:val="auto"/>
                <w:w w:val="86"/>
              </w:rPr>
              <w:t>Options (#)</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95"/>
              </w:rPr>
              <w:t>Unearned</w:t>
            </w:r>
          </w:p>
        </w:tc>
        <w:tc>
          <w:tcPr>
            <w:tcW w:w="100" w:type="dxa"/>
            <w:vAlign w:val="bottom"/>
          </w:tcPr>
          <w:p>
            <w:pPr>
              <w:spacing w:after="0"/>
              <w:rPr>
                <w:sz w:val="12"/>
                <w:szCs w:val="12"/>
                <w:color w:val="auto"/>
              </w:rPr>
            </w:pPr>
          </w:p>
        </w:tc>
        <w:tc>
          <w:tcPr>
            <w:tcW w:w="7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Price</w:t>
            </w:r>
          </w:p>
        </w:tc>
        <w:tc>
          <w:tcPr>
            <w:tcW w:w="9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Expiration</w:t>
            </w:r>
          </w:p>
        </w:tc>
        <w:tc>
          <w:tcPr>
            <w:tcW w:w="1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Have Not</w:t>
            </w: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Have Not</w:t>
            </w:r>
          </w:p>
        </w:tc>
        <w:tc>
          <w:tcPr>
            <w:tcW w:w="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Have Not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98"/>
              </w:rPr>
              <w:t>Have Not</w:t>
            </w:r>
          </w:p>
        </w:tc>
        <w:tc>
          <w:tcPr>
            <w:tcW w:w="0" w:type="dxa"/>
            <w:vAlign w:val="bottom"/>
          </w:tcPr>
          <w:p>
            <w:pPr>
              <w:spacing w:after="0"/>
              <w:rPr>
                <w:sz w:val="1"/>
                <w:szCs w:val="1"/>
                <w:color w:val="auto"/>
              </w:rPr>
            </w:pPr>
          </w:p>
        </w:tc>
      </w:tr>
      <w:tr>
        <w:trPr>
          <w:trHeight w:val="148"/>
        </w:trPr>
        <w:tc>
          <w:tcPr>
            <w:tcW w:w="2600" w:type="dxa"/>
            <w:vAlign w:val="bottom"/>
            <w:gridSpan w:val="3"/>
            <w:vMerge w:val="continue"/>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300"/>
              <w:spacing w:after="0" w:line="148" w:lineRule="exact"/>
              <w:rPr>
                <w:sz w:val="20"/>
                <w:szCs w:val="20"/>
                <w:color w:val="auto"/>
              </w:rPr>
            </w:pPr>
            <w:r>
              <w:rPr>
                <w:rFonts w:ascii="Arial" w:cs="Arial" w:eastAsia="Arial" w:hAnsi="Arial"/>
                <w:sz w:val="14"/>
                <w:szCs w:val="14"/>
                <w:b w:val="1"/>
                <w:bCs w:val="1"/>
                <w:color w:val="auto"/>
                <w:w w:val="82"/>
              </w:rPr>
              <w:t>Exercisable</w:t>
            </w:r>
          </w:p>
        </w:tc>
        <w:tc>
          <w:tcPr>
            <w:tcW w:w="160" w:type="dxa"/>
            <w:vAlign w:val="bottom"/>
          </w:tcPr>
          <w:p>
            <w:pPr>
              <w:spacing w:after="0"/>
              <w:rPr>
                <w:sz w:val="12"/>
                <w:szCs w:val="12"/>
                <w:color w:val="auto"/>
              </w:rPr>
            </w:pPr>
          </w:p>
        </w:tc>
        <w:tc>
          <w:tcPr>
            <w:tcW w:w="1020" w:type="dxa"/>
            <w:vAlign w:val="bottom"/>
            <w:gridSpan w:val="2"/>
          </w:tcPr>
          <w:p>
            <w:pPr>
              <w:jc w:val="center"/>
              <w:ind w:right="212"/>
              <w:spacing w:after="0" w:line="148" w:lineRule="exact"/>
              <w:rPr>
                <w:sz w:val="20"/>
                <w:szCs w:val="20"/>
                <w:color w:val="auto"/>
              </w:rPr>
            </w:pPr>
            <w:r>
              <w:rPr>
                <w:rFonts w:ascii="Arial" w:cs="Arial" w:eastAsia="Arial" w:hAnsi="Arial"/>
                <w:sz w:val="14"/>
                <w:szCs w:val="14"/>
                <w:b w:val="1"/>
                <w:bCs w:val="1"/>
                <w:color w:val="auto"/>
                <w:w w:val="77"/>
              </w:rPr>
              <w:t>Unexercisable</w:t>
            </w:r>
          </w:p>
        </w:tc>
        <w:tc>
          <w:tcPr>
            <w:tcW w:w="100" w:type="dxa"/>
            <w:vAlign w:val="bottom"/>
          </w:tcPr>
          <w:p>
            <w:pPr>
              <w:spacing w:after="0"/>
              <w:rPr>
                <w:sz w:val="12"/>
                <w:szCs w:val="12"/>
                <w:color w:val="auto"/>
              </w:rPr>
            </w:pPr>
          </w:p>
        </w:tc>
        <w:tc>
          <w:tcPr>
            <w:tcW w:w="960" w:type="dxa"/>
            <w:vAlign w:val="bottom"/>
            <w:gridSpan w:val="2"/>
          </w:tcPr>
          <w:p>
            <w:pPr>
              <w:jc w:val="center"/>
              <w:ind w:right="260"/>
              <w:spacing w:after="0" w:line="148" w:lineRule="exact"/>
              <w:rPr>
                <w:sz w:val="20"/>
                <w:szCs w:val="20"/>
                <w:color w:val="auto"/>
              </w:rPr>
            </w:pPr>
            <w:r>
              <w:rPr>
                <w:rFonts w:ascii="Arial" w:cs="Arial" w:eastAsia="Arial" w:hAnsi="Arial"/>
                <w:sz w:val="14"/>
                <w:szCs w:val="14"/>
                <w:b w:val="1"/>
                <w:bCs w:val="1"/>
                <w:color w:val="auto"/>
                <w:w w:val="89"/>
              </w:rPr>
              <w:t>Options (#)</w:t>
            </w:r>
          </w:p>
        </w:tc>
        <w:tc>
          <w:tcPr>
            <w:tcW w:w="580" w:type="dxa"/>
            <w:vAlign w:val="bottom"/>
            <w:gridSpan w:val="2"/>
          </w:tcPr>
          <w:p>
            <w:pPr>
              <w:jc w:val="center"/>
              <w:ind w:left="32"/>
              <w:spacing w:after="0" w:line="148" w:lineRule="exact"/>
              <w:rPr>
                <w:sz w:val="20"/>
                <w:szCs w:val="20"/>
                <w:color w:val="auto"/>
              </w:rPr>
            </w:pPr>
            <w:r>
              <w:rPr>
                <w:rFonts w:ascii="Arial" w:cs="Arial" w:eastAsia="Arial" w:hAnsi="Arial"/>
                <w:sz w:val="14"/>
                <w:szCs w:val="14"/>
                <w:b w:val="1"/>
                <w:bCs w:val="1"/>
                <w:color w:val="auto"/>
                <w:w w:val="93"/>
              </w:rPr>
              <w:t>($)</w:t>
            </w:r>
          </w:p>
        </w:tc>
        <w:tc>
          <w:tcPr>
            <w:tcW w:w="280" w:type="dxa"/>
            <w:vAlign w:val="bottom"/>
          </w:tcPr>
          <w:p>
            <w:pPr>
              <w:spacing w:after="0"/>
              <w:rPr>
                <w:sz w:val="12"/>
                <w:szCs w:val="12"/>
                <w:color w:val="auto"/>
              </w:rPr>
            </w:pPr>
          </w:p>
        </w:tc>
        <w:tc>
          <w:tcPr>
            <w:tcW w:w="920" w:type="dxa"/>
            <w:vAlign w:val="bottom"/>
            <w:gridSpan w:val="2"/>
          </w:tcPr>
          <w:p>
            <w:pPr>
              <w:jc w:val="center"/>
              <w:ind w:right="260"/>
              <w:spacing w:after="0" w:line="148" w:lineRule="exact"/>
              <w:rPr>
                <w:sz w:val="20"/>
                <w:szCs w:val="20"/>
                <w:color w:val="auto"/>
              </w:rPr>
            </w:pPr>
            <w:r>
              <w:rPr>
                <w:rFonts w:ascii="Arial" w:cs="Arial" w:eastAsia="Arial" w:hAnsi="Arial"/>
                <w:sz w:val="14"/>
                <w:szCs w:val="14"/>
                <w:b w:val="1"/>
                <w:bCs w:val="1"/>
                <w:color w:val="auto"/>
                <w:w w:val="85"/>
              </w:rPr>
              <w:t>Date</w:t>
            </w:r>
          </w:p>
        </w:tc>
        <w:tc>
          <w:tcPr>
            <w:tcW w:w="100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3"/>
              </w:rPr>
              <w:t>Vested (#)</w:t>
            </w:r>
          </w:p>
        </w:tc>
        <w:tc>
          <w:tcPr>
            <w:tcW w:w="960" w:type="dxa"/>
            <w:vAlign w:val="bottom"/>
            <w:gridSpan w:val="2"/>
          </w:tcPr>
          <w:p>
            <w:pPr>
              <w:jc w:val="center"/>
              <w:ind w:right="320"/>
              <w:spacing w:after="0" w:line="148" w:lineRule="exact"/>
              <w:rPr>
                <w:sz w:val="20"/>
                <w:szCs w:val="20"/>
                <w:color w:val="auto"/>
              </w:rPr>
            </w:pPr>
            <w:r>
              <w:rPr>
                <w:rFonts w:ascii="Arial" w:cs="Arial" w:eastAsia="Arial" w:hAnsi="Arial"/>
                <w:sz w:val="14"/>
                <w:szCs w:val="14"/>
                <w:b w:val="1"/>
                <w:bCs w:val="1"/>
                <w:color w:val="auto"/>
                <w:w w:val="83"/>
              </w:rPr>
              <w:t xml:space="preserve">Vested </w:t>
            </w:r>
            <w:r>
              <w:rPr>
                <w:rFonts w:ascii="Arial" w:cs="Arial" w:eastAsia="Arial" w:hAnsi="Arial"/>
                <w:sz w:val="14"/>
                <w:szCs w:val="14"/>
                <w:b w:val="1"/>
                <w:bCs w:val="1"/>
                <w:u w:val="single" w:color="auto"/>
                <w:color w:val="auto"/>
                <w:w w:val="83"/>
              </w:rPr>
              <w:t>($</w:t>
            </w:r>
            <w:r>
              <w:rPr>
                <w:rFonts w:ascii="Arial" w:cs="Arial" w:eastAsia="Arial" w:hAnsi="Arial"/>
                <w:sz w:val="14"/>
                <w:szCs w:val="14"/>
                <w:b w:val="1"/>
                <w:bCs w:val="1"/>
                <w:color w:val="auto"/>
                <w:w w:val="83"/>
              </w:rPr>
              <w:t>)</w:t>
            </w:r>
          </w:p>
        </w:tc>
        <w:tc>
          <w:tcPr>
            <w:tcW w:w="90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86"/>
              </w:rPr>
              <w:t>Vested (#)</w:t>
            </w:r>
          </w:p>
        </w:tc>
        <w:tc>
          <w:tcPr>
            <w:tcW w:w="860" w:type="dxa"/>
            <w:vAlign w:val="bottom"/>
            <w:gridSpan w:val="2"/>
          </w:tcPr>
          <w:p>
            <w:pPr>
              <w:jc w:val="right"/>
              <w:ind w:right="240"/>
              <w:spacing w:after="0" w:line="148" w:lineRule="exact"/>
              <w:rPr>
                <w:sz w:val="20"/>
                <w:szCs w:val="20"/>
                <w:color w:val="auto"/>
              </w:rPr>
            </w:pPr>
            <w:r>
              <w:rPr>
                <w:rFonts w:ascii="Arial" w:cs="Arial" w:eastAsia="Arial" w:hAnsi="Arial"/>
                <w:sz w:val="14"/>
                <w:szCs w:val="14"/>
                <w:b w:val="1"/>
                <w:bCs w:val="1"/>
                <w:color w:val="auto"/>
                <w:w w:val="89"/>
              </w:rPr>
              <w:t>Vested ($)</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222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2580" w:type="dxa"/>
            <w:vAlign w:val="bottom"/>
            <w:gridSpan w:val="2"/>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140" w:type="dxa"/>
            <w:vAlign w:val="bottom"/>
            <w:tcBorders>
              <w:right w:val="single" w:sz="8" w:color="CCEEFF"/>
            </w:tcBorders>
            <w:shd w:val="clear" w:color="auto" w:fill="CCEEFF"/>
          </w:tcPr>
          <w:p>
            <w:pPr>
              <w:spacing w:after="0"/>
              <w:rPr>
                <w:sz w:val="11"/>
                <w:szCs w:val="11"/>
                <w:color w:val="auto"/>
              </w:rPr>
            </w:pPr>
          </w:p>
        </w:tc>
        <w:tc>
          <w:tcPr>
            <w:tcW w:w="940" w:type="dxa"/>
            <w:vAlign w:val="bottom"/>
            <w:gridSpan w:val="2"/>
            <w:shd w:val="clear" w:color="auto" w:fill="CCEEFF"/>
          </w:tcPr>
          <w:p>
            <w:pPr>
              <w:jc w:val="right"/>
              <w:ind w:right="120"/>
              <w:spacing w:after="0" w:line="136" w:lineRule="exact"/>
              <w:rPr>
                <w:sz w:val="20"/>
                <w:szCs w:val="20"/>
                <w:color w:val="auto"/>
              </w:rPr>
            </w:pPr>
            <w:r>
              <w:rPr>
                <w:rFonts w:ascii="Arial" w:cs="Arial" w:eastAsia="Arial" w:hAnsi="Arial"/>
                <w:sz w:val="14"/>
                <w:szCs w:val="14"/>
                <w:color w:val="auto"/>
              </w:rPr>
              <w:t>292,000(1)</w:t>
            </w:r>
          </w:p>
        </w:tc>
        <w:tc>
          <w:tcPr>
            <w:tcW w:w="160" w:type="dxa"/>
            <w:vAlign w:val="bottom"/>
            <w:tcBorders>
              <w:right w:val="single" w:sz="8" w:color="CCEEFF"/>
            </w:tcBorders>
            <w:shd w:val="clear" w:color="auto" w:fill="CCEEFF"/>
          </w:tcPr>
          <w:p>
            <w:pPr>
              <w:spacing w:after="0"/>
              <w:rPr>
                <w:sz w:val="11"/>
                <w:szCs w:val="11"/>
                <w:color w:val="auto"/>
              </w:rPr>
            </w:pPr>
          </w:p>
        </w:tc>
        <w:tc>
          <w:tcPr>
            <w:tcW w:w="740" w:type="dxa"/>
            <w:vAlign w:val="bottom"/>
            <w:shd w:val="clear" w:color="auto" w:fill="CCEEFF"/>
          </w:tcPr>
          <w:p>
            <w:pPr>
              <w:ind w:left="540"/>
              <w:spacing w:after="0" w:line="136"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70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90"/>
              </w:rPr>
              <w:t>34.3750</w:t>
            </w:r>
          </w:p>
        </w:tc>
        <w:tc>
          <w:tcPr>
            <w:tcW w:w="280" w:type="dxa"/>
            <w:vAlign w:val="bottom"/>
            <w:shd w:val="clear" w:color="auto" w:fill="CCEEFF"/>
          </w:tcPr>
          <w:p>
            <w:pPr>
              <w:spacing w:after="0"/>
              <w:rPr>
                <w:sz w:val="11"/>
                <w:szCs w:val="11"/>
                <w:color w:val="auto"/>
              </w:rPr>
            </w:pPr>
          </w:p>
        </w:tc>
        <w:tc>
          <w:tcPr>
            <w:tcW w:w="66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3/10/2016</w:t>
            </w:r>
          </w:p>
        </w:tc>
        <w:tc>
          <w:tcPr>
            <w:tcW w:w="260" w:type="dxa"/>
            <w:vAlign w:val="bottom"/>
            <w:shd w:val="clear" w:color="auto" w:fill="CCEEFF"/>
          </w:tcPr>
          <w:p>
            <w:pPr>
              <w:spacing w:after="0"/>
              <w:rPr>
                <w:sz w:val="11"/>
                <w:szCs w:val="11"/>
                <w:color w:val="auto"/>
              </w:rPr>
            </w:pPr>
          </w:p>
        </w:tc>
        <w:tc>
          <w:tcPr>
            <w:tcW w:w="640" w:type="dxa"/>
            <w:vAlign w:val="bottom"/>
            <w:shd w:val="clear" w:color="auto" w:fill="CCEEFF"/>
          </w:tcPr>
          <w:p>
            <w:pPr>
              <w:ind w:left="440"/>
              <w:spacing w:after="0" w:line="136"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1"/>
                <w:szCs w:val="11"/>
                <w:color w:val="auto"/>
              </w:rPr>
            </w:pPr>
          </w:p>
        </w:tc>
        <w:tc>
          <w:tcPr>
            <w:tcW w:w="640" w:type="dxa"/>
            <w:vAlign w:val="bottom"/>
            <w:shd w:val="clear" w:color="auto" w:fill="CCEEFF"/>
          </w:tcPr>
          <w:p>
            <w:pPr>
              <w:jc w:val="center"/>
              <w:ind w:left="312"/>
              <w:spacing w:after="0" w:line="136" w:lineRule="exact"/>
              <w:rPr>
                <w:sz w:val="20"/>
                <w:szCs w:val="20"/>
                <w:color w:val="auto"/>
              </w:rPr>
            </w:pPr>
            <w:r>
              <w:rPr>
                <w:rFonts w:ascii="Arial" w:cs="Arial" w:eastAsia="Arial" w:hAnsi="Arial"/>
                <w:sz w:val="14"/>
                <w:szCs w:val="14"/>
                <w:color w:val="auto"/>
                <w:w w:val="99"/>
              </w:rPr>
              <w:t>—</w:t>
            </w:r>
          </w:p>
        </w:tc>
        <w:tc>
          <w:tcPr>
            <w:tcW w:w="320" w:type="dxa"/>
            <w:vAlign w:val="bottom"/>
            <w:shd w:val="clear" w:color="auto" w:fill="CCEEFF"/>
          </w:tcPr>
          <w:p>
            <w:pPr>
              <w:spacing w:after="0"/>
              <w:rPr>
                <w:sz w:val="11"/>
                <w:szCs w:val="11"/>
                <w:color w:val="auto"/>
              </w:rPr>
            </w:pPr>
          </w:p>
        </w:tc>
        <w:tc>
          <w:tcPr>
            <w:tcW w:w="620" w:type="dxa"/>
            <w:vAlign w:val="bottom"/>
            <w:shd w:val="clear" w:color="auto" w:fill="CCEEFF"/>
          </w:tcPr>
          <w:p>
            <w:pPr>
              <w:ind w:left="420"/>
              <w:spacing w:after="0" w:line="136"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1"/>
                <w:szCs w:val="11"/>
                <w:color w:val="auto"/>
              </w:rPr>
            </w:pPr>
          </w:p>
        </w:tc>
        <w:tc>
          <w:tcPr>
            <w:tcW w:w="6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162,000(2)</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24.7950</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5/25/2016</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235,000(3)</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14.01</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91"/>
              </w:rPr>
              <w:t>12/28/2017</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226,800(4)</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14.01</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91"/>
              </w:rPr>
              <w:t>12/28/2017</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97,500(5)</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3"/>
          </w:tcPr>
          <w:p>
            <w:pPr>
              <w:jc w:val="right"/>
              <w:ind w:right="100"/>
              <w:spacing w:after="0" w:line="149" w:lineRule="exact"/>
              <w:rPr>
                <w:sz w:val="20"/>
                <w:szCs w:val="20"/>
                <w:color w:val="auto"/>
              </w:rPr>
            </w:pPr>
            <w:r>
              <w:rPr>
                <w:rFonts w:ascii="Arial" w:cs="Arial" w:eastAsia="Arial" w:hAnsi="Arial"/>
                <w:sz w:val="14"/>
                <w:szCs w:val="14"/>
                <w:color w:val="auto"/>
              </w:rPr>
              <w:t>292,500(5)</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6.84</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w w:val="91"/>
              </w:rPr>
              <w:t>12/18/2018</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300,000(6)</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6.84</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91"/>
              </w:rPr>
              <w:t>12/18/2018</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25,000(7)</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373,250(8)</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187,500(9)</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62,500(9)</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21.14</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4/12/2020</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350,000(10)</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350,000(10)</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1,400,000(11)</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375,000(12)</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1,125,000(12)</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15.20</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4/21/2022</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1,500,000(13)</w:t>
            </w: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10.76</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4/30/2023</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150,000(14)</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98"/>
              </w:rPr>
              <w:t>2,239,500(8)</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200,000(15)</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98"/>
              </w:rPr>
              <w:t>2,986,000(8)</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60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1080" w:type="dxa"/>
            <w:vAlign w:val="bottom"/>
            <w:gridSpan w:val="3"/>
          </w:tcPr>
          <w:p>
            <w:pPr>
              <w:jc w:val="right"/>
              <w:ind w:right="120"/>
              <w:spacing w:after="0"/>
              <w:rPr>
                <w:sz w:val="20"/>
                <w:szCs w:val="20"/>
                <w:color w:val="auto"/>
              </w:rPr>
            </w:pPr>
            <w:r>
              <w:rPr>
                <w:rFonts w:ascii="Arial" w:cs="Arial" w:eastAsia="Arial" w:hAnsi="Arial"/>
                <w:sz w:val="14"/>
                <w:szCs w:val="14"/>
                <w:color w:val="auto"/>
              </w:rPr>
              <w:t>200,000(6)</w:t>
            </w:r>
          </w:p>
        </w:tc>
        <w:tc>
          <w:tcPr>
            <w:tcW w:w="160" w:type="dxa"/>
            <w:vAlign w:val="bottom"/>
          </w:tcPr>
          <w:p>
            <w:pPr>
              <w:spacing w:after="0"/>
              <w:rPr>
                <w:sz w:val="21"/>
                <w:szCs w:val="21"/>
                <w:color w:val="auto"/>
              </w:rPr>
            </w:pPr>
          </w:p>
        </w:tc>
        <w:tc>
          <w:tcPr>
            <w:tcW w:w="102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1"/>
                <w:szCs w:val="21"/>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rPr>
                <w:sz w:val="20"/>
                <w:szCs w:val="20"/>
                <w:color w:val="auto"/>
              </w:rPr>
            </w:pPr>
            <w:r>
              <w:rPr>
                <w:rFonts w:ascii="Arial" w:cs="Arial" w:eastAsia="Arial" w:hAnsi="Arial"/>
                <w:sz w:val="14"/>
                <w:szCs w:val="14"/>
                <w:color w:val="auto"/>
              </w:rPr>
              <w:t>6.84</w:t>
            </w:r>
          </w:p>
        </w:tc>
        <w:tc>
          <w:tcPr>
            <w:tcW w:w="28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w w:val="91"/>
              </w:rPr>
              <w:t>12/18/2018</w:t>
            </w:r>
          </w:p>
        </w:tc>
        <w:tc>
          <w:tcPr>
            <w:tcW w:w="100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100,000(16)</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12.92</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6/10/2019</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08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75,000(9)</w:t>
            </w:r>
          </w:p>
        </w:tc>
        <w:tc>
          <w:tcPr>
            <w:tcW w:w="1180" w:type="dxa"/>
            <w:vAlign w:val="bottom"/>
            <w:gridSpan w:val="3"/>
          </w:tcPr>
          <w:p>
            <w:pPr>
              <w:jc w:val="right"/>
              <w:ind w:right="52"/>
              <w:spacing w:after="0" w:line="149" w:lineRule="exact"/>
              <w:rPr>
                <w:sz w:val="20"/>
                <w:szCs w:val="20"/>
                <w:color w:val="auto"/>
              </w:rPr>
            </w:pPr>
            <w:r>
              <w:rPr>
                <w:rFonts w:ascii="Arial" w:cs="Arial" w:eastAsia="Arial" w:hAnsi="Arial"/>
                <w:sz w:val="14"/>
                <w:szCs w:val="14"/>
                <w:color w:val="auto"/>
              </w:rPr>
              <w:t>25,000(9)</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21.14</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4/12/2020</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90,000(10)</w:t>
            </w:r>
          </w:p>
        </w:tc>
        <w:tc>
          <w:tcPr>
            <w:tcW w:w="118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90,000(10)</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360,000(11)</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200,000(12)</w:t>
            </w:r>
          </w:p>
        </w:tc>
        <w:tc>
          <w:tcPr>
            <w:tcW w:w="118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600,000(12)</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15.20</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4/21/2022</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450,000(13)</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10.76</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4/30/2023</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6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7,500(7)</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111,975(8)</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6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60,000(14)</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8"/>
              </w:rPr>
              <w:t>895,800(8)</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6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60,000(15)</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8"/>
              </w:rPr>
              <w:t>895,800(8)</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102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760" w:type="dxa"/>
            <w:vAlign w:val="bottom"/>
            <w:gridSpan w:val="2"/>
          </w:tcPr>
          <w:p>
            <w:pPr>
              <w:ind w:left="280"/>
              <w:spacing w:after="0"/>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rPr>
                <w:sz w:val="20"/>
                <w:szCs w:val="20"/>
                <w:color w:val="auto"/>
              </w:rPr>
            </w:pPr>
            <w:r>
              <w:rPr>
                <w:rFonts w:ascii="Arial" w:cs="Arial" w:eastAsia="Arial" w:hAnsi="Arial"/>
                <w:sz w:val="14"/>
                <w:szCs w:val="14"/>
                <w:color w:val="auto"/>
              </w:rPr>
              <w:t>3,300(17)</w:t>
            </w:r>
          </w:p>
        </w:tc>
        <w:tc>
          <w:tcPr>
            <w:tcW w:w="960" w:type="dxa"/>
            <w:vAlign w:val="bottom"/>
            <w:gridSpan w:val="2"/>
          </w:tcPr>
          <w:p>
            <w:pPr>
              <w:jc w:val="right"/>
              <w:ind w:right="160"/>
              <w:spacing w:after="0"/>
              <w:rPr>
                <w:sz w:val="20"/>
                <w:szCs w:val="20"/>
                <w:color w:val="auto"/>
              </w:rPr>
            </w:pPr>
            <w:r>
              <w:rPr>
                <w:rFonts w:ascii="Arial" w:cs="Arial" w:eastAsia="Arial" w:hAnsi="Arial"/>
                <w:sz w:val="14"/>
                <w:szCs w:val="14"/>
                <w:color w:val="auto"/>
              </w:rPr>
              <w:t>49,717(8)</w:t>
            </w:r>
          </w:p>
        </w:tc>
        <w:tc>
          <w:tcPr>
            <w:tcW w:w="90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220" w:type="dxa"/>
            <w:vAlign w:val="bottom"/>
          </w:tcPr>
          <w:p>
            <w:pPr>
              <w:spacing w:after="0"/>
              <w:rPr>
                <w:sz w:val="8"/>
                <w:szCs w:val="8"/>
                <w:color w:val="auto"/>
              </w:rPr>
            </w:pPr>
          </w:p>
        </w:tc>
        <w:tc>
          <w:tcPr>
            <w:tcW w:w="1080" w:type="dxa"/>
            <w:vAlign w:val="bottom"/>
            <w:gridSpan w:val="3"/>
          </w:tcPr>
          <w:p>
            <w:pPr>
              <w:spacing w:after="0"/>
              <w:rPr>
                <w:sz w:val="8"/>
                <w:szCs w:val="8"/>
                <w:color w:val="auto"/>
              </w:rPr>
            </w:pPr>
          </w:p>
        </w:tc>
        <w:tc>
          <w:tcPr>
            <w:tcW w:w="160" w:type="dxa"/>
            <w:vAlign w:val="bottom"/>
          </w:tcPr>
          <w:p>
            <w:pPr>
              <w:spacing w:after="0"/>
              <w:rPr>
                <w:sz w:val="8"/>
                <w:szCs w:val="8"/>
                <w:color w:val="auto"/>
              </w:rPr>
            </w:pPr>
          </w:p>
        </w:tc>
        <w:tc>
          <w:tcPr>
            <w:tcW w:w="1020" w:type="dxa"/>
            <w:vAlign w:val="bottom"/>
            <w:gridSpan w:val="2"/>
          </w:tcPr>
          <w:p>
            <w:pPr>
              <w:spacing w:after="0"/>
              <w:rPr>
                <w:sz w:val="8"/>
                <w:szCs w:val="8"/>
                <w:color w:val="auto"/>
              </w:rPr>
            </w:pPr>
          </w:p>
        </w:tc>
        <w:tc>
          <w:tcPr>
            <w:tcW w:w="100" w:type="dxa"/>
            <w:vAlign w:val="bottom"/>
          </w:tcPr>
          <w:p>
            <w:pPr>
              <w:spacing w:after="0"/>
              <w:rPr>
                <w:sz w:val="8"/>
                <w:szCs w:val="8"/>
                <w:color w:val="auto"/>
              </w:rPr>
            </w:pPr>
          </w:p>
        </w:tc>
        <w:tc>
          <w:tcPr>
            <w:tcW w:w="960" w:type="dxa"/>
            <w:vAlign w:val="bottom"/>
            <w:gridSpan w:val="2"/>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2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5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Michael Rashkin</w:t>
            </w:r>
          </w:p>
        </w:tc>
        <w:tc>
          <w:tcPr>
            <w:tcW w:w="108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2,500(6)</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6.84</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w w:val="91"/>
              </w:rPr>
              <w:t>12/18/2018</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46"/>
        </w:trPr>
        <w:tc>
          <w:tcPr>
            <w:tcW w:w="2600" w:type="dxa"/>
            <w:vAlign w:val="bottom"/>
            <w:gridSpan w:val="3"/>
          </w:tcPr>
          <w:p>
            <w:pPr>
              <w:spacing w:after="0"/>
              <w:rPr>
                <w:sz w:val="20"/>
                <w:szCs w:val="20"/>
                <w:color w:val="auto"/>
              </w:rPr>
            </w:pPr>
            <w:r>
              <w:rPr>
                <w:rFonts w:ascii="Arial" w:cs="Arial" w:eastAsia="Arial" w:hAnsi="Arial"/>
                <w:sz w:val="14"/>
                <w:szCs w:val="14"/>
                <w:color w:val="auto"/>
              </w:rPr>
              <w:t>Dr. Zining Wu</w:t>
            </w:r>
          </w:p>
        </w:tc>
        <w:tc>
          <w:tcPr>
            <w:tcW w:w="1080" w:type="dxa"/>
            <w:vAlign w:val="bottom"/>
            <w:gridSpan w:val="3"/>
          </w:tcPr>
          <w:p>
            <w:pPr>
              <w:jc w:val="right"/>
              <w:ind w:right="120"/>
              <w:spacing w:after="0"/>
              <w:rPr>
                <w:sz w:val="20"/>
                <w:szCs w:val="20"/>
                <w:color w:val="auto"/>
              </w:rPr>
            </w:pPr>
            <w:r>
              <w:rPr>
                <w:rFonts w:ascii="Arial" w:cs="Arial" w:eastAsia="Arial" w:hAnsi="Arial"/>
                <w:sz w:val="14"/>
                <w:szCs w:val="14"/>
                <w:color w:val="auto"/>
              </w:rPr>
              <w:t>22,500(9)</w:t>
            </w:r>
          </w:p>
        </w:tc>
        <w:tc>
          <w:tcPr>
            <w:tcW w:w="1180" w:type="dxa"/>
            <w:vAlign w:val="bottom"/>
            <w:gridSpan w:val="3"/>
          </w:tcPr>
          <w:p>
            <w:pPr>
              <w:jc w:val="right"/>
              <w:ind w:right="52"/>
              <w:spacing w:after="0"/>
              <w:rPr>
                <w:sz w:val="20"/>
                <w:szCs w:val="20"/>
                <w:color w:val="auto"/>
              </w:rPr>
            </w:pPr>
            <w:r>
              <w:rPr>
                <w:rFonts w:ascii="Arial" w:cs="Arial" w:eastAsia="Arial" w:hAnsi="Arial"/>
                <w:sz w:val="14"/>
                <w:szCs w:val="14"/>
                <w:color w:val="auto"/>
              </w:rPr>
              <w:t>7,500(9)</w:t>
            </w:r>
          </w:p>
        </w:tc>
        <w:tc>
          <w:tcPr>
            <w:tcW w:w="100" w:type="dxa"/>
            <w:vAlign w:val="bottom"/>
          </w:tcPr>
          <w:p>
            <w:pPr>
              <w:spacing w:after="0"/>
              <w:rPr>
                <w:sz w:val="21"/>
                <w:szCs w:val="21"/>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rPr>
                <w:sz w:val="20"/>
                <w:szCs w:val="20"/>
                <w:color w:val="auto"/>
              </w:rPr>
            </w:pPr>
            <w:r>
              <w:rPr>
                <w:rFonts w:ascii="Arial" w:cs="Arial" w:eastAsia="Arial" w:hAnsi="Arial"/>
                <w:sz w:val="14"/>
                <w:szCs w:val="14"/>
                <w:color w:val="auto"/>
              </w:rPr>
              <w:t>21.14</w:t>
            </w:r>
          </w:p>
        </w:tc>
        <w:tc>
          <w:tcPr>
            <w:tcW w:w="280" w:type="dxa"/>
            <w:vAlign w:val="bottom"/>
          </w:tcPr>
          <w:p>
            <w:pPr>
              <w:spacing w:after="0"/>
              <w:rPr>
                <w:sz w:val="21"/>
                <w:szCs w:val="21"/>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color w:val="auto"/>
              </w:rPr>
              <w:t>4/12/2020</w:t>
            </w:r>
          </w:p>
        </w:tc>
        <w:tc>
          <w:tcPr>
            <w:tcW w:w="100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25,000(10)</w:t>
            </w:r>
          </w:p>
        </w:tc>
        <w:tc>
          <w:tcPr>
            <w:tcW w:w="118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25,000(10)</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50,000(11)</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08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6,250(12)</w:t>
            </w:r>
          </w:p>
        </w:tc>
        <w:tc>
          <w:tcPr>
            <w:tcW w:w="118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18,750(12)</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15.20</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4/21/2022</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18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120,000(13)</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10.76</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4/30/2023</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6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3,750(7)</w:t>
            </w:r>
          </w:p>
        </w:tc>
        <w:tc>
          <w:tcPr>
            <w:tcW w:w="9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55,988(8)</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6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10,000(18)</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8"/>
              </w:rPr>
              <w:t>149,300(8)</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20" w:type="dxa"/>
            <w:vAlign w:val="bottom"/>
            <w:gridSpan w:val="2"/>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6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24,375(14)</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8"/>
              </w:rPr>
              <w:t>363,919(8)</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1020" w:type="dxa"/>
            <w:vAlign w:val="bottom"/>
            <w:gridSpan w:val="2"/>
          </w:tcPr>
          <w:p>
            <w:pPr>
              <w:ind w:left="54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760" w:type="dxa"/>
            <w:vAlign w:val="bottom"/>
            <w:gridSpan w:val="2"/>
          </w:tcPr>
          <w:p>
            <w:pPr>
              <w:ind w:left="280"/>
              <w:spacing w:after="0"/>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40"/>
              <w:spacing w:after="0"/>
              <w:rPr>
                <w:sz w:val="20"/>
                <w:szCs w:val="20"/>
                <w:color w:val="auto"/>
              </w:rPr>
            </w:pPr>
            <w:r>
              <w:rPr>
                <w:rFonts w:ascii="Arial" w:cs="Arial" w:eastAsia="Arial" w:hAnsi="Arial"/>
                <w:sz w:val="14"/>
                <w:szCs w:val="14"/>
                <w:color w:val="auto"/>
              </w:rPr>
              <w:t>16,000(15)</w:t>
            </w:r>
          </w:p>
        </w:tc>
        <w:tc>
          <w:tcPr>
            <w:tcW w:w="960" w:type="dxa"/>
            <w:vAlign w:val="bottom"/>
            <w:gridSpan w:val="2"/>
          </w:tcPr>
          <w:p>
            <w:pPr>
              <w:jc w:val="center"/>
              <w:spacing w:after="0"/>
              <w:rPr>
                <w:sz w:val="20"/>
                <w:szCs w:val="20"/>
                <w:color w:val="auto"/>
              </w:rPr>
            </w:pPr>
            <w:r>
              <w:rPr>
                <w:rFonts w:ascii="Arial" w:cs="Arial" w:eastAsia="Arial" w:hAnsi="Arial"/>
                <w:sz w:val="14"/>
                <w:szCs w:val="14"/>
                <w:color w:val="auto"/>
                <w:w w:val="88"/>
              </w:rPr>
              <w:t>238,880(8)</w:t>
            </w:r>
          </w:p>
        </w:tc>
        <w:tc>
          <w:tcPr>
            <w:tcW w:w="900" w:type="dxa"/>
            <w:vAlign w:val="bottom"/>
            <w:gridSpan w:val="2"/>
          </w:tcPr>
          <w:p>
            <w:pPr>
              <w:ind w:left="42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220" w:type="dxa"/>
            <w:vAlign w:val="bottom"/>
          </w:tcPr>
          <w:p>
            <w:pPr>
              <w:spacing w:after="0"/>
              <w:rPr>
                <w:sz w:val="8"/>
                <w:szCs w:val="8"/>
                <w:color w:val="auto"/>
              </w:rPr>
            </w:pPr>
          </w:p>
        </w:tc>
        <w:tc>
          <w:tcPr>
            <w:tcW w:w="1080" w:type="dxa"/>
            <w:vAlign w:val="bottom"/>
            <w:gridSpan w:val="3"/>
          </w:tcPr>
          <w:p>
            <w:pPr>
              <w:spacing w:after="0"/>
              <w:rPr>
                <w:sz w:val="8"/>
                <w:szCs w:val="8"/>
                <w:color w:val="auto"/>
              </w:rPr>
            </w:pPr>
          </w:p>
        </w:tc>
        <w:tc>
          <w:tcPr>
            <w:tcW w:w="160" w:type="dxa"/>
            <w:vAlign w:val="bottom"/>
          </w:tcPr>
          <w:p>
            <w:pPr>
              <w:spacing w:after="0"/>
              <w:rPr>
                <w:sz w:val="8"/>
                <w:szCs w:val="8"/>
                <w:color w:val="auto"/>
              </w:rPr>
            </w:pPr>
          </w:p>
        </w:tc>
        <w:tc>
          <w:tcPr>
            <w:tcW w:w="1020" w:type="dxa"/>
            <w:vAlign w:val="bottom"/>
            <w:gridSpan w:val="2"/>
          </w:tcPr>
          <w:p>
            <w:pPr>
              <w:spacing w:after="0"/>
              <w:rPr>
                <w:sz w:val="8"/>
                <w:szCs w:val="8"/>
                <w:color w:val="auto"/>
              </w:rPr>
            </w:pPr>
          </w:p>
        </w:tc>
        <w:tc>
          <w:tcPr>
            <w:tcW w:w="100" w:type="dxa"/>
            <w:vAlign w:val="bottom"/>
          </w:tcPr>
          <w:p>
            <w:pPr>
              <w:spacing w:after="0"/>
              <w:rPr>
                <w:sz w:val="8"/>
                <w:szCs w:val="8"/>
                <w:color w:val="auto"/>
              </w:rPr>
            </w:pPr>
          </w:p>
        </w:tc>
        <w:tc>
          <w:tcPr>
            <w:tcW w:w="960" w:type="dxa"/>
            <w:vAlign w:val="bottom"/>
            <w:gridSpan w:val="2"/>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2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1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5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108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218,000(1)</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34.3750</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3/10/2016</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37,500(9)</w:t>
            </w:r>
          </w:p>
        </w:tc>
        <w:tc>
          <w:tcPr>
            <w:tcW w:w="1180" w:type="dxa"/>
            <w:vAlign w:val="bottom"/>
            <w:gridSpan w:val="3"/>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12,500(9)</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21.14</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4/12/2020</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75,000(10)</w:t>
            </w:r>
          </w:p>
        </w:tc>
        <w:tc>
          <w:tcPr>
            <w:tcW w:w="1180" w:type="dxa"/>
            <w:vAlign w:val="bottom"/>
            <w:gridSpan w:val="3"/>
            <w:shd w:val="clear" w:color="auto" w:fill="CCEEFF"/>
          </w:tcPr>
          <w:p>
            <w:pPr>
              <w:jc w:val="right"/>
              <w:spacing w:after="0" w:line="149" w:lineRule="exact"/>
              <w:rPr>
                <w:sz w:val="20"/>
                <w:szCs w:val="20"/>
                <w:color w:val="auto"/>
              </w:rPr>
            </w:pPr>
            <w:r>
              <w:rPr>
                <w:rFonts w:ascii="Arial" w:cs="Arial" w:eastAsia="Arial" w:hAnsi="Arial"/>
                <w:sz w:val="14"/>
                <w:szCs w:val="14"/>
                <w:color w:val="auto"/>
              </w:rPr>
              <w:t>75,000(10)</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68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300,000(11)</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4/29/2021</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85,000(12)</w:t>
            </w:r>
          </w:p>
        </w:tc>
        <w:tc>
          <w:tcPr>
            <w:tcW w:w="118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255,000(12)</w:t>
            </w:r>
          </w:p>
        </w:tc>
        <w:tc>
          <w:tcPr>
            <w:tcW w:w="100" w:type="dxa"/>
            <w:vAlign w:val="bottom"/>
          </w:tcPr>
          <w:p>
            <w:pPr>
              <w:spacing w:after="0"/>
              <w:rPr>
                <w:sz w:val="12"/>
                <w:szCs w:val="12"/>
                <w:color w:val="auto"/>
              </w:rPr>
            </w:pPr>
          </w:p>
        </w:tc>
        <w:tc>
          <w:tcPr>
            <w:tcW w:w="96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15.20</w:t>
            </w:r>
          </w:p>
        </w:tc>
        <w:tc>
          <w:tcPr>
            <w:tcW w:w="280" w:type="dxa"/>
            <w:vAlign w:val="bottom"/>
          </w:tcPr>
          <w:p>
            <w:pPr>
              <w:spacing w:after="0"/>
              <w:rPr>
                <w:sz w:val="12"/>
                <w:szCs w:val="12"/>
                <w:color w:val="auto"/>
              </w:rPr>
            </w:pPr>
          </w:p>
        </w:tc>
        <w:tc>
          <w:tcPr>
            <w:tcW w:w="92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4/21/2022</w:t>
            </w:r>
          </w:p>
        </w:tc>
        <w:tc>
          <w:tcPr>
            <w:tcW w:w="10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150,000(13)</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5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10.76</w:t>
            </w:r>
          </w:p>
        </w:tc>
        <w:tc>
          <w:tcPr>
            <w:tcW w:w="2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4/30/2023</w:t>
            </w:r>
          </w:p>
        </w:tc>
        <w:tc>
          <w:tcPr>
            <w:tcW w:w="10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5,000(7)</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74,650(8)</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74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31,500(14)</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470,295(8)</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220" w:type="dxa"/>
            <w:vAlign w:val="bottom"/>
            <w:shd w:val="clear" w:color="auto" w:fill="CCEEFF"/>
          </w:tcPr>
          <w:p>
            <w:pPr>
              <w:spacing w:after="0"/>
              <w:rPr>
                <w:sz w:val="12"/>
                <w:szCs w:val="12"/>
                <w:color w:val="auto"/>
              </w:rPr>
            </w:pPr>
          </w:p>
        </w:tc>
        <w:tc>
          <w:tcPr>
            <w:tcW w:w="14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60" w:type="dxa"/>
            <w:vAlign w:val="bottom"/>
            <w:tcBorders>
              <w:right w:val="single" w:sz="8" w:color="CCEEFF"/>
            </w:tcBorders>
            <w:shd w:val="clear" w:color="auto" w:fill="CCEEFF"/>
          </w:tcPr>
          <w:p>
            <w:pPr>
              <w:spacing w:after="0"/>
              <w:rPr>
                <w:sz w:val="12"/>
                <w:szCs w:val="12"/>
                <w:color w:val="auto"/>
              </w:rPr>
            </w:pPr>
          </w:p>
        </w:tc>
        <w:tc>
          <w:tcPr>
            <w:tcW w:w="74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20,000(15)</w:t>
            </w:r>
          </w:p>
        </w:tc>
        <w:tc>
          <w:tcPr>
            <w:tcW w:w="9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298,600(8)</w:t>
            </w:r>
          </w:p>
        </w:tc>
        <w:tc>
          <w:tcPr>
            <w:tcW w:w="900" w:type="dxa"/>
            <w:vAlign w:val="bottom"/>
            <w:gridSpan w:val="2"/>
            <w:shd w:val="clear" w:color="auto" w:fill="CCEEFF"/>
          </w:tcPr>
          <w:p>
            <w:pPr>
              <w:ind w:left="42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1746250</wp:posOffset>
            </wp:positionH>
            <wp:positionV relativeFrom="paragraph">
              <wp:posOffset>-4141470</wp:posOffset>
            </wp:positionV>
            <wp:extent cx="5505450" cy="10375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5505450" cy="1037590"/>
                    </a:xfrm>
                    <a:prstGeom prst="rect">
                      <a:avLst/>
                    </a:prstGeom>
                    <a:noFill/>
                  </pic:spPr>
                </pic:pic>
              </a:graphicData>
            </a:graphic>
          </wp:anchor>
        </w:drawing>
        <w:drawing>
          <wp:anchor simplePos="0" relativeHeight="251657728" behindDoc="1" locked="0" layoutInCell="0" allowOverlap="1">
            <wp:simplePos x="0" y="0"/>
            <wp:positionH relativeFrom="column">
              <wp:posOffset>1746250</wp:posOffset>
            </wp:positionH>
            <wp:positionV relativeFrom="paragraph">
              <wp:posOffset>-565150</wp:posOffset>
            </wp:positionV>
            <wp:extent cx="5505450" cy="56578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5505450" cy="56578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7" w:lineRule="exact"/>
        <w:rPr>
          <w:sz w:val="20"/>
          <w:szCs w:val="20"/>
          <w:color w:val="auto"/>
        </w:rPr>
      </w:pPr>
    </w:p>
    <w:p>
      <w:pPr>
        <w:ind w:left="340" w:hanging="332"/>
        <w:spacing w:after="0"/>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Fully vested on January 31, 2009.</w:t>
      </w: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Fully vested on May 25, 2008.</w:t>
      </w:r>
    </w:p>
    <w:p>
      <w:pPr>
        <w:ind w:left="3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Fully vested on June 1, 2011.</w:t>
      </w:r>
    </w:p>
    <w:p>
      <w:pPr>
        <w:ind w:left="340" w:right="240" w:hanging="332"/>
        <w:spacing w:after="0" w:line="221"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Pursuant to the terms of the performance-based stock option agreements with Dr. Sehat Sutardja, the applicable target EPS for fiscal 2011 was attained and these options were fully vested on March 30, 2011.</w:t>
      </w:r>
    </w:p>
    <w:p>
      <w:pPr>
        <w:ind w:left="340" w:right="40" w:hanging="332"/>
        <w:spacing w:after="0" w:line="204" w:lineRule="auto"/>
        <w:tabs>
          <w:tab w:leader="none" w:pos="340" w:val="left"/>
        </w:tabs>
        <w:numPr>
          <w:ilvl w:val="0"/>
          <w:numId w:val="82"/>
        </w:numPr>
        <w:rPr>
          <w:rFonts w:ascii="Arial" w:cs="Arial" w:eastAsia="Arial" w:hAnsi="Arial"/>
          <w:sz w:val="14"/>
          <w:szCs w:val="14"/>
          <w:color w:val="auto"/>
        </w:rPr>
      </w:pPr>
      <w:r>
        <w:rPr>
          <w:rFonts w:ascii="Arial" w:cs="Arial" w:eastAsia="Arial" w:hAnsi="Arial"/>
          <w:sz w:val="14"/>
          <w:szCs w:val="14"/>
          <w:color w:val="auto"/>
        </w:rPr>
        <w:t>This option is subject to performance-based vesting in four separate and equal annual performance tranches (each a “Tranche”) of 97,500 unvested options. Each Tranche will be associated with one of four completed fiscal years, beginning with our fiscal year 2010 and ending with our fiscal year 2013. The Tranche for any fiscal year will become vested and fully exercisable as of the prescribed due date on which our Annual Report on Form 10-K is required to be filed with the SEC for the corresponding fiscal year if our “Modified Non-GAAP Operating Margin” for such fiscal year is equal to or greater than the 60</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percentile of the comparably calculated operating margin for the four consecutive fiscal quarters ending on or before our fiscal year for our “Performance Peer Group” (the “Performance Threshold”). If our “Modified Non-GAAP Operating Margin” for any fiscal year performance period is less than the applicable Performance Threshold, the options for such Tranche shall not vest immediately, but shall</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spacing w:after="0" w:line="261" w:lineRule="auto"/>
        <w:rPr>
          <w:sz w:val="20"/>
          <w:szCs w:val="20"/>
          <w:color w:val="auto"/>
        </w:rPr>
      </w:pPr>
      <w:r>
        <w:rPr>
          <w:rFonts w:ascii="Arial" w:cs="Arial" w:eastAsia="Arial" w:hAnsi="Arial"/>
          <w:sz w:val="12"/>
          <w:szCs w:val="12"/>
          <w:color w:val="auto"/>
        </w:rPr>
        <w:t>be added to the unvested options of the following year’s Tranche. If at the end of our fiscal year 2013, any performance-based stock options remain unvested as a result of the Performance Threshold not having been achieved for our fiscal year 2013, then such shares shall become eligible to vest in a final fifth annual Tranche associated with our fiscal year 2014. If any performance shares remain unvested as a result of the Performance Threshold not having been achieved for our fiscal year 2014, the remaining unvested options shall expire. The definition of “Modified Non-GAAP Operating Margin” and the list of companies in the “Performance Peer Group” for this performance-based stock option grant is set forth starting on page 32 of this proxy statement in the Compensation Discussion and Analysis above. Based on the Modified Non-GAAP Operation Margin results for the fiscal 2014 performance period, the ECC determined that the Performance Threshold was not met in fiscal 2014, and the unvested portion of the award expired. For more information, please see the Compensation Discussion and Analysis above.</w:t>
      </w:r>
    </w:p>
    <w:p>
      <w:pPr>
        <w:ind w:left="340" w:hanging="332"/>
        <w:spacing w:after="0" w:line="225" w:lineRule="auto"/>
        <w:tabs>
          <w:tab w:leader="none" w:pos="340" w:val="left"/>
        </w:tabs>
        <w:numPr>
          <w:ilvl w:val="0"/>
          <w:numId w:val="83"/>
        </w:numPr>
        <w:rPr>
          <w:rFonts w:ascii="Arial" w:cs="Arial" w:eastAsia="Arial" w:hAnsi="Arial"/>
          <w:sz w:val="14"/>
          <w:szCs w:val="14"/>
          <w:color w:val="auto"/>
        </w:rPr>
      </w:pPr>
      <w:r>
        <w:rPr>
          <w:rFonts w:ascii="Arial" w:cs="Arial" w:eastAsia="Arial" w:hAnsi="Arial"/>
          <w:sz w:val="14"/>
          <w:szCs w:val="14"/>
          <w:color w:val="auto"/>
        </w:rPr>
        <w:t>Fully vested on December 15, 2012.</w:t>
      </w:r>
    </w:p>
    <w:p>
      <w:pPr>
        <w:ind w:left="340" w:hanging="332"/>
        <w:spacing w:after="0" w:line="182" w:lineRule="auto"/>
        <w:tabs>
          <w:tab w:leader="none" w:pos="340" w:val="left"/>
        </w:tabs>
        <w:numPr>
          <w:ilvl w:val="0"/>
          <w:numId w:val="83"/>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was April 1, 2010,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340" w:hanging="332"/>
        <w:spacing w:after="0" w:line="221" w:lineRule="auto"/>
        <w:tabs>
          <w:tab w:leader="none" w:pos="340" w:val="left"/>
        </w:tabs>
        <w:numPr>
          <w:ilvl w:val="0"/>
          <w:numId w:val="83"/>
        </w:numPr>
        <w:rPr>
          <w:rFonts w:ascii="Arial" w:cs="Arial" w:eastAsia="Arial" w:hAnsi="Arial"/>
          <w:sz w:val="14"/>
          <w:szCs w:val="14"/>
          <w:color w:val="auto"/>
        </w:rPr>
      </w:pPr>
      <w:r>
        <w:rPr>
          <w:rFonts w:ascii="Arial" w:cs="Arial" w:eastAsia="Arial" w:hAnsi="Arial"/>
          <w:sz w:val="14"/>
          <w:szCs w:val="14"/>
          <w:color w:val="auto"/>
        </w:rPr>
        <w:t>The price per share of our common shares on the last trading day of fiscal 2014 was $14.93 as reported on the NASDAQ Global Select Market on January 31, 2014.</w:t>
      </w:r>
    </w:p>
    <w:p>
      <w:pPr>
        <w:ind w:left="340" w:right="240" w:hanging="332"/>
        <w:spacing w:after="0" w:line="182" w:lineRule="auto"/>
        <w:tabs>
          <w:tab w:leader="none" w:pos="340" w:val="left"/>
        </w:tabs>
        <w:numPr>
          <w:ilvl w:val="0"/>
          <w:numId w:val="83"/>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2010,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2014.</w:t>
      </w:r>
    </w:p>
    <w:p>
      <w:pPr>
        <w:ind w:left="340" w:right="240" w:hanging="332"/>
        <w:spacing w:after="0" w:line="182" w:lineRule="auto"/>
        <w:tabs>
          <w:tab w:leader="none" w:pos="340" w:val="left"/>
        </w:tabs>
        <w:numPr>
          <w:ilvl w:val="0"/>
          <w:numId w:val="83"/>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2011,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2015.</w:t>
      </w:r>
    </w:p>
    <w:p>
      <w:pPr>
        <w:ind w:left="340" w:right="220" w:hanging="332"/>
        <w:spacing w:after="0" w:line="225" w:lineRule="auto"/>
        <w:tabs>
          <w:tab w:leader="none" w:pos="340" w:val="left"/>
        </w:tabs>
        <w:numPr>
          <w:ilvl w:val="0"/>
          <w:numId w:val="83"/>
        </w:numPr>
        <w:rPr>
          <w:rFonts w:ascii="Arial" w:cs="Arial" w:eastAsia="Arial" w:hAnsi="Arial"/>
          <w:sz w:val="12"/>
          <w:szCs w:val="12"/>
          <w:color w:val="auto"/>
        </w:rPr>
      </w:pPr>
      <w:r>
        <w:rPr>
          <w:rFonts w:ascii="Arial" w:cs="Arial" w:eastAsia="Arial" w:hAnsi="Arial"/>
          <w:sz w:val="12"/>
          <w:szCs w:val="12"/>
          <w:color w:val="auto"/>
        </w:rPr>
        <w:t>Performance-based stock options with a market-based condition were granted that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anniversary of the date of grant (the “Trigger 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 w:lineRule="exact"/>
        <w:rPr>
          <w:rFonts w:ascii="Arial" w:cs="Arial" w:eastAsia="Arial" w:hAnsi="Arial"/>
          <w:sz w:val="12"/>
          <w:szCs w:val="12"/>
          <w:color w:val="auto"/>
        </w:rPr>
      </w:pPr>
    </w:p>
    <w:p>
      <w:pPr>
        <w:ind w:left="340" w:right="240" w:hanging="332"/>
        <w:spacing w:after="0" w:line="182" w:lineRule="auto"/>
        <w:tabs>
          <w:tab w:leader="none" w:pos="340" w:val="left"/>
        </w:tabs>
        <w:numPr>
          <w:ilvl w:val="0"/>
          <w:numId w:val="83"/>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2012,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2016.</w:t>
      </w:r>
    </w:p>
    <w:p>
      <w:pPr>
        <w:ind w:left="340" w:right="300" w:hanging="332"/>
        <w:spacing w:after="0" w:line="182" w:lineRule="auto"/>
        <w:tabs>
          <w:tab w:leader="none" w:pos="340" w:val="left"/>
        </w:tabs>
        <w:numPr>
          <w:ilvl w:val="0"/>
          <w:numId w:val="83"/>
        </w:numPr>
        <w:rPr>
          <w:rFonts w:ascii="Arial" w:cs="Arial" w:eastAsia="Arial" w:hAnsi="Arial"/>
          <w:sz w:val="13"/>
          <w:szCs w:val="13"/>
          <w:color w:val="auto"/>
        </w:rPr>
      </w:pPr>
      <w:r>
        <w:rPr>
          <w:rFonts w:ascii="Arial" w:cs="Arial" w:eastAsia="Arial" w:hAnsi="Arial"/>
          <w:sz w:val="13"/>
          <w:szCs w:val="13"/>
          <w:color w:val="auto"/>
        </w:rPr>
        <w:t>The option vests as to 1/3 of the shares on the two year anniversary of the vesting commencement date, which was April 1, 2013, and 1/3</w:t>
      </w:r>
      <w:r>
        <w:rPr>
          <w:rFonts w:ascii="Arial" w:cs="Arial" w:eastAsia="Arial" w:hAnsi="Arial"/>
          <w:sz w:val="21"/>
          <w:szCs w:val="21"/>
          <w:color w:val="auto"/>
          <w:vertAlign w:val="superscript"/>
        </w:rPr>
        <w:t>rd</w:t>
      </w:r>
      <w:r>
        <w:rPr>
          <w:rFonts w:ascii="Arial" w:cs="Arial" w:eastAsia="Arial" w:hAnsi="Arial"/>
          <w:sz w:val="13"/>
          <w:szCs w:val="13"/>
          <w:color w:val="auto"/>
        </w:rPr>
        <w:t xml:space="preserve"> yearly thereafter. The option will be fully vested on April 1, 2017.</w:t>
      </w:r>
    </w:p>
    <w:p>
      <w:pPr>
        <w:ind w:left="340" w:hanging="332"/>
        <w:spacing w:after="0" w:line="182" w:lineRule="auto"/>
        <w:tabs>
          <w:tab w:leader="none" w:pos="340" w:val="left"/>
        </w:tabs>
        <w:numPr>
          <w:ilvl w:val="0"/>
          <w:numId w:val="83"/>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was April 1, 2012,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340" w:hanging="332"/>
        <w:spacing w:after="0" w:line="221" w:lineRule="auto"/>
        <w:tabs>
          <w:tab w:leader="none" w:pos="340" w:val="left"/>
        </w:tabs>
        <w:numPr>
          <w:ilvl w:val="0"/>
          <w:numId w:val="83"/>
        </w:numPr>
        <w:rPr>
          <w:rFonts w:ascii="Arial" w:cs="Arial" w:eastAsia="Arial" w:hAnsi="Arial"/>
          <w:sz w:val="14"/>
          <w:szCs w:val="14"/>
          <w:color w:val="auto"/>
        </w:rPr>
      </w:pPr>
      <w:r>
        <w:rPr>
          <w:rFonts w:ascii="Arial" w:cs="Arial" w:eastAsia="Arial" w:hAnsi="Arial"/>
          <w:sz w:val="14"/>
          <w:szCs w:val="14"/>
          <w:color w:val="auto"/>
        </w:rPr>
        <w:t>The RSU award vests as to 100% of the shares on the one year anniversary of the vesting commencement date, which was April 1, 2013.</w:t>
      </w:r>
    </w:p>
    <w:p>
      <w:pPr>
        <w:ind w:left="340" w:hanging="332"/>
        <w:spacing w:after="0" w:line="221" w:lineRule="auto"/>
        <w:tabs>
          <w:tab w:leader="none" w:pos="340" w:val="left"/>
        </w:tabs>
        <w:numPr>
          <w:ilvl w:val="0"/>
          <w:numId w:val="83"/>
        </w:numPr>
        <w:rPr>
          <w:rFonts w:ascii="Arial" w:cs="Arial" w:eastAsia="Arial" w:hAnsi="Arial"/>
          <w:sz w:val="14"/>
          <w:szCs w:val="14"/>
          <w:color w:val="auto"/>
        </w:rPr>
      </w:pPr>
      <w:r>
        <w:rPr>
          <w:rFonts w:ascii="Arial" w:cs="Arial" w:eastAsia="Arial" w:hAnsi="Arial"/>
          <w:sz w:val="14"/>
          <w:szCs w:val="14"/>
          <w:color w:val="auto"/>
        </w:rPr>
        <w:t>Fully vested on June 10, 2013.</w:t>
      </w:r>
    </w:p>
    <w:p>
      <w:pPr>
        <w:ind w:left="340" w:right="60" w:hanging="332"/>
        <w:spacing w:after="0" w:line="221" w:lineRule="auto"/>
        <w:tabs>
          <w:tab w:leader="none" w:pos="340" w:val="left"/>
        </w:tabs>
        <w:numPr>
          <w:ilvl w:val="0"/>
          <w:numId w:val="83"/>
        </w:numPr>
        <w:rPr>
          <w:rFonts w:ascii="Arial" w:cs="Arial" w:eastAsia="Arial" w:hAnsi="Arial"/>
          <w:sz w:val="14"/>
          <w:szCs w:val="14"/>
          <w:color w:val="auto"/>
        </w:rPr>
      </w:pPr>
      <w:r>
        <w:rPr>
          <w:rFonts w:ascii="Arial" w:cs="Arial" w:eastAsia="Arial" w:hAnsi="Arial"/>
          <w:sz w:val="14"/>
          <w:szCs w:val="14"/>
          <w:color w:val="auto"/>
        </w:rPr>
        <w:t>RSU award earned based on the achievement of fiscal 2014 revenue targets, as set forth in more detail starting on page 32 of this proxy statement in the Compensation Discussion and Analysis above. The ECC determined in March 2014 that 3,330 shares had been earned based on fiscal 2014 performance. The earned RSU award vests as to 100% of the earned shares on the one year anniversary of vesting commencement date, which is April 1, 2013, The unearned portion of the award expired.</w:t>
      </w:r>
    </w:p>
    <w:p>
      <w:pPr>
        <w:ind w:left="340" w:hanging="332"/>
        <w:spacing w:after="0"/>
        <w:tabs>
          <w:tab w:leader="none" w:pos="340" w:val="left"/>
        </w:tabs>
        <w:numPr>
          <w:ilvl w:val="0"/>
          <w:numId w:val="83"/>
        </w:numPr>
        <w:rPr>
          <w:rFonts w:ascii="Arial" w:cs="Arial" w:eastAsia="Arial" w:hAnsi="Arial"/>
          <w:sz w:val="14"/>
          <w:szCs w:val="14"/>
          <w:color w:val="auto"/>
        </w:rPr>
      </w:pPr>
      <w:r>
        <w:rPr>
          <w:rFonts w:ascii="Arial" w:cs="Arial" w:eastAsia="Arial" w:hAnsi="Arial"/>
          <w:sz w:val="14"/>
          <w:szCs w:val="14"/>
          <w:color w:val="auto"/>
        </w:rPr>
        <w:t>The RSU award vests as to 25% of the shares on the one year anniversary of the vesting commencement date, which was April 1, 2011, and 1/4</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yearly thereafter.</w:t>
      </w:r>
    </w:p>
    <w:p>
      <w:pPr>
        <w:spacing w:after="0" w:line="1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2014</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740" w:type="dxa"/>
            <w:vAlign w:val="bottom"/>
          </w:tcPr>
          <w:p>
            <w:pPr>
              <w:spacing w:after="0"/>
              <w:rPr>
                <w:sz w:val="14"/>
                <w:szCs w:val="14"/>
                <w:color w:val="auto"/>
              </w:rPr>
            </w:pPr>
          </w:p>
        </w:tc>
        <w:tc>
          <w:tcPr>
            <w:tcW w:w="1900" w:type="dxa"/>
            <w:vAlign w:val="bottom"/>
            <w:tcBorders>
              <w:bottom w:val="single" w:sz="8" w:color="auto"/>
            </w:tcBorders>
            <w:gridSpan w:val="2"/>
          </w:tcPr>
          <w:p>
            <w:pPr>
              <w:jc w:val="right"/>
              <w:ind w:right="80"/>
              <w:spacing w:after="0"/>
              <w:rPr>
                <w:sz w:val="20"/>
                <w:szCs w:val="20"/>
                <w:color w:val="auto"/>
              </w:rPr>
            </w:pPr>
            <w:r>
              <w:rPr>
                <w:rFonts w:ascii="Arial" w:cs="Arial" w:eastAsia="Arial" w:hAnsi="Arial"/>
                <w:sz w:val="14"/>
                <w:szCs w:val="14"/>
                <w:b w:val="1"/>
                <w:bCs w:val="1"/>
                <w:color w:val="auto"/>
              </w:rPr>
              <w:t>Option Awards</w:t>
            </w:r>
          </w:p>
        </w:tc>
        <w:tc>
          <w:tcPr>
            <w:tcW w:w="860" w:type="dxa"/>
            <w:vAlign w:val="bottom"/>
            <w:tcBorders>
              <w:bottom w:val="single" w:sz="8" w:color="auto"/>
            </w:tcBorders>
          </w:tcPr>
          <w:p>
            <w:pPr>
              <w:spacing w:after="0"/>
              <w:rPr>
                <w:sz w:val="14"/>
                <w:szCs w:val="14"/>
                <w:color w:val="auto"/>
              </w:rPr>
            </w:pPr>
          </w:p>
        </w:tc>
        <w:tc>
          <w:tcPr>
            <w:tcW w:w="780" w:type="dxa"/>
            <w:vAlign w:val="bottom"/>
          </w:tcPr>
          <w:p>
            <w:pPr>
              <w:spacing w:after="0"/>
              <w:rPr>
                <w:sz w:val="14"/>
                <w:szCs w:val="14"/>
                <w:color w:val="auto"/>
              </w:rPr>
            </w:pPr>
          </w:p>
        </w:tc>
        <w:tc>
          <w:tcPr>
            <w:tcW w:w="17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Stock Awards</w:t>
            </w:r>
          </w:p>
        </w:tc>
        <w:tc>
          <w:tcPr>
            <w:tcW w:w="9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 w:type="dxa"/>
            <w:vAlign w:val="bottom"/>
          </w:tcPr>
          <w:p>
            <w:pPr>
              <w:spacing w:after="0"/>
              <w:rPr>
                <w:sz w:val="11"/>
                <w:szCs w:val="11"/>
                <w:color w:val="auto"/>
              </w:rPr>
            </w:pPr>
          </w:p>
        </w:tc>
        <w:tc>
          <w:tcPr>
            <w:tcW w:w="4740" w:type="dxa"/>
            <w:vAlign w:val="bottom"/>
          </w:tcPr>
          <w:p>
            <w:pPr>
              <w:spacing w:after="0"/>
              <w:rPr>
                <w:sz w:val="11"/>
                <w:szCs w:val="11"/>
                <w:color w:val="auto"/>
              </w:rPr>
            </w:pPr>
          </w:p>
        </w:tc>
        <w:tc>
          <w:tcPr>
            <w:tcW w:w="1900" w:type="dxa"/>
            <w:vAlign w:val="bottom"/>
            <w:gridSpan w:val="2"/>
          </w:tcPr>
          <w:p>
            <w:pPr>
              <w:jc w:val="center"/>
              <w:ind w:right="920"/>
              <w:spacing w:after="0" w:line="12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740" w:type="dxa"/>
            <w:vAlign w:val="bottom"/>
            <w:gridSpan w:val="2"/>
          </w:tcPr>
          <w:p>
            <w:pPr>
              <w:jc w:val="center"/>
              <w:ind w:right="760"/>
              <w:spacing w:after="0" w:line="129" w:lineRule="exact"/>
              <w:rPr>
                <w:sz w:val="20"/>
                <w:szCs w:val="20"/>
                <w:color w:val="auto"/>
              </w:rPr>
            </w:pPr>
            <w:r>
              <w:rPr>
                <w:rFonts w:ascii="Arial" w:cs="Arial" w:eastAsia="Arial" w:hAnsi="Arial"/>
                <w:sz w:val="14"/>
                <w:szCs w:val="14"/>
                <w:b w:val="1"/>
                <w:bCs w:val="1"/>
                <w:color w:val="auto"/>
                <w:w w:val="88"/>
              </w:rPr>
              <w:t>Number of</w:t>
            </w:r>
          </w:p>
        </w:tc>
        <w:tc>
          <w:tcPr>
            <w:tcW w:w="9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4740" w:type="dxa"/>
            <w:vAlign w:val="bottom"/>
            <w:vMerge w:val="restart"/>
          </w:tcPr>
          <w:p>
            <w:pPr>
              <w:spacing w:after="0"/>
              <w:rPr>
                <w:sz w:val="12"/>
                <w:szCs w:val="12"/>
                <w:color w:val="auto"/>
              </w:rPr>
            </w:pPr>
          </w:p>
        </w:tc>
        <w:tc>
          <w:tcPr>
            <w:tcW w:w="190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1640" w:type="dxa"/>
            <w:vAlign w:val="bottom"/>
            <w:gridSpan w:val="2"/>
          </w:tcPr>
          <w:p>
            <w:pPr>
              <w:jc w:val="right"/>
              <w:ind w:right="780"/>
              <w:spacing w:after="0" w:line="149" w:lineRule="exact"/>
              <w:rPr>
                <w:sz w:val="20"/>
                <w:szCs w:val="20"/>
                <w:color w:val="auto"/>
              </w:rPr>
            </w:pPr>
            <w:r>
              <w:rPr>
                <w:rFonts w:ascii="Arial" w:cs="Arial" w:eastAsia="Arial" w:hAnsi="Arial"/>
                <w:sz w:val="14"/>
                <w:szCs w:val="14"/>
                <w:b w:val="1"/>
                <w:bCs w:val="1"/>
                <w:color w:val="auto"/>
                <w:w w:val="85"/>
              </w:rPr>
              <w:t>Value Realized</w:t>
            </w:r>
          </w:p>
        </w:tc>
        <w:tc>
          <w:tcPr>
            <w:tcW w:w="17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6"/>
              </w:rPr>
              <w:t>Shares Acquired</w:t>
            </w:r>
          </w:p>
        </w:tc>
        <w:tc>
          <w:tcPr>
            <w:tcW w:w="10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Realized</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4740" w:type="dxa"/>
            <w:vAlign w:val="bottom"/>
            <w:vMerge w:val="continue"/>
          </w:tcPr>
          <w:p>
            <w:pPr>
              <w:spacing w:after="0"/>
              <w:rPr>
                <w:sz w:val="14"/>
                <w:szCs w:val="14"/>
                <w:color w:val="auto"/>
              </w:rPr>
            </w:pPr>
          </w:p>
        </w:tc>
        <w:tc>
          <w:tcPr>
            <w:tcW w:w="1900" w:type="dxa"/>
            <w:vAlign w:val="bottom"/>
            <w:gridSpan w:val="2"/>
          </w:tcPr>
          <w:p>
            <w:pPr>
              <w:jc w:val="center"/>
              <w:ind w:right="920"/>
              <w:spacing w:after="0" w:line="148" w:lineRule="exact"/>
              <w:rPr>
                <w:sz w:val="20"/>
                <w:szCs w:val="20"/>
                <w:color w:val="auto"/>
              </w:rPr>
            </w:pPr>
            <w:r>
              <w:rPr>
                <w:rFonts w:ascii="Arial" w:cs="Arial" w:eastAsia="Arial" w:hAnsi="Arial"/>
                <w:sz w:val="14"/>
                <w:szCs w:val="14"/>
                <w:b w:val="1"/>
                <w:bCs w:val="1"/>
                <w:color w:val="auto"/>
                <w:w w:val="85"/>
              </w:rPr>
              <w:t>on Exercise(#)</w:t>
            </w:r>
          </w:p>
        </w:tc>
        <w:tc>
          <w:tcPr>
            <w:tcW w:w="1640" w:type="dxa"/>
            <w:vAlign w:val="bottom"/>
            <w:gridSpan w:val="2"/>
          </w:tcPr>
          <w:p>
            <w:pPr>
              <w:jc w:val="right"/>
              <w:ind w:right="800"/>
              <w:spacing w:after="0" w:line="148" w:lineRule="exact"/>
              <w:rPr>
                <w:sz w:val="20"/>
                <w:szCs w:val="20"/>
                <w:color w:val="auto"/>
              </w:rPr>
            </w:pPr>
            <w:r>
              <w:rPr>
                <w:rFonts w:ascii="Arial" w:cs="Arial" w:eastAsia="Arial" w:hAnsi="Arial"/>
                <w:sz w:val="14"/>
                <w:szCs w:val="14"/>
                <w:b w:val="1"/>
                <w:bCs w:val="1"/>
                <w:color w:val="auto"/>
                <w:w w:val="85"/>
              </w:rPr>
              <w:t>on Exercise($)</w:t>
            </w:r>
          </w:p>
        </w:tc>
        <w:tc>
          <w:tcPr>
            <w:tcW w:w="1740" w:type="dxa"/>
            <w:vAlign w:val="bottom"/>
            <w:gridSpan w:val="2"/>
          </w:tcPr>
          <w:p>
            <w:pPr>
              <w:jc w:val="center"/>
              <w:ind w:right="780"/>
              <w:spacing w:after="0" w:line="148" w:lineRule="exact"/>
              <w:rPr>
                <w:sz w:val="20"/>
                <w:szCs w:val="20"/>
                <w:color w:val="auto"/>
              </w:rPr>
            </w:pPr>
            <w:r>
              <w:rPr>
                <w:rFonts w:ascii="Arial" w:cs="Arial" w:eastAsia="Arial" w:hAnsi="Arial"/>
                <w:sz w:val="14"/>
                <w:szCs w:val="14"/>
                <w:b w:val="1"/>
                <w:bCs w:val="1"/>
                <w:color w:val="auto"/>
                <w:w w:val="85"/>
              </w:rPr>
              <w:t>on Vesting(#)</w:t>
            </w:r>
          </w:p>
        </w:tc>
        <w:tc>
          <w:tcPr>
            <w:tcW w:w="102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5"/>
              </w:rPr>
              <w:t xml:space="preserve">on </w:t>
            </w:r>
            <w:r>
              <w:rPr>
                <w:rFonts w:ascii="Arial" w:cs="Arial" w:eastAsia="Arial" w:hAnsi="Arial"/>
                <w:sz w:val="14"/>
                <w:szCs w:val="14"/>
                <w:b w:val="1"/>
                <w:bCs w:val="1"/>
                <w:u w:val="single" w:color="auto"/>
                <w:color w:val="auto"/>
                <w:w w:val="85"/>
              </w:rPr>
              <w:t>Vesting($</w:t>
            </w:r>
            <w:r>
              <w:rPr>
                <w:rFonts w:ascii="Arial" w:cs="Arial" w:eastAsia="Arial" w:hAnsi="Arial"/>
                <w:sz w:val="14"/>
                <w:szCs w:val="14"/>
                <w:b w:val="1"/>
                <w:bCs w:val="1"/>
                <w:color w:val="auto"/>
                <w:w w:val="85"/>
              </w:rPr>
              <w:t>)(1)</w:t>
            </w:r>
          </w:p>
        </w:tc>
        <w:tc>
          <w:tcPr>
            <w:tcW w:w="0" w:type="dxa"/>
            <w:vAlign w:val="bottom"/>
          </w:tcPr>
          <w:p>
            <w:pPr>
              <w:spacing w:after="0"/>
              <w:rPr>
                <w:sz w:val="1"/>
                <w:szCs w:val="1"/>
                <w:color w:val="auto"/>
              </w:rPr>
            </w:pPr>
          </w:p>
        </w:tc>
      </w:tr>
      <w:tr>
        <w:trPr>
          <w:trHeight w:val="203"/>
        </w:trPr>
        <w:tc>
          <w:tcPr>
            <w:tcW w:w="51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1,000,000(2)</w:t>
            </w:r>
          </w:p>
        </w:tc>
        <w:tc>
          <w:tcPr>
            <w:tcW w:w="94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2,650,000</w:t>
            </w:r>
          </w:p>
        </w:tc>
        <w:tc>
          <w:tcPr>
            <w:tcW w:w="78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75,000</w:t>
            </w:r>
          </w:p>
        </w:tc>
        <w:tc>
          <w:tcPr>
            <w:tcW w:w="78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779,250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12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900" w:type="dxa"/>
            <w:vAlign w:val="bottom"/>
            <w:gridSpan w:val="2"/>
          </w:tcPr>
          <w:p>
            <w:pPr>
              <w:jc w:val="right"/>
              <w:ind w:right="1020"/>
              <w:spacing w:after="0"/>
              <w:rPr>
                <w:sz w:val="20"/>
                <w:szCs w:val="20"/>
                <w:color w:val="auto"/>
              </w:rPr>
            </w:pPr>
            <w:r>
              <w:rPr>
                <w:rFonts w:ascii="Arial" w:cs="Arial" w:eastAsia="Arial" w:hAnsi="Arial"/>
                <w:sz w:val="18"/>
                <w:szCs w:val="18"/>
                <w:color w:val="auto"/>
              </w:rPr>
              <w:t>—</w:t>
            </w:r>
          </w:p>
        </w:tc>
        <w:tc>
          <w:tcPr>
            <w:tcW w:w="1640" w:type="dxa"/>
            <w:vAlign w:val="bottom"/>
            <w:gridSpan w:val="2"/>
          </w:tcPr>
          <w:p>
            <w:pPr>
              <w:jc w:val="right"/>
              <w:ind w:right="860"/>
              <w:spacing w:after="0"/>
              <w:rPr>
                <w:sz w:val="20"/>
                <w:szCs w:val="20"/>
                <w:color w:val="auto"/>
              </w:rPr>
            </w:pPr>
            <w:r>
              <w:rPr>
                <w:rFonts w:ascii="Arial" w:cs="Arial" w:eastAsia="Arial" w:hAnsi="Arial"/>
                <w:sz w:val="18"/>
                <w:szCs w:val="18"/>
                <w:color w:val="auto"/>
              </w:rPr>
              <w:t>—</w:t>
            </w:r>
          </w:p>
        </w:tc>
        <w:tc>
          <w:tcPr>
            <w:tcW w:w="1740" w:type="dxa"/>
            <w:vAlign w:val="bottom"/>
            <w:gridSpan w:val="2"/>
          </w:tcPr>
          <w:p>
            <w:pPr>
              <w:jc w:val="right"/>
              <w:ind w:right="780"/>
              <w:spacing w:after="0"/>
              <w:rPr>
                <w:sz w:val="20"/>
                <w:szCs w:val="20"/>
                <w:color w:val="auto"/>
              </w:rPr>
            </w:pPr>
            <w:r>
              <w:rPr>
                <w:rFonts w:ascii="Arial" w:cs="Arial" w:eastAsia="Arial" w:hAnsi="Arial"/>
                <w:sz w:val="18"/>
                <w:szCs w:val="18"/>
                <w:color w:val="auto"/>
              </w:rPr>
              <w:t>27,500</w:t>
            </w:r>
          </w:p>
        </w:tc>
        <w:tc>
          <w:tcPr>
            <w:tcW w:w="920" w:type="dxa"/>
            <w:vAlign w:val="bottom"/>
          </w:tcPr>
          <w:p>
            <w:pPr>
              <w:jc w:val="right"/>
              <w:spacing w:after="0"/>
              <w:rPr>
                <w:sz w:val="20"/>
                <w:szCs w:val="20"/>
                <w:color w:val="auto"/>
              </w:rPr>
            </w:pPr>
            <w:r>
              <w:rPr>
                <w:rFonts w:ascii="Arial" w:cs="Arial" w:eastAsia="Arial" w:hAnsi="Arial"/>
                <w:sz w:val="18"/>
                <w:szCs w:val="18"/>
                <w:color w:val="auto"/>
              </w:rPr>
              <w:t>285,725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w:t>
            </w:r>
          </w:p>
        </w:tc>
        <w:tc>
          <w:tcPr>
            <w:tcW w:w="1900" w:type="dxa"/>
            <w:vAlign w:val="bottom"/>
            <w:gridSpan w:val="2"/>
            <w:shd w:val="clear" w:color="auto" w:fill="CCEEFF"/>
          </w:tcPr>
          <w:p>
            <w:pPr>
              <w:jc w:val="right"/>
              <w:ind w:right="940"/>
              <w:spacing w:after="0"/>
              <w:rPr>
                <w:sz w:val="20"/>
                <w:szCs w:val="20"/>
                <w:color w:val="auto"/>
              </w:rPr>
            </w:pPr>
            <w:r>
              <w:rPr>
                <w:rFonts w:ascii="Arial" w:cs="Arial" w:eastAsia="Arial" w:hAnsi="Arial"/>
                <w:sz w:val="18"/>
                <w:szCs w:val="18"/>
                <w:color w:val="auto"/>
              </w:rPr>
              <w:t>104,500</w:t>
            </w:r>
          </w:p>
        </w:tc>
        <w:tc>
          <w:tcPr>
            <w:tcW w:w="164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259,549</w:t>
            </w:r>
          </w:p>
        </w:tc>
        <w:tc>
          <w:tcPr>
            <w:tcW w:w="174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16,875</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175,332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20" w:type="dxa"/>
            <w:vAlign w:val="bottom"/>
            <w:gridSpan w:val="2"/>
          </w:tcPr>
          <w:p>
            <w:pPr>
              <w:spacing w:after="0"/>
              <w:rPr>
                <w:sz w:val="20"/>
                <w:szCs w:val="20"/>
                <w:color w:val="auto"/>
              </w:rPr>
            </w:pPr>
            <w:r>
              <w:rPr>
                <w:rFonts w:ascii="Arial" w:cs="Arial" w:eastAsia="Arial" w:hAnsi="Arial"/>
                <w:sz w:val="18"/>
                <w:szCs w:val="18"/>
                <w:color w:val="auto"/>
              </w:rPr>
              <w:t>Dr. Pantas Sutardja</w:t>
            </w:r>
          </w:p>
        </w:tc>
        <w:tc>
          <w:tcPr>
            <w:tcW w:w="1900" w:type="dxa"/>
            <w:vAlign w:val="bottom"/>
            <w:gridSpan w:val="2"/>
          </w:tcPr>
          <w:p>
            <w:pPr>
              <w:jc w:val="right"/>
              <w:ind w:right="720"/>
              <w:spacing w:after="0"/>
              <w:rPr>
                <w:sz w:val="20"/>
                <w:szCs w:val="20"/>
                <w:color w:val="auto"/>
              </w:rPr>
            </w:pPr>
            <w:r>
              <w:rPr>
                <w:rFonts w:ascii="Arial" w:cs="Arial" w:eastAsia="Arial" w:hAnsi="Arial"/>
                <w:sz w:val="18"/>
                <w:szCs w:val="18"/>
                <w:color w:val="auto"/>
              </w:rPr>
              <w:t>2,835,332(3)</w:t>
            </w:r>
          </w:p>
        </w:tc>
        <w:tc>
          <w:tcPr>
            <w:tcW w:w="1640" w:type="dxa"/>
            <w:vAlign w:val="bottom"/>
            <w:gridSpan w:val="2"/>
          </w:tcPr>
          <w:p>
            <w:pPr>
              <w:jc w:val="right"/>
              <w:ind w:right="780"/>
              <w:spacing w:after="0"/>
              <w:rPr>
                <w:sz w:val="20"/>
                <w:szCs w:val="20"/>
                <w:color w:val="auto"/>
              </w:rPr>
            </w:pPr>
            <w:r>
              <w:rPr>
                <w:rFonts w:ascii="Arial" w:cs="Arial" w:eastAsia="Arial" w:hAnsi="Arial"/>
                <w:sz w:val="18"/>
                <w:szCs w:val="18"/>
                <w:color w:val="auto"/>
              </w:rPr>
              <w:t>7,741,032</w:t>
            </w:r>
          </w:p>
        </w:tc>
        <w:tc>
          <w:tcPr>
            <w:tcW w:w="1740" w:type="dxa"/>
            <w:vAlign w:val="bottom"/>
            <w:gridSpan w:val="2"/>
          </w:tcPr>
          <w:p>
            <w:pPr>
              <w:jc w:val="right"/>
              <w:ind w:right="780"/>
              <w:spacing w:after="0"/>
              <w:rPr>
                <w:sz w:val="20"/>
                <w:szCs w:val="20"/>
                <w:color w:val="auto"/>
              </w:rPr>
            </w:pPr>
            <w:r>
              <w:rPr>
                <w:rFonts w:ascii="Arial" w:cs="Arial" w:eastAsia="Arial" w:hAnsi="Arial"/>
                <w:sz w:val="18"/>
                <w:szCs w:val="18"/>
                <w:color w:val="auto"/>
              </w:rPr>
              <w:t>15,500</w:t>
            </w:r>
          </w:p>
        </w:tc>
        <w:tc>
          <w:tcPr>
            <w:tcW w:w="920" w:type="dxa"/>
            <w:vAlign w:val="bottom"/>
          </w:tcPr>
          <w:p>
            <w:pPr>
              <w:jc w:val="right"/>
              <w:spacing w:after="0"/>
              <w:rPr>
                <w:sz w:val="20"/>
                <w:szCs w:val="20"/>
                <w:color w:val="auto"/>
              </w:rPr>
            </w:pPr>
            <w:r>
              <w:rPr>
                <w:rFonts w:ascii="Arial" w:cs="Arial" w:eastAsia="Arial" w:hAnsi="Arial"/>
                <w:sz w:val="18"/>
                <w:szCs w:val="18"/>
                <w:color w:val="auto"/>
              </w:rPr>
              <w:t>161,045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Brad Feller</w:t>
            </w:r>
          </w:p>
        </w:tc>
        <w:tc>
          <w:tcPr>
            <w:tcW w:w="1900" w:type="dxa"/>
            <w:vAlign w:val="bottom"/>
            <w:gridSpan w:val="2"/>
            <w:shd w:val="clear" w:color="auto" w:fill="CCEEFF"/>
          </w:tcPr>
          <w:p>
            <w:pPr>
              <w:jc w:val="right"/>
              <w:ind w:right="940"/>
              <w:spacing w:after="0"/>
              <w:rPr>
                <w:sz w:val="20"/>
                <w:szCs w:val="20"/>
                <w:color w:val="auto"/>
              </w:rPr>
            </w:pPr>
            <w:r>
              <w:rPr>
                <w:rFonts w:ascii="Arial" w:cs="Arial" w:eastAsia="Arial" w:hAnsi="Arial"/>
                <w:sz w:val="18"/>
                <w:szCs w:val="18"/>
                <w:color w:val="auto"/>
              </w:rPr>
              <w:t>40,000</w:t>
            </w:r>
          </w:p>
        </w:tc>
        <w:tc>
          <w:tcPr>
            <w:tcW w:w="164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303,206</w:t>
            </w:r>
          </w:p>
        </w:tc>
        <w:tc>
          <w:tcPr>
            <w:tcW w:w="174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3,875</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40,261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84"/>
        </w:numPr>
        <w:rPr>
          <w:rFonts w:ascii="Arial" w:cs="Arial" w:eastAsia="Arial" w:hAnsi="Arial"/>
          <w:sz w:val="18"/>
          <w:szCs w:val="18"/>
          <w:color w:val="auto"/>
        </w:rPr>
      </w:pPr>
      <w:r>
        <w:rPr>
          <w:rFonts w:ascii="Arial" w:cs="Arial" w:eastAsia="Arial" w:hAnsi="Arial"/>
          <w:sz w:val="18"/>
          <w:szCs w:val="18"/>
          <w:color w:val="auto"/>
        </w:rPr>
        <w:t>The RSUs vested and were released on April 1, 2013 at $10.39 per share.</w:t>
      </w:r>
    </w:p>
    <w:p>
      <w:pPr>
        <w:spacing w:after="0" w:line="15" w:lineRule="exact"/>
        <w:rPr>
          <w:rFonts w:ascii="Arial" w:cs="Arial" w:eastAsia="Arial" w:hAnsi="Arial"/>
          <w:sz w:val="18"/>
          <w:szCs w:val="18"/>
          <w:color w:val="auto"/>
        </w:rPr>
      </w:pPr>
    </w:p>
    <w:p>
      <w:pPr>
        <w:ind w:left="460" w:hanging="452"/>
        <w:spacing w:after="0"/>
        <w:tabs>
          <w:tab w:leader="none" w:pos="460" w:val="left"/>
        </w:tabs>
        <w:numPr>
          <w:ilvl w:val="0"/>
          <w:numId w:val="84"/>
        </w:numPr>
        <w:rPr>
          <w:rFonts w:ascii="Arial" w:cs="Arial" w:eastAsia="Arial" w:hAnsi="Arial"/>
          <w:sz w:val="18"/>
          <w:szCs w:val="18"/>
          <w:color w:val="auto"/>
        </w:rPr>
      </w:pPr>
      <w:r>
        <w:rPr>
          <w:rFonts w:ascii="Arial" w:cs="Arial" w:eastAsia="Arial" w:hAnsi="Arial"/>
          <w:sz w:val="18"/>
          <w:szCs w:val="18"/>
          <w:color w:val="auto"/>
        </w:rPr>
        <w:t>All of such shares were acquired pursuant to an option award that would have expired on December 26, 2013 if not exercised.</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84"/>
        </w:numPr>
        <w:rPr>
          <w:rFonts w:ascii="Arial" w:cs="Arial" w:eastAsia="Arial" w:hAnsi="Arial"/>
          <w:sz w:val="18"/>
          <w:szCs w:val="18"/>
          <w:color w:val="auto"/>
        </w:rPr>
      </w:pPr>
      <w:r>
        <w:rPr>
          <w:rFonts w:ascii="Arial" w:cs="Arial" w:eastAsia="Arial" w:hAnsi="Arial"/>
          <w:sz w:val="18"/>
          <w:szCs w:val="18"/>
          <w:color w:val="auto"/>
        </w:rPr>
        <w:t>2,518,332 of such shares were acquired pursuant to an option award that would have expired on December 26, 2013 if not exercised.</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During fiscal 2014, we did not have any employment agreements with any of our named executive officers, nor do we have any compensatory plan or arrangement that would result in any payments to any named executive officers upon such officer’s resignation, retirement or other termination or from a change-in-control. Any of our named executive officers may resign at any time and the employment of any named executive officer may be terminated at any time by our board of directors. Upon such resignation or termination, our executive officers would be entitled to receive earned but unpaid salary and bonus and accrued but unused vacation pay.</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April 2, 2014, except as noted otherwise, for:</w:t>
      </w:r>
    </w:p>
    <w:p>
      <w:pPr>
        <w:spacing w:after="0" w:line="113" w:lineRule="exact"/>
        <w:rPr>
          <w:sz w:val="20"/>
          <w:szCs w:val="20"/>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on page 40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0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2440" w:type="dxa"/>
            <w:vAlign w:val="bottom"/>
            <w:gridSpan w:val="4"/>
          </w:tcPr>
          <w:p>
            <w:pPr>
              <w:jc w:val="right"/>
              <w:ind w:right="480"/>
              <w:spacing w:after="0"/>
              <w:rPr>
                <w:sz w:val="20"/>
                <w:szCs w:val="20"/>
                <w:color w:val="auto"/>
              </w:rPr>
            </w:pPr>
            <w:r>
              <w:rPr>
                <w:rFonts w:ascii="Arial" w:cs="Arial" w:eastAsia="Arial" w:hAnsi="Arial"/>
                <w:sz w:val="14"/>
                <w:szCs w:val="14"/>
                <w:b w:val="1"/>
                <w:bCs w:val="1"/>
                <w:color w:val="auto"/>
                <w:w w:val="98"/>
              </w:rPr>
              <w:t>Shares Beneficially Owned(1)</w:t>
            </w:r>
          </w:p>
        </w:tc>
        <w:tc>
          <w:tcPr>
            <w:tcW w:w="0" w:type="dxa"/>
            <w:vAlign w:val="bottom"/>
          </w:tcPr>
          <w:p>
            <w:pPr>
              <w:spacing w:after="0"/>
              <w:rPr>
                <w:sz w:val="1"/>
                <w:szCs w:val="1"/>
                <w:color w:val="auto"/>
              </w:rPr>
            </w:pPr>
          </w:p>
        </w:tc>
      </w:tr>
      <w:tr>
        <w:trPr>
          <w:trHeight w:val="129"/>
        </w:trPr>
        <w:tc>
          <w:tcPr>
            <w:tcW w:w="8060" w:type="dxa"/>
            <w:vAlign w:val="bottom"/>
            <w:gridSpan w:val="3"/>
            <w:vMerge w:val="continue"/>
          </w:tcPr>
          <w:p>
            <w:pPr>
              <w:spacing w:after="0"/>
              <w:rPr>
                <w:sz w:val="11"/>
                <w:szCs w:val="11"/>
                <w:color w:val="auto"/>
              </w:rPr>
            </w:pPr>
          </w:p>
        </w:tc>
        <w:tc>
          <w:tcPr>
            <w:tcW w:w="1520" w:type="dxa"/>
            <w:vAlign w:val="bottom"/>
            <w:tcBorders>
              <w:top w:val="single" w:sz="8" w:color="auto"/>
            </w:tcBorders>
            <w:gridSpan w:val="2"/>
          </w:tcPr>
          <w:p>
            <w:pPr>
              <w:jc w:val="right"/>
              <w:ind w:right="860"/>
              <w:spacing w:after="0" w:line="129" w:lineRule="exact"/>
              <w:rPr>
                <w:sz w:val="20"/>
                <w:szCs w:val="20"/>
                <w:color w:val="auto"/>
              </w:rPr>
            </w:pPr>
            <w:r>
              <w:rPr>
                <w:rFonts w:ascii="Arial" w:cs="Arial" w:eastAsia="Arial" w:hAnsi="Arial"/>
                <w:sz w:val="14"/>
                <w:szCs w:val="14"/>
                <w:b w:val="1"/>
                <w:bCs w:val="1"/>
                <w:color w:val="auto"/>
              </w:rPr>
              <w:t>Number</w:t>
            </w: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Percent**</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7680" w:type="dxa"/>
            <w:vAlign w:val="bottom"/>
            <w:tcBorders>
              <w:bottom w:val="single" w:sz="8" w:color="CCEEFF"/>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804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84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72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tcPr>
          <w:p>
            <w:pPr>
              <w:spacing w:after="0"/>
              <w:rPr>
                <w:sz w:val="20"/>
                <w:szCs w:val="20"/>
                <w:color w:val="auto"/>
              </w:rPr>
            </w:pPr>
            <w:r>
              <w:rPr>
                <w:rFonts w:ascii="Arial" w:cs="Arial" w:eastAsia="Arial" w:hAnsi="Arial"/>
                <w:sz w:val="18"/>
                <w:szCs w:val="18"/>
                <w:color w:val="auto"/>
              </w:rPr>
              <w:t>Greenlight Capital, Inc. (2)</w:t>
            </w:r>
          </w:p>
        </w:tc>
        <w:tc>
          <w:tcPr>
            <w:tcW w:w="1520" w:type="dxa"/>
            <w:vAlign w:val="bottom"/>
            <w:gridSpan w:val="2"/>
          </w:tcPr>
          <w:p>
            <w:pPr>
              <w:jc w:val="right"/>
              <w:ind w:right="680"/>
              <w:spacing w:after="0"/>
              <w:rPr>
                <w:sz w:val="20"/>
                <w:szCs w:val="20"/>
                <w:color w:val="auto"/>
              </w:rPr>
            </w:pPr>
            <w:r>
              <w:rPr>
                <w:rFonts w:ascii="Arial" w:cs="Arial" w:eastAsia="Arial" w:hAnsi="Arial"/>
                <w:sz w:val="18"/>
                <w:szCs w:val="18"/>
                <w:color w:val="auto"/>
                <w:w w:val="90"/>
              </w:rPr>
              <w:t>44,289,000</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140 East 45th Street</w:t>
            </w:r>
          </w:p>
        </w:tc>
        <w:tc>
          <w:tcPr>
            <w:tcW w:w="8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tcPr>
          <w:p>
            <w:pPr>
              <w:ind w:left="200"/>
              <w:spacing w:after="0"/>
              <w:rPr>
                <w:sz w:val="20"/>
                <w:szCs w:val="20"/>
                <w:color w:val="auto"/>
              </w:rPr>
            </w:pPr>
            <w:r>
              <w:rPr>
                <w:rFonts w:ascii="Arial" w:cs="Arial" w:eastAsia="Arial" w:hAnsi="Arial"/>
                <w:sz w:val="18"/>
                <w:szCs w:val="18"/>
                <w:color w:val="auto"/>
              </w:rPr>
              <w:t>New York, NY 10017</w:t>
            </w:r>
          </w:p>
        </w:tc>
        <w:tc>
          <w:tcPr>
            <w:tcW w:w="8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Kohlberg Kravis Roberts &amp; Co. L.P. (3)</w:t>
            </w:r>
          </w:p>
        </w:tc>
        <w:tc>
          <w:tcPr>
            <w:tcW w:w="152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w w:val="90"/>
              </w:rPr>
              <w:t>33,641,300</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040" w:type="dxa"/>
            <w:vAlign w:val="bottom"/>
            <w:gridSpan w:val="2"/>
          </w:tcPr>
          <w:p>
            <w:pPr>
              <w:ind w:left="200"/>
              <w:spacing w:after="0"/>
              <w:rPr>
                <w:sz w:val="20"/>
                <w:szCs w:val="20"/>
                <w:color w:val="auto"/>
              </w:rPr>
            </w:pPr>
            <w:r>
              <w:rPr>
                <w:rFonts w:ascii="Arial" w:cs="Arial" w:eastAsia="Arial" w:hAnsi="Arial"/>
                <w:sz w:val="18"/>
                <w:szCs w:val="18"/>
                <w:color w:val="auto"/>
              </w:rPr>
              <w:t>9 West 57</w:t>
            </w:r>
            <w:r>
              <w:rPr>
                <w:rFonts w:ascii="Arial" w:cs="Arial" w:eastAsia="Arial" w:hAnsi="Arial"/>
                <w:sz w:val="11"/>
                <w:szCs w:val="11"/>
                <w:color w:val="auto"/>
              </w:rPr>
              <w:t>th</w:t>
            </w:r>
            <w:r>
              <w:rPr>
                <w:rFonts w:ascii="Arial" w:cs="Arial" w:eastAsia="Arial" w:hAnsi="Arial"/>
                <w:sz w:val="18"/>
                <w:szCs w:val="18"/>
                <w:color w:val="auto"/>
              </w:rPr>
              <w:t xml:space="preserve"> Street, Suite 4200</w:t>
            </w:r>
          </w:p>
        </w:tc>
        <w:tc>
          <w:tcPr>
            <w:tcW w:w="8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40" w:type="dxa"/>
            <w:vAlign w:val="bottom"/>
            <w:gridSpan w:val="2"/>
          </w:tcPr>
          <w:p>
            <w:pPr>
              <w:ind w:left="200"/>
              <w:spacing w:after="0"/>
              <w:rPr>
                <w:sz w:val="20"/>
                <w:szCs w:val="20"/>
                <w:color w:val="auto"/>
              </w:rPr>
            </w:pPr>
            <w:r>
              <w:rPr>
                <w:rFonts w:ascii="Arial" w:cs="Arial" w:eastAsia="Arial" w:hAnsi="Arial"/>
                <w:sz w:val="18"/>
                <w:szCs w:val="18"/>
                <w:color w:val="auto"/>
              </w:rPr>
              <w:t>New York, NY 10019</w:t>
            </w:r>
          </w:p>
        </w:tc>
        <w:tc>
          <w:tcPr>
            <w:tcW w:w="8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4"/>
        </w:trPr>
        <w:tc>
          <w:tcPr>
            <w:tcW w:w="20" w:type="dxa"/>
            <w:vAlign w:val="bottom"/>
            <w:vMerge w:val="restart"/>
          </w:tcPr>
          <w:p>
            <w:pPr>
              <w:spacing w:after="0"/>
              <w:rPr>
                <w:sz w:val="10"/>
                <w:szCs w:val="10"/>
                <w:color w:val="auto"/>
              </w:rPr>
            </w:pPr>
          </w:p>
        </w:tc>
        <w:tc>
          <w:tcPr>
            <w:tcW w:w="360" w:type="dxa"/>
            <w:vAlign w:val="bottom"/>
          </w:tcPr>
          <w:p>
            <w:pPr>
              <w:spacing w:after="0"/>
              <w:rPr>
                <w:sz w:val="10"/>
                <w:szCs w:val="10"/>
                <w:color w:val="auto"/>
              </w:rPr>
            </w:pPr>
          </w:p>
        </w:tc>
        <w:tc>
          <w:tcPr>
            <w:tcW w:w="768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0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8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tcPr>
          <w:p>
            <w:pPr>
              <w:spacing w:after="0"/>
              <w:rPr>
                <w:sz w:val="20"/>
                <w:szCs w:val="20"/>
                <w:color w:val="auto"/>
              </w:rPr>
            </w:pPr>
            <w:r>
              <w:rPr>
                <w:rFonts w:ascii="Arial" w:cs="Arial" w:eastAsia="Arial" w:hAnsi="Arial"/>
                <w:sz w:val="18"/>
                <w:szCs w:val="18"/>
                <w:color w:val="auto"/>
              </w:rPr>
              <w:t>Dr. Sehat Sutardja (4)</w:t>
            </w:r>
          </w:p>
        </w:tc>
        <w:tc>
          <w:tcPr>
            <w:tcW w:w="1520" w:type="dxa"/>
            <w:vAlign w:val="bottom"/>
            <w:gridSpan w:val="2"/>
          </w:tcPr>
          <w:p>
            <w:pPr>
              <w:jc w:val="right"/>
              <w:ind w:right="680"/>
              <w:spacing w:after="0"/>
              <w:rPr>
                <w:sz w:val="20"/>
                <w:szCs w:val="20"/>
                <w:color w:val="auto"/>
              </w:rPr>
            </w:pPr>
            <w:r>
              <w:rPr>
                <w:rFonts w:ascii="Arial" w:cs="Arial" w:eastAsia="Arial" w:hAnsi="Arial"/>
                <w:sz w:val="18"/>
                <w:szCs w:val="18"/>
                <w:color w:val="auto"/>
                <w:w w:val="90"/>
              </w:rPr>
              <w:t>68,742,757</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Weili Dai (4)</w:t>
            </w:r>
          </w:p>
        </w:tc>
        <w:tc>
          <w:tcPr>
            <w:tcW w:w="152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w w:val="90"/>
              </w:rPr>
              <w:t>68,742,757</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tcPr>
          <w:p>
            <w:pPr>
              <w:spacing w:after="0"/>
              <w:rPr>
                <w:sz w:val="20"/>
                <w:szCs w:val="20"/>
                <w:color w:val="auto"/>
              </w:rPr>
            </w:pPr>
            <w:r>
              <w:rPr>
                <w:rFonts w:ascii="Arial" w:cs="Arial" w:eastAsia="Arial" w:hAnsi="Arial"/>
                <w:sz w:val="18"/>
                <w:szCs w:val="18"/>
                <w:color w:val="auto"/>
              </w:rPr>
              <w:t>Mike Rashkin (5)</w:t>
            </w:r>
          </w:p>
        </w:tc>
        <w:tc>
          <w:tcPr>
            <w:tcW w:w="1520" w:type="dxa"/>
            <w:vAlign w:val="bottom"/>
            <w:gridSpan w:val="2"/>
          </w:tcPr>
          <w:p>
            <w:pPr>
              <w:jc w:val="right"/>
              <w:ind w:right="680"/>
              <w:spacing w:after="0"/>
              <w:rPr>
                <w:sz w:val="20"/>
                <w:szCs w:val="20"/>
                <w:color w:val="auto"/>
              </w:rPr>
            </w:pPr>
            <w:r>
              <w:rPr>
                <w:rFonts w:ascii="Arial" w:cs="Arial" w:eastAsia="Arial" w:hAnsi="Arial"/>
                <w:sz w:val="18"/>
                <w:szCs w:val="18"/>
                <w:color w:val="auto"/>
              </w:rPr>
              <w:t>3,726</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Zining Wu (6)</w:t>
            </w:r>
          </w:p>
        </w:tc>
        <w:tc>
          <w:tcPr>
            <w:tcW w:w="152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138,871</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tcPr>
          <w:p>
            <w:pPr>
              <w:spacing w:after="0"/>
              <w:rPr>
                <w:sz w:val="20"/>
                <w:szCs w:val="20"/>
                <w:color w:val="auto"/>
              </w:rPr>
            </w:pPr>
            <w:r>
              <w:rPr>
                <w:rFonts w:ascii="Arial" w:cs="Arial" w:eastAsia="Arial" w:hAnsi="Arial"/>
                <w:sz w:val="18"/>
                <w:szCs w:val="18"/>
                <w:color w:val="auto"/>
              </w:rPr>
              <w:t>Dr. Pantas Sutardja (7)</w:t>
            </w:r>
          </w:p>
        </w:tc>
        <w:tc>
          <w:tcPr>
            <w:tcW w:w="1520" w:type="dxa"/>
            <w:vAlign w:val="bottom"/>
            <w:gridSpan w:val="2"/>
          </w:tcPr>
          <w:p>
            <w:pPr>
              <w:jc w:val="right"/>
              <w:ind w:right="680"/>
              <w:spacing w:after="0"/>
              <w:rPr>
                <w:sz w:val="20"/>
                <w:szCs w:val="20"/>
                <w:color w:val="auto"/>
              </w:rPr>
            </w:pPr>
            <w:r>
              <w:rPr>
                <w:rFonts w:ascii="Arial" w:cs="Arial" w:eastAsia="Arial" w:hAnsi="Arial"/>
                <w:sz w:val="18"/>
                <w:szCs w:val="18"/>
                <w:color w:val="auto"/>
                <w:w w:val="90"/>
              </w:rPr>
              <w:t>36,914,826</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Brad D. Feller (8)</w:t>
            </w:r>
          </w:p>
        </w:tc>
        <w:tc>
          <w:tcPr>
            <w:tcW w:w="152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12,651</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tcPr>
          <w:p>
            <w:pPr>
              <w:spacing w:after="0"/>
              <w:rPr>
                <w:sz w:val="20"/>
                <w:szCs w:val="20"/>
                <w:color w:val="auto"/>
              </w:rPr>
            </w:pPr>
            <w:r>
              <w:rPr>
                <w:rFonts w:ascii="Arial" w:cs="Arial" w:eastAsia="Arial" w:hAnsi="Arial"/>
                <w:sz w:val="18"/>
                <w:szCs w:val="18"/>
                <w:color w:val="auto"/>
              </w:rPr>
              <w:t>Dr. Juergen Gromer (9)</w:t>
            </w:r>
          </w:p>
        </w:tc>
        <w:tc>
          <w:tcPr>
            <w:tcW w:w="1520" w:type="dxa"/>
            <w:vAlign w:val="bottom"/>
            <w:gridSpan w:val="2"/>
          </w:tcPr>
          <w:p>
            <w:pPr>
              <w:jc w:val="right"/>
              <w:ind w:right="680"/>
              <w:spacing w:after="0"/>
              <w:rPr>
                <w:sz w:val="20"/>
                <w:szCs w:val="20"/>
                <w:color w:val="auto"/>
              </w:rPr>
            </w:pPr>
            <w:r>
              <w:rPr>
                <w:rFonts w:ascii="Arial" w:cs="Arial" w:eastAsia="Arial" w:hAnsi="Arial"/>
                <w:sz w:val="18"/>
                <w:szCs w:val="18"/>
                <w:color w:val="auto"/>
              </w:rPr>
              <w:t>134,855</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 (10)</w:t>
            </w:r>
          </w:p>
        </w:tc>
        <w:tc>
          <w:tcPr>
            <w:tcW w:w="152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124,946</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tcPr>
          <w:p>
            <w:pPr>
              <w:spacing w:after="0"/>
              <w:rPr>
                <w:sz w:val="20"/>
                <w:szCs w:val="20"/>
                <w:color w:val="auto"/>
              </w:rPr>
            </w:pPr>
            <w:r>
              <w:rPr>
                <w:rFonts w:ascii="Arial" w:cs="Arial" w:eastAsia="Arial" w:hAnsi="Arial"/>
                <w:sz w:val="18"/>
                <w:szCs w:val="18"/>
                <w:color w:val="auto"/>
              </w:rPr>
              <w:t>Arturo Krueger (11)</w:t>
            </w:r>
          </w:p>
        </w:tc>
        <w:tc>
          <w:tcPr>
            <w:tcW w:w="1520" w:type="dxa"/>
            <w:vAlign w:val="bottom"/>
            <w:gridSpan w:val="2"/>
          </w:tcPr>
          <w:p>
            <w:pPr>
              <w:jc w:val="right"/>
              <w:ind w:right="680"/>
              <w:spacing w:after="0"/>
              <w:rPr>
                <w:sz w:val="20"/>
                <w:szCs w:val="20"/>
                <w:color w:val="auto"/>
              </w:rPr>
            </w:pPr>
            <w:r>
              <w:rPr>
                <w:rFonts w:ascii="Arial" w:cs="Arial" w:eastAsia="Arial" w:hAnsi="Arial"/>
                <w:sz w:val="18"/>
                <w:szCs w:val="18"/>
                <w:color w:val="auto"/>
              </w:rPr>
              <w:t>196,946</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Randhir Thakur (12)</w:t>
            </w:r>
          </w:p>
        </w:tc>
        <w:tc>
          <w:tcPr>
            <w:tcW w:w="152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35,000</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8040" w:type="dxa"/>
            <w:vAlign w:val="bottom"/>
            <w:gridSpan w:val="2"/>
          </w:tcPr>
          <w:p>
            <w:pPr>
              <w:spacing w:after="0"/>
              <w:rPr>
                <w:sz w:val="20"/>
                <w:szCs w:val="20"/>
                <w:color w:val="auto"/>
              </w:rPr>
            </w:pPr>
            <w:r>
              <w:rPr>
                <w:rFonts w:ascii="Arial" w:cs="Arial" w:eastAsia="Arial" w:hAnsi="Arial"/>
                <w:sz w:val="18"/>
                <w:szCs w:val="18"/>
                <w:b w:val="1"/>
                <w:bCs w:val="1"/>
                <w:color w:val="auto"/>
              </w:rPr>
              <w:t>Directors and current executive officers as a group (8 persons) (13)</w:t>
            </w:r>
          </w:p>
        </w:tc>
        <w:tc>
          <w:tcPr>
            <w:tcW w:w="1520" w:type="dxa"/>
            <w:vAlign w:val="bottom"/>
            <w:gridSpan w:val="2"/>
          </w:tcPr>
          <w:p>
            <w:pPr>
              <w:jc w:val="right"/>
              <w:ind w:right="680"/>
              <w:spacing w:after="0"/>
              <w:rPr>
                <w:sz w:val="20"/>
                <w:szCs w:val="20"/>
                <w:color w:val="auto"/>
              </w:rPr>
            </w:pPr>
            <w:r>
              <w:rPr>
                <w:rFonts w:ascii="Arial" w:cs="Arial" w:eastAsia="Arial" w:hAnsi="Arial"/>
                <w:sz w:val="18"/>
                <w:szCs w:val="18"/>
                <w:color w:val="auto"/>
                <w:w w:val="90"/>
              </w:rPr>
              <w:t>69,375,151</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13.6%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60960</wp:posOffset>
            </wp:positionV>
            <wp:extent cx="72898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8" w:lineRule="exact"/>
        <w:rPr>
          <w:sz w:val="20"/>
          <w:szCs w:val="20"/>
          <w:color w:val="auto"/>
        </w:rPr>
      </w:pPr>
    </w:p>
    <w:p>
      <w:pPr>
        <w:ind w:left="460" w:hanging="452"/>
        <w:spacing w:after="0"/>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507,313,187 shares outstanding on April 2, 2014.</w:t>
      </w:r>
    </w:p>
    <w:p>
      <w:pPr>
        <w:spacing w:after="0" w:line="9" w:lineRule="exact"/>
        <w:rPr>
          <w:sz w:val="20"/>
          <w:szCs w:val="20"/>
          <w:color w:val="auto"/>
        </w:rPr>
      </w:pPr>
    </w:p>
    <w:p>
      <w:pPr>
        <w:ind w:left="460" w:hanging="452"/>
        <w:spacing w:after="0" w:line="281" w:lineRule="auto"/>
        <w:tabs>
          <w:tab w:leader="none" w:pos="460" w:val="left"/>
        </w:tabs>
        <w:numPr>
          <w:ilvl w:val="0"/>
          <w:numId w:val="88"/>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April 2, 2014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460" w:right="760" w:hanging="452"/>
        <w:spacing w:after="0" w:line="261" w:lineRule="auto"/>
        <w:tabs>
          <w:tab w:leader="none" w:pos="4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Based solely on information on a Schedule 13G/A filed with the SEC on February 14, 2014 by Greenlight Capital, Inc. (“Greenlight Inc.”), DME Advisors, LP (“DME Advisors”), DME Capital Management, LP</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80"/>
        <w:spacing w:after="0" w:line="283" w:lineRule="auto"/>
        <w:rPr>
          <w:sz w:val="20"/>
          <w:szCs w:val="20"/>
          <w:color w:val="auto"/>
        </w:rPr>
      </w:pPr>
      <w:r>
        <w:rPr>
          <w:rFonts w:ascii="Arial" w:cs="Arial" w:eastAsia="Arial" w:hAnsi="Arial"/>
          <w:sz w:val="16"/>
          <w:szCs w:val="16"/>
          <w:color w:val="auto"/>
        </w:rPr>
        <w:t>(“DME CM”), DME Advisors GP, LLC (“DME GP” and together with Greenlight Inc., DME Advisors and DME CM, “Greenlight”), and David Einhorn, the principal of Greenlight, reporting ownership as of December 31, 2013. The Schedule 13G/A reports that DME GP is the general partner of DME Advisors and of DME CM. The Schedule 13G/A further reports that (A) Greenlight Inc. may be deemed the beneficial owner of an aggregate of 27,962,360 common shares, (B) DME Advisors may be deemed the beneficial owner of an aggregate of 7,041,700 common shares, (C) DME CM may be deemed the beneficial owner of an aggregate of 9,022,340 common shares, and (D) DME GP may be deemed the beneficial owner of an aggregate of 16,064,040 common shares, and (E) Mr. Einhorn may be deemed the beneficial owner of an aggregate of 44,289,000 common shares.</w:t>
      </w:r>
    </w:p>
    <w:p>
      <w:pPr>
        <w:spacing w:after="0" w:line="1" w:lineRule="exact"/>
        <w:rPr>
          <w:sz w:val="20"/>
          <w:szCs w:val="20"/>
          <w:color w:val="auto"/>
        </w:rPr>
      </w:pPr>
    </w:p>
    <w:p>
      <w:pPr>
        <w:ind w:left="460" w:right="240" w:hanging="452"/>
        <w:spacing w:after="0" w:line="281" w:lineRule="auto"/>
        <w:tabs>
          <w:tab w:leader="none" w:pos="460" w:val="left"/>
        </w:tabs>
        <w:numPr>
          <w:ilvl w:val="0"/>
          <w:numId w:val="89"/>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13D filed with the SEC on December 30, 2013 by Compass Holdings L.P. (“Compass Holdings”), Compass Holdings GP Limited (“Compass Holdings GP”), Compass Holdings II L.P. (“Compass Holdings II”), Compass Holdings GP II Limited (“Compass Holdings GP II”), KKR North America Fund XI (AIV 1) L.P. (“KKR North America Fund XI”), KKR Associates North America XI L.P. (“KKR Associates North America XI”), KKR North America XI Limited, KKR Fund Holdings LP (“KKR Fund Holdings”), KKR Fund Holdings GP Limited, (“KKR Fund Holdings GP”), KKR Group Holdings L.P., (“KKR Group Holdings”), KKR Group Limited (“KKR Group”), KKR &amp; Co. L.P. (“KKR &amp; Co.”), KKR Management LLC (“KKR Management”), Henry R. Kravis and George R. Roberts. The Schedule 13D reports that (A) Compass Holdings GP is the general partner of Compass Holdings; (B) Compass Holdings GP II is the general partner of Compass Holdings II; (C) KKR North America Fund XI is the sole shareholder of each of Compass Holdings GP and Compass Holdings GP II; (D) KKR Associates North America XI is the general partner of KKR North America Fund XI; (E) KKR North America XI Limited is the general partner of KKR Associates North America XI;</w:t>
      </w:r>
    </w:p>
    <w:p>
      <w:pPr>
        <w:spacing w:after="0" w:line="6" w:lineRule="exact"/>
        <w:rPr>
          <w:rFonts w:ascii="Arial" w:cs="Arial" w:eastAsia="Arial" w:hAnsi="Arial"/>
          <w:sz w:val="16"/>
          <w:szCs w:val="16"/>
          <w:color w:val="auto"/>
        </w:rPr>
      </w:pPr>
    </w:p>
    <w:p>
      <w:pPr>
        <w:ind w:left="720" w:hanging="266"/>
        <w:spacing w:after="0"/>
        <w:tabs>
          <w:tab w:leader="none" w:pos="720" w:val="left"/>
        </w:tabs>
        <w:numPr>
          <w:ilvl w:val="1"/>
          <w:numId w:val="89"/>
        </w:numPr>
        <w:rPr>
          <w:rFonts w:ascii="Arial" w:cs="Arial" w:eastAsia="Arial" w:hAnsi="Arial"/>
          <w:sz w:val="16"/>
          <w:szCs w:val="16"/>
          <w:color w:val="auto"/>
        </w:rPr>
      </w:pPr>
      <w:r>
        <w:rPr>
          <w:rFonts w:ascii="Arial" w:cs="Arial" w:eastAsia="Arial" w:hAnsi="Arial"/>
          <w:sz w:val="16"/>
          <w:szCs w:val="16"/>
          <w:color w:val="auto"/>
        </w:rPr>
        <w:t>KKR Fund Holdings is the sole member of KKR North America XI Limited; (G) KKR Fund Holdings GP is a general partner of KKR Fund Holdings;</w:t>
      </w:r>
    </w:p>
    <w:p>
      <w:pPr>
        <w:spacing w:after="0" w:line="32" w:lineRule="exact"/>
        <w:rPr>
          <w:rFonts w:ascii="Arial" w:cs="Arial" w:eastAsia="Arial" w:hAnsi="Arial"/>
          <w:sz w:val="16"/>
          <w:szCs w:val="16"/>
          <w:color w:val="auto"/>
        </w:rPr>
      </w:pPr>
    </w:p>
    <w:p>
      <w:pPr>
        <w:jc w:val="both"/>
        <w:ind w:left="460" w:right="100" w:hanging="6"/>
        <w:spacing w:after="0" w:line="281" w:lineRule="auto"/>
        <w:tabs>
          <w:tab w:leader="none" w:pos="747" w:val="left"/>
        </w:tabs>
        <w:numPr>
          <w:ilvl w:val="1"/>
          <w:numId w:val="90"/>
        </w:numPr>
        <w:rPr>
          <w:rFonts w:ascii="Arial" w:cs="Arial" w:eastAsia="Arial" w:hAnsi="Arial"/>
          <w:sz w:val="16"/>
          <w:szCs w:val="16"/>
          <w:color w:val="auto"/>
        </w:rPr>
      </w:pPr>
      <w:r>
        <w:rPr>
          <w:rFonts w:ascii="Arial" w:cs="Arial" w:eastAsia="Arial" w:hAnsi="Arial"/>
          <w:sz w:val="16"/>
          <w:szCs w:val="16"/>
          <w:color w:val="auto"/>
        </w:rPr>
        <w:t>KKR Group Holdings is the sole shareholder of KKR Fund Holdings GP and a general partner of KKR Fund Holdings; (I) KKR Group is the general partner of KKR Group Holdings; (J) KKR &amp; Co. is the sole shareholder of KKR Group; (K) KKR Management is the general partner of KKR &amp; Co.; and</w:t>
      </w:r>
    </w:p>
    <w:p>
      <w:pPr>
        <w:spacing w:after="0" w:line="1" w:lineRule="exact"/>
        <w:rPr>
          <w:rFonts w:ascii="Arial" w:cs="Arial" w:eastAsia="Arial" w:hAnsi="Arial"/>
          <w:sz w:val="16"/>
          <w:szCs w:val="16"/>
          <w:color w:val="auto"/>
        </w:rPr>
      </w:pPr>
    </w:p>
    <w:p>
      <w:pPr>
        <w:ind w:left="460" w:right="60" w:hanging="6"/>
        <w:spacing w:after="0" w:line="300" w:lineRule="auto"/>
        <w:tabs>
          <w:tab w:leader="none" w:pos="728" w:val="left"/>
        </w:tabs>
        <w:numPr>
          <w:ilvl w:val="1"/>
          <w:numId w:val="91"/>
        </w:numPr>
        <w:rPr>
          <w:rFonts w:ascii="Arial" w:cs="Arial" w:eastAsia="Arial" w:hAnsi="Arial"/>
          <w:sz w:val="15"/>
          <w:szCs w:val="15"/>
          <w:color w:val="auto"/>
        </w:rPr>
      </w:pPr>
      <w:r>
        <w:rPr>
          <w:rFonts w:ascii="Arial" w:cs="Arial" w:eastAsia="Arial" w:hAnsi="Arial"/>
          <w:sz w:val="15"/>
          <w:szCs w:val="15"/>
          <w:color w:val="auto"/>
        </w:rPr>
        <w:t>Messrs. Kravis and Roberts are officers and the designated members of KKR Management. The Schedule 13D further reports that (A) Compass Holdings may be deemed the beneficial owner of an aggregate of 22,000,000 common shares, (B) Compass Holdings GP may be deemed the beneficial owner of an aggregate of 22,000,000 common shares, (C) Compass Holdings II may be deemed the beneficial owner of an aggregate of 11,641,300 common shares, (D) Compass Holdings GP II may be deemed the beneficial owner of an aggregate of 11,641,300 common shares, (E) KKR North America Fund XI may be deemed the beneficial owner of an aggregate of 33,641,300 common shares, (F) KKR Associates North America XI may be deemed the beneficial owner of an aggregate of 33,641,300 common shares, (G) KKR North America XI Limited may be deemed the beneficial owner of an aggregate of 33,641,300 common shares, (H) KKR Fund Holdings may be deemed the beneficial owner of an aggregate of 33,641,300 common shares,</w:t>
      </w:r>
    </w:p>
    <w:p>
      <w:pPr>
        <w:spacing w:after="0" w:line="3" w:lineRule="exact"/>
        <w:rPr>
          <w:rFonts w:ascii="Arial" w:cs="Arial" w:eastAsia="Arial" w:hAnsi="Arial"/>
          <w:sz w:val="15"/>
          <w:szCs w:val="15"/>
          <w:color w:val="auto"/>
        </w:rPr>
      </w:pPr>
    </w:p>
    <w:p>
      <w:pPr>
        <w:ind w:left="460" w:right="20" w:hanging="6"/>
        <w:spacing w:after="0" w:line="281" w:lineRule="auto"/>
        <w:tabs>
          <w:tab w:leader="none" w:pos="679" w:val="left"/>
        </w:tabs>
        <w:numPr>
          <w:ilvl w:val="1"/>
          <w:numId w:val="92"/>
        </w:numPr>
        <w:rPr>
          <w:rFonts w:ascii="Arial" w:cs="Arial" w:eastAsia="Arial" w:hAnsi="Arial"/>
          <w:sz w:val="16"/>
          <w:szCs w:val="16"/>
          <w:color w:val="auto"/>
        </w:rPr>
      </w:pPr>
      <w:r>
        <w:rPr>
          <w:rFonts w:ascii="Arial" w:cs="Arial" w:eastAsia="Arial" w:hAnsi="Arial"/>
          <w:sz w:val="16"/>
          <w:szCs w:val="16"/>
          <w:color w:val="auto"/>
        </w:rPr>
        <w:t>KKR Fund Holdings GP may be deemed the beneficial owner of an aggregate of 33,641,300 common shares, (J) KKR Group Holdings may be deemed the beneficial owner of an aggregate of 33,641,300 common shares, (K) KKR Group may be deemed the beneficial owner of an aggregate of 33,641,300 common shares, (L) KKR &amp; Co. may be deemed the beneficial owner of an aggregate of 33,641,300 common shares, (M) KKR Management may be deemed the beneficial owner of an aggregate of 33,641,300 common shares, (N) Mr. Kravis may be deemed the beneficial owner of an aggregate of 33,641,300 common shares, and (O) Mr. Roberts may be deemed the beneficial owner of an aggregate of 33,641,300 common shares.</w:t>
      </w:r>
    </w:p>
    <w:p>
      <w:pPr>
        <w:spacing w:after="0" w:line="3" w:lineRule="exact"/>
        <w:rPr>
          <w:rFonts w:ascii="Arial" w:cs="Arial" w:eastAsia="Arial" w:hAnsi="Arial"/>
          <w:sz w:val="16"/>
          <w:szCs w:val="16"/>
          <w:color w:val="auto"/>
        </w:rPr>
      </w:pPr>
    </w:p>
    <w:p>
      <w:pPr>
        <w:ind w:left="460" w:hanging="452"/>
        <w:spacing w:after="0" w:line="252" w:lineRule="auto"/>
        <w:tabs>
          <w:tab w:leader="none" w:pos="460" w:val="left"/>
        </w:tabs>
        <w:numPr>
          <w:ilvl w:val="0"/>
          <w:numId w:val="93"/>
        </w:numPr>
        <w:rPr>
          <w:rFonts w:ascii="Arial" w:cs="Arial" w:eastAsia="Arial" w:hAnsi="Arial"/>
          <w:sz w:val="18"/>
          <w:szCs w:val="18"/>
          <w:color w:val="auto"/>
        </w:rPr>
      </w:pPr>
      <w:r>
        <w:rPr>
          <w:rFonts w:ascii="Arial" w:cs="Arial" w:eastAsia="Arial" w:hAnsi="Arial"/>
          <w:sz w:val="18"/>
          <w:szCs w:val="18"/>
          <w:color w:val="auto"/>
        </w:rPr>
        <w:t>Consists of 2,838,300 shares subject to stock options held by Dr. Sehat Sutardja that Ms. Dai may be deemed to have beneficial ownership of and 935,000 shares subject to stock options held by Ms. Dai that Dr. Sehat Sutardja may be deemed to have beneficial ownership of and that are currently exercisable or will become exercisable within 60 days after April 2, 2014; 46,716,123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 Ms. Dai are husband and wife.</w:t>
      </w:r>
    </w:p>
    <w:p>
      <w:pPr>
        <w:spacing w:after="0" w:line="13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360"/>
          </w:cols>
          <w:pgMar w:left="240" w:top="459" w:right="29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tabs>
          <w:tab w:leader="none" w:pos="460" w:val="left"/>
        </w:tabs>
        <w:numPr>
          <w:ilvl w:val="0"/>
          <w:numId w:val="94"/>
        </w:numPr>
        <w:rPr>
          <w:rFonts w:ascii="Arial" w:cs="Arial" w:eastAsia="Arial" w:hAnsi="Arial"/>
          <w:sz w:val="16"/>
          <w:szCs w:val="16"/>
          <w:color w:val="auto"/>
        </w:rPr>
      </w:pPr>
      <w:r>
        <w:rPr>
          <w:rFonts w:ascii="Arial" w:cs="Arial" w:eastAsia="Arial" w:hAnsi="Arial"/>
          <w:sz w:val="16"/>
          <w:szCs w:val="16"/>
          <w:color w:val="auto"/>
        </w:rPr>
        <w:t>Includes 2,500 shares subject to stock options that are currently exercisable or will become exercisable within 60 days after April 2, 2014.</w:t>
      </w:r>
    </w:p>
    <w:p>
      <w:pPr>
        <w:spacing w:after="0" w:line="38" w:lineRule="exact"/>
        <w:rPr>
          <w:rFonts w:ascii="Arial" w:cs="Arial" w:eastAsia="Arial" w:hAnsi="Arial"/>
          <w:sz w:val="16"/>
          <w:szCs w:val="16"/>
          <w:color w:val="auto"/>
        </w:rPr>
      </w:pPr>
    </w:p>
    <w:p>
      <w:pPr>
        <w:ind w:left="460" w:hanging="452"/>
        <w:spacing w:after="0"/>
        <w:tabs>
          <w:tab w:leader="none" w:pos="460" w:val="left"/>
        </w:tabs>
        <w:numPr>
          <w:ilvl w:val="0"/>
          <w:numId w:val="94"/>
        </w:numPr>
        <w:rPr>
          <w:rFonts w:ascii="Arial" w:cs="Arial" w:eastAsia="Arial" w:hAnsi="Arial"/>
          <w:sz w:val="16"/>
          <w:szCs w:val="16"/>
          <w:color w:val="auto"/>
        </w:rPr>
      </w:pPr>
      <w:r>
        <w:rPr>
          <w:rFonts w:ascii="Arial" w:cs="Arial" w:eastAsia="Arial" w:hAnsi="Arial"/>
          <w:sz w:val="16"/>
          <w:szCs w:val="16"/>
          <w:color w:val="auto"/>
        </w:rPr>
        <w:t>Includes 80,000 shares subject to stock options that are currently exercisable or will become exercisable within 60 days after April 2, 2014.</w:t>
      </w:r>
    </w:p>
    <w:p>
      <w:pPr>
        <w:spacing w:after="0" w:line="32" w:lineRule="exact"/>
        <w:rPr>
          <w:rFonts w:ascii="Arial" w:cs="Arial" w:eastAsia="Arial" w:hAnsi="Arial"/>
          <w:sz w:val="16"/>
          <w:szCs w:val="16"/>
          <w:color w:val="auto"/>
        </w:rPr>
      </w:pPr>
    </w:p>
    <w:p>
      <w:pPr>
        <w:ind w:left="460" w:hanging="452"/>
        <w:spacing w:after="0" w:line="281" w:lineRule="auto"/>
        <w:tabs>
          <w:tab w:leader="none" w:pos="460" w:val="left"/>
        </w:tabs>
        <w:numPr>
          <w:ilvl w:val="0"/>
          <w:numId w:val="94"/>
        </w:numPr>
        <w:rPr>
          <w:rFonts w:ascii="Arial" w:cs="Arial" w:eastAsia="Arial" w:hAnsi="Arial"/>
          <w:sz w:val="16"/>
          <w:szCs w:val="16"/>
          <w:color w:val="auto"/>
        </w:rPr>
      </w:pPr>
      <w:r>
        <w:rPr>
          <w:rFonts w:ascii="Arial" w:cs="Arial" w:eastAsia="Arial" w:hAnsi="Arial"/>
          <w:sz w:val="16"/>
          <w:szCs w:val="16"/>
          <w:color w:val="auto"/>
        </w:rPr>
        <w:t>Dr. Pantas Sutardja served as our Chief Technology Officer until January 14, 2014 and remained as a nonexecutive employee through February 28, 2014. The beneficial ownership table reflects the number of shares owned by Dr. P. Sutardja as of the date of his departure.</w:t>
      </w:r>
    </w:p>
    <w:p>
      <w:pPr>
        <w:spacing w:after="0" w:line="1" w:lineRule="exact"/>
        <w:rPr>
          <w:rFonts w:ascii="Arial" w:cs="Arial" w:eastAsia="Arial" w:hAnsi="Arial"/>
          <w:sz w:val="16"/>
          <w:szCs w:val="16"/>
          <w:color w:val="auto"/>
        </w:rPr>
      </w:pPr>
    </w:p>
    <w:p>
      <w:pPr>
        <w:ind w:left="460" w:right="300" w:hanging="452"/>
        <w:spacing w:after="0" w:line="250" w:lineRule="auto"/>
        <w:tabs>
          <w:tab w:leader="none" w:pos="4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Mr. Feller served as our Chief Financial Officer and Secretary until December 10, 2013. The beneficial ownership table reflects the number of shares owned by Mr. Feller as of the date of his departure.</w:t>
      </w:r>
    </w:p>
    <w:p>
      <w:pPr>
        <w:ind w:left="460" w:hanging="452"/>
        <w:spacing w:after="0"/>
        <w:tabs>
          <w:tab w:leader="none" w:pos="460" w:val="left"/>
        </w:tabs>
        <w:numPr>
          <w:ilvl w:val="0"/>
          <w:numId w:val="94"/>
        </w:numPr>
        <w:rPr>
          <w:rFonts w:ascii="Arial" w:cs="Arial" w:eastAsia="Arial" w:hAnsi="Arial"/>
          <w:sz w:val="16"/>
          <w:szCs w:val="16"/>
          <w:color w:val="auto"/>
        </w:rPr>
      </w:pPr>
      <w:r>
        <w:rPr>
          <w:rFonts w:ascii="Arial" w:cs="Arial" w:eastAsia="Arial" w:hAnsi="Arial"/>
          <w:sz w:val="16"/>
          <w:szCs w:val="16"/>
          <w:color w:val="auto"/>
        </w:rPr>
        <w:t>Includes 120,000 shares subject to stock options that are currently exercisable or will become exercisable within 60 days after April 2, 2014.</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94"/>
        </w:numPr>
        <w:rPr>
          <w:rFonts w:ascii="Arial" w:cs="Arial" w:eastAsia="Arial" w:hAnsi="Arial"/>
          <w:sz w:val="16"/>
          <w:szCs w:val="16"/>
          <w:color w:val="auto"/>
        </w:rPr>
      </w:pPr>
      <w:r>
        <w:rPr>
          <w:rFonts w:ascii="Arial" w:cs="Arial" w:eastAsia="Arial" w:hAnsi="Arial"/>
          <w:sz w:val="16"/>
          <w:szCs w:val="16"/>
          <w:color w:val="auto"/>
        </w:rPr>
        <w:t>Includes 108,000 shares subject to stock options that are currently exercisable or will become exercisable within 60 days after April 2, 2014.</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94"/>
        </w:numPr>
        <w:rPr>
          <w:rFonts w:ascii="Arial" w:cs="Arial" w:eastAsia="Arial" w:hAnsi="Arial"/>
          <w:sz w:val="16"/>
          <w:szCs w:val="16"/>
          <w:color w:val="auto"/>
        </w:rPr>
      </w:pPr>
      <w:r>
        <w:rPr>
          <w:rFonts w:ascii="Arial" w:cs="Arial" w:eastAsia="Arial" w:hAnsi="Arial"/>
          <w:sz w:val="16"/>
          <w:szCs w:val="16"/>
          <w:color w:val="auto"/>
        </w:rPr>
        <w:t>Includes 182,000 shares subject to stock options that are currently exercisable or will become exercisable within 60 days after April 2, 2014.</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94"/>
        </w:numPr>
        <w:rPr>
          <w:rFonts w:ascii="Arial" w:cs="Arial" w:eastAsia="Arial" w:hAnsi="Arial"/>
          <w:sz w:val="16"/>
          <w:szCs w:val="16"/>
          <w:color w:val="auto"/>
        </w:rPr>
      </w:pPr>
      <w:r>
        <w:rPr>
          <w:rFonts w:ascii="Arial" w:cs="Arial" w:eastAsia="Arial" w:hAnsi="Arial"/>
          <w:sz w:val="16"/>
          <w:szCs w:val="16"/>
          <w:color w:val="auto"/>
        </w:rPr>
        <w:t>Includes 25,000 shares subject to stock options that are currently exercisable or will become exercisable within 60 days after April 2, 2014.</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94"/>
        </w:numPr>
        <w:rPr>
          <w:rFonts w:ascii="Arial" w:cs="Arial" w:eastAsia="Arial" w:hAnsi="Arial"/>
          <w:sz w:val="16"/>
          <w:szCs w:val="16"/>
          <w:color w:val="auto"/>
        </w:rPr>
      </w:pPr>
      <w:r>
        <w:rPr>
          <w:rFonts w:ascii="Arial" w:cs="Arial" w:eastAsia="Arial" w:hAnsi="Arial"/>
          <w:sz w:val="16"/>
          <w:szCs w:val="16"/>
          <w:color w:val="auto"/>
        </w:rPr>
        <w:t>Includes 4,290,800 shares subject to stock options that are currently exercisable or will become exercisable within 60 days after April 2, 2014.</w:t>
      </w:r>
    </w:p>
    <w:p>
      <w:pPr>
        <w:spacing w:after="0" w:line="17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220"/>
          </w:cols>
          <w:pgMar w:left="240" w:top="459" w:right="4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hanging="325"/>
        <w:spacing w:after="0" w:line="255" w:lineRule="auto"/>
        <w:tabs>
          <w:tab w:leader="none" w:pos="900" w:val="left"/>
        </w:tabs>
        <w:numPr>
          <w:ilvl w:val="0"/>
          <w:numId w:val="95"/>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of Marvell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ECC approved (or recommended that our board of directors approve) such compensation.</w:t>
      </w:r>
    </w:p>
    <w:p>
      <w:pPr>
        <w:spacing w:after="0" w:line="61"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95"/>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95"/>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60" w:hanging="325"/>
        <w:spacing w:after="0" w:line="259" w:lineRule="auto"/>
        <w:tabs>
          <w:tab w:leader="none" w:pos="900" w:val="left"/>
        </w:tabs>
        <w:numPr>
          <w:ilvl w:val="0"/>
          <w:numId w:val="95"/>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800" w:hanging="325"/>
        <w:spacing w:after="0" w:line="268" w:lineRule="auto"/>
        <w:tabs>
          <w:tab w:leader="none" w:pos="900" w:val="left"/>
        </w:tabs>
        <w:numPr>
          <w:ilvl w:val="0"/>
          <w:numId w:val="95"/>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95"/>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95"/>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95"/>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Marvell International Ltd., a direct subsidiary (“MIL”) is party to a technology license agreement with VeriSilicon Holdings Co., Ltd. (“VeriSilicon”), which has been amended various times since its assumption by MIL to include additional technology beyond the scope of the original agreement and is renewable annually. MIL assumed this technology license agreement between VeriSilicon and UTStarcom, Inc. after our acquisition of the semiconductor business of UTStarcom in December 2005. In addition, in September 2010, MIL entered into a services agreement with VeriSilicon, pursuant to which VeriSilicon provides design support services to MIL on various projects. In connection with all of its transactions with VeriSilicon, MIL paid $2.0 million to VeriSilicon during fiscal 2014. As of May 3, 2014, MIL had approximately $0.7 of liability to VeriSilicon. Weili Dai’s brother (and Dr. Sehat Sutardja’s brother-in-law) is the Chairman, President and Chief Executive Officer of VeriSilicon. Ms. Dai is also a shareholder of VeriSilicon. Ms. Dai is our President and Dr. Sehat Sutardja is our Chief Executive Officer. Dr. Sehat Sutardja and Ms. Dai are husband and wife.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01" w:lineRule="auto"/>
        <w:rPr>
          <w:sz w:val="20"/>
          <w:szCs w:val="20"/>
          <w:color w:val="auto"/>
        </w:rPr>
      </w:pPr>
      <w:r>
        <w:rPr>
          <w:rFonts w:ascii="Arial" w:cs="Arial" w:eastAsia="Arial" w:hAnsi="Arial"/>
          <w:sz w:val="15"/>
          <w:szCs w:val="15"/>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services agreement, pursuant to which Vivante agreed to provide support services to MIL. In connection with all of its transactions with Vivante, MIL paid $2.0 million to Vivante during fiscal 2014. As of May 3, 2014, MIL had approximately $8.7 million of liability to Vivante (which includes amounts payable on renewal of the technology license agreement). Dr. Sehat Sutardja and Ms. Dai, through their ownership and control of Estopia LLC, are indirect shareholders of Vivante. In addition,</w:t>
      </w:r>
    </w:p>
    <w:p>
      <w:pPr>
        <w:spacing w:after="0" w:line="5"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Dr. Sehat Sutardja is also a direct shareholder and chairman of the board of directors of Vivante. Ms. Dai’s brother (and Dr. Sehat Sutardja’s brother-in-law) is the Chief Executive Officer of Vivante.</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Indemnification Arrangements</w:t>
      </w:r>
    </w:p>
    <w:p>
      <w:pPr>
        <w:spacing w:after="0" w:line="90"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Sehat Sutardja for reasonable fees and expenses that he may incur in challenging potential state and federal tax liabilities under Section 409A arising from his exercise of an option for our common shares.</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380"/>
          </w:cols>
          <w:pgMar w:left="240" w:top="459" w:right="27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February 1, 2014.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43"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Audit Committee has reviewed and discussed our audited financial statements with management. The audit committee has reviewed and discussed the audited financial statements with PricewaterhouseCoopers, including such items as are required to be discussed by Auditing Standard No. 16, “Communication with Audit Committees,” as adopted by the Public Company Accounting Oversight Board. The audit committee has received from the independent registered public accounting firm, PricewaterhouseCoopers, the written disclosures and the letter required by the Public Company Accounting Oversight Board, and the audit committee has discussed with PricewaterhouseCoopers the independence of the independent registered public accounting firm.</w:t>
      </w:r>
    </w:p>
    <w:p>
      <w:pPr>
        <w:spacing w:after="0" w:line="11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After review of the discussions and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February 1, 2014. The audit committee re-appointed PricewaterhouseCoopers as our independent registered public accounting firm for the year ending January 31, 2015, subject to our shareholders approving such appointment at the 2014 annual general meeting of shareholders.</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Arturo Krueger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Randhir Thakur</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380"/>
          </w:cols>
          <w:pgMar w:left="240" w:top="459" w:right="27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2: ADVISORY VOTE TO APPROVE NAMED EXECUTIVE OFFICER COMPENSATION</w:t>
      </w:r>
    </w:p>
    <w:p>
      <w:pPr>
        <w:spacing w:after="0" w:line="177" w:lineRule="exact"/>
        <w:rPr>
          <w:sz w:val="20"/>
          <w:szCs w:val="20"/>
          <w:color w:val="auto"/>
        </w:rPr>
      </w:pPr>
    </w:p>
    <w:p>
      <w:pPr>
        <w:jc w:val="both"/>
        <w:ind w:right="160" w:firstLine="456"/>
        <w:spacing w:after="0" w:line="256" w:lineRule="auto"/>
        <w:rPr>
          <w:sz w:val="20"/>
          <w:szCs w:val="20"/>
          <w:color w:val="auto"/>
        </w:rPr>
      </w:pPr>
      <w:r>
        <w:rPr>
          <w:rFonts w:ascii="Arial" w:cs="Arial" w:eastAsia="Arial" w:hAnsi="Arial"/>
          <w:sz w:val="18"/>
          <w:szCs w:val="18"/>
          <w:color w:val="auto"/>
        </w:rPr>
        <w:t>Under Section 14A of the Exchange Act, our shareholders are entitled to vote to approve, on an advisory and non-binding basis, the compensation of our named executive officers as disclosed in accordance with the SEC’s rules in the “Executive Compensation—Compensation Discussion and Analysis” section of this proxy statement beginning on page 21. This proposal, commonly known as a “say-on-pay” proposal, gives our shareholders the opportunity to express their views on our named executive officers’ compensation as a whole.</w:t>
      </w:r>
    </w:p>
    <w:p>
      <w:pPr>
        <w:spacing w:after="0" w:line="143"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40" w:hanging="325"/>
        <w:spacing w:after="0" w:line="275" w:lineRule="auto"/>
        <w:tabs>
          <w:tab w:leader="none" w:pos="900" w:val="left"/>
        </w:tabs>
        <w:numPr>
          <w:ilvl w:val="0"/>
          <w:numId w:val="96"/>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96"/>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6"/>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480" w:hanging="325"/>
        <w:spacing w:after="0" w:line="275" w:lineRule="auto"/>
        <w:tabs>
          <w:tab w:leader="none" w:pos="900" w:val="left"/>
        </w:tabs>
        <w:numPr>
          <w:ilvl w:val="0"/>
          <w:numId w:val="96"/>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96"/>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The ECC believes that both the elements and level of fiscal 2014 compensation for executive officers is consistent with the five primary objectives contained in our compensation philosophy as well as the overall goal of emphasizing sustained share price growth. In particular, the ECC believes that the structure and level of our fiscal 2014 compensation is linked to our business performance. Before casting your vote on this proposal, please carefully review the Compensation Discussion and Analysis to understand how our named executive officer compensation is designed.</w:t>
      </w:r>
    </w:p>
    <w:p>
      <w:pPr>
        <w:spacing w:after="0" w:line="11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“FOR” the following resolution at the annual general meeting:</w:t>
      </w:r>
    </w:p>
    <w:p>
      <w:pPr>
        <w:spacing w:after="0" w:line="62" w:lineRule="exact"/>
        <w:rPr>
          <w:sz w:val="20"/>
          <w:szCs w:val="20"/>
          <w:color w:val="auto"/>
        </w:rPr>
      </w:pPr>
    </w:p>
    <w:p>
      <w:pPr>
        <w:ind w:left="460" w:right="240"/>
        <w:spacing w:after="0" w:line="259" w:lineRule="auto"/>
        <w:rPr>
          <w:sz w:val="20"/>
          <w:szCs w:val="20"/>
          <w:color w:val="auto"/>
        </w:rPr>
      </w:pPr>
      <w:r>
        <w:rPr>
          <w:rFonts w:ascii="Arial" w:cs="Arial" w:eastAsia="Arial" w:hAnsi="Arial"/>
          <w:sz w:val="18"/>
          <w:szCs w:val="18"/>
          <w:color w:val="auto"/>
        </w:rPr>
        <w:t>“RESOLVED, that, on an advisory and non-binding basis, the compensation of Marvell’s named executive officers, as disclosed pursuant to Item 402 of Securities and Exchange Commission Regulation S-K, including the Compensation Discussion and Analysis, the compensation tables and narrative disclosures be and is hereby APPROVED.”</w:t>
      </w:r>
    </w:p>
    <w:p>
      <w:pPr>
        <w:spacing w:after="0" w:line="14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say-on-pay vote is advisory, and therefore not binding on us, the ECC or our board of directors. The say-on-pay vote will, however, provide information to us regarding investor sentiment about our executive compensation philosophy, policies and practices, which the ECC will be able to consider when determining executive compensation for the remainder of the current fiscal year and beyond. Our board of directors and our ECC value the opinions of our shareholders and to the extent there is any significant vote against the named executive officer compensation as disclosed in this proxy statement, we will consider our shareholders concerns and the ECC will evaluate whether any actions are necessary to address those concerns.</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2.</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220"/>
          </w:cols>
          <w:pgMar w:left="240" w:top="459" w:right="4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540"/>
        <w:spacing w:after="0" w:line="275" w:lineRule="auto"/>
        <w:rPr>
          <w:sz w:val="20"/>
          <w:szCs w:val="20"/>
          <w:color w:val="auto"/>
        </w:rPr>
      </w:pPr>
      <w:r>
        <w:rPr>
          <w:rFonts w:ascii="Arial" w:cs="Arial" w:eastAsia="Arial" w:hAnsi="Arial"/>
          <w:sz w:val="18"/>
          <w:szCs w:val="18"/>
          <w:b w:val="1"/>
          <w:bCs w:val="1"/>
          <w:color w:val="auto"/>
        </w:rPr>
        <w:t>PROPOSAL NO. 3: RE-APPOINTMENT OF AUDITORS AND INDEPENDENT REGISTERED PUBLIC ACCOUNTING FIRM, AND AUTHORIZATION OF THE AUDIT COMMITTEE TO FIX REMUNERATION</w:t>
      </w:r>
    </w:p>
    <w:p>
      <w:pPr>
        <w:spacing w:after="0" w:line="126" w:lineRule="exact"/>
        <w:rPr>
          <w:sz w:val="20"/>
          <w:szCs w:val="20"/>
          <w:color w:val="auto"/>
        </w:rPr>
      </w:pPr>
    </w:p>
    <w:p>
      <w:pPr>
        <w:ind w:right="540" w:firstLine="456"/>
        <w:spacing w:after="0" w:line="255"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January 31, 2015.</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Proposal No. 3.</w:t>
      </w:r>
    </w:p>
    <w:p>
      <w:pPr>
        <w:spacing w:after="0" w:line="17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Unless authority to do so is withheld, the proxy holders named in the proxy card will vote the shares represented thereby FOR the re-appointment of PricewaterhouseCoopers and the authorization of the audit committee to fix its remuneration.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the existing auditors and independent registered public accounting firm shall hold office until a successor is appointed in accordance with Bermuda law and the Bye-Laws.</w:t>
      </w:r>
    </w:p>
    <w:p>
      <w:pPr>
        <w:spacing w:after="0" w:line="30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PricewaterhouseCoopers have been our auditors and independent registered public accounting firm for the financial statements for each year since the year ended January 31, 1998. Representatives of PricewaterhouseCoopers are expected to be present at the annual general meeting, and they will be given an opportunity to make a statement, if they desire to do so, and will be available to respond to any appropriate questions from shareholders.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2014, we have retained PricewaterhouseCoopers to provide certain other professional services in fiscal 2014. The aggregate fees billed for all services by PricewaterhouseCoopers in fiscal 2014 and fiscal 2013 were as follows: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$2,867,835 and $2,856,696 for fiscal 2014 and 2013,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9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The aggregate audit-related fees for each of the last two fiscal years for assurance and related services rendered by PricewaterhouseCoopers that were reasonably related to the performance of the audit or review of our financial statements was $12,182 and $2,021 for fiscal 2014 and 2013, respectively. The audit-related services included procedures to support local statutory requirements and certain due diligence related to acquisitions.</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00"/>
          </w:cols>
          <w:pgMar w:left="240" w:top="459" w:right="2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$41,786 and $34,328 for fiscal 2014 and 2013, respectively.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$1,800 and $1,800 for fiscal 2014 and for fiscal 2013, respectively. The nature of the other services included subscription to an accounting regulatory database.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non-audit services for which the company engages PricewaterhouseCoopers after May 6, 2003 require pre-approval by the audit committee. All audit and permitted non-audit service fees were approved by the audit committee.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FUTURE SHAREHOLDER PROPOSALS AND NOMINATIONS FOR THE 2015 ANNUAL GENERAL MEETING</w:t>
      </w:r>
    </w:p>
    <w:p>
      <w:pPr>
        <w:spacing w:after="0" w:line="177"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2015 annual general meeting of shareholders, we must have received the written proposal by such shareholder at the mailing address of our business offices set forth below, no later than January 20, 2015. Such proposals must comply with the other provisions of Rule 14a-8 and additional applicable SEC rules regarding the inclusion of shareholder proposals in company-sponsored proxy materials.</w:t>
      </w:r>
    </w:p>
    <w:p>
      <w:pPr>
        <w:spacing w:after="0" w:line="143" w:lineRule="exact"/>
        <w:rPr>
          <w:sz w:val="20"/>
          <w:szCs w:val="20"/>
          <w:color w:val="auto"/>
        </w:rPr>
      </w:pPr>
    </w:p>
    <w:p>
      <w:pPr>
        <w:ind w:right="20" w:firstLine="456"/>
        <w:spacing w:after="0" w:line="306" w:lineRule="auto"/>
        <w:rPr>
          <w:sz w:val="20"/>
          <w:szCs w:val="20"/>
          <w:color w:val="auto"/>
        </w:rPr>
      </w:pPr>
      <w:r>
        <w:rPr>
          <w:rFonts w:ascii="Arial" w:cs="Arial" w:eastAsia="Arial" w:hAnsi="Arial"/>
          <w:sz w:val="15"/>
          <w:szCs w:val="15"/>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Sections 12(3)(b), 12(3)(c), 12(4) and 34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60 nor more than 180 days prior to the date set for the annual general meeting of shareholders (or if no such date is set, the date that is not less than 60 nor more than 180 days prior to the anniversary of the previous year’s annual general meeting of shareholders). To comply with the Bye-Laws, a shareholder must provide appropriate notice to us no earlier than January 2, 2015 and no later than May 2, 2015.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Bye-Laws as then in effect. Our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our Assistant Secretary at Canon’s Court, 22 Victoria Street, Hamilton HM 12, Bermuda.</w:t>
      </w:r>
    </w:p>
    <w:p>
      <w:pPr>
        <w:spacing w:after="0" w:line="132"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In addition, Section 79 of the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not less than one week prior to the annual general meeting of shareholders.</w:t>
      </w:r>
    </w:p>
    <w:p>
      <w:pPr>
        <w:spacing w:after="0" w:line="27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140" w:firstLine="456"/>
        <w:spacing w:after="0" w:line="370" w:lineRule="auto"/>
        <w:rPr>
          <w:sz w:val="20"/>
          <w:szCs w:val="20"/>
          <w:color w:val="auto"/>
        </w:rPr>
      </w:pPr>
      <w:r>
        <w:rPr>
          <w:rFonts w:ascii="Arial" w:cs="Arial" w:eastAsia="Arial" w:hAnsi="Arial"/>
          <w:sz w:val="15"/>
          <w:szCs w:val="15"/>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w:t>
      </w:r>
    </w:p>
    <w:p>
      <w:pPr>
        <w:spacing w:after="0" w:line="6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Based solely on our review of the copies of such reports received by us during or with respect to the fiscal year ended February 1, 2014, and representations from such reporting persons, we believe that our officers, directors and 10% shareholders complied with all Section 16(a) filing requirements applicable to such individuals.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HOUSEHOLDING — SHAREHOLDERS SHARING THE SAME LAST NAME AND ADDRESS</w:t>
      </w:r>
    </w:p>
    <w:p>
      <w:pPr>
        <w:spacing w:after="0" w:line="177" w:lineRule="exact"/>
        <w:rPr>
          <w:sz w:val="20"/>
          <w:szCs w:val="20"/>
          <w:color w:val="auto"/>
        </w:rPr>
      </w:pPr>
    </w:p>
    <w:p>
      <w:pPr>
        <w:jc w:val="both"/>
        <w:ind w:right="200" w:firstLine="456"/>
        <w:spacing w:after="0" w:line="256" w:lineRule="auto"/>
        <w:rPr>
          <w:sz w:val="20"/>
          <w:szCs w:val="20"/>
          <w:color w:val="auto"/>
        </w:rPr>
      </w:pPr>
      <w:r>
        <w:rPr>
          <w:rFonts w:ascii="Arial" w:cs="Arial" w:eastAsia="Arial" w:hAnsi="Arial"/>
          <w:sz w:val="18"/>
          <w:szCs w:val="18"/>
          <w:color w:val="auto"/>
        </w:rPr>
        <w:t>The SEC has adopted rules that permit companies and intermediaries (such as brokers) to implement a delivery procedure called “householding.” Under this procedure, multiple shareholders who reside at the same address may receive a single copy of our annual report and proxy materials, including the Notice, unless the affected shareholder has provided contrary instructions. This procedure reduces printing costs and postage fees, and helps protect the environment as well.</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expect that a number of brokers with account holders who are our shareholders will be “householding” our annual report and proxy materials, including the Notice. A single Notice and, if applicable, a single set of annual report and other proxy materials will be delivered to multiple shareholders sharing an address unless contrary instructions have been received from the affected shareholders. Once you have received notice from your broker that it will be “householding” communications to your address, “householding” will continue until you are notified otherwise or until you revoke your consent. Shareholders may revoke their consent at any time by contacting Broadridge Financial Solutions, either by calling toll-free (800) 542-1061, or by writing to Broadridge Financial Solutions, Householding Department, 51 Mercedes Way, Edgewood, New York, 11717.</w:t>
      </w:r>
    </w:p>
    <w:p>
      <w:pPr>
        <w:spacing w:after="0" w:line="120" w:lineRule="exact"/>
        <w:rPr>
          <w:sz w:val="20"/>
          <w:szCs w:val="20"/>
          <w:color w:val="auto"/>
        </w:rPr>
      </w:pPr>
    </w:p>
    <w:p>
      <w:pPr>
        <w:ind w:right="440" w:firstLine="456"/>
        <w:spacing w:after="0" w:line="256" w:lineRule="auto"/>
        <w:rPr>
          <w:sz w:val="20"/>
          <w:szCs w:val="20"/>
          <w:color w:val="auto"/>
        </w:rPr>
      </w:pPr>
      <w:r>
        <w:rPr>
          <w:rFonts w:ascii="Arial" w:cs="Arial" w:eastAsia="Arial" w:hAnsi="Arial"/>
          <w:sz w:val="18"/>
          <w:szCs w:val="18"/>
          <w:color w:val="auto"/>
        </w:rPr>
        <w:t>Upon written or oral request, we will promptly deliver a separate copy of the Notice and, if applicable, annual report and other proxy materials to any shareholder at a shared address to which a single copy of any of those documents was delivered. To receive a separate copy of the Notice and, if applicable, annual report and other proxy materials, you may write or call our Investor Relations department at 5488 Marvell Lane, Santa Clara, CA 95054, telephone number (408) 222-8373.</w:t>
      </w:r>
    </w:p>
    <w:p>
      <w:pPr>
        <w:spacing w:after="0" w:line="143"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Any shareholders who share the same address and currently receive multiple copies of our Notice or annual report and other proxy materials who wish to receive only one copy in the future can contact their bank, broker or other holder of record to request information about householding.</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FEBRUARY 1, 2014,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3855720</wp:posOffset>
            </wp:positionH>
            <wp:positionV relativeFrom="paragraph">
              <wp:posOffset>143510</wp:posOffset>
            </wp:positionV>
            <wp:extent cx="1646555" cy="38608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646555"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 and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19, 2014</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00"/>
          </w:cols>
          <w:pgMar w:left="240" w:top="459" w:right="25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90"/>
              </w:rPr>
              <w:t>Annex A</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89"/>
              </w:rPr>
              <w:t>Marvell Technology Group Ltd.</w:t>
            </w: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89"/>
              </w:rPr>
              <w:t>Unaudited Reconciliations from GAAP to Non-GAAP</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85"/>
              </w:rPr>
              <w:t>(In thousands, except percentages)</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10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8"/>
              </w:rPr>
              <w:t>FY 2014</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3,404,400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GAAP Operating Income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280,691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155,873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Acquisition-related costs (1)</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44,153</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Modified Non-GAAP Operating Income</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rPr>
              <w:t>480,655</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Restructuring and other exit related (2)</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7,288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related matters (3)</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14,728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Gain from sale of a product line</w:t>
            </w:r>
          </w:p>
        </w:tc>
        <w:tc>
          <w:tcPr>
            <w:tcW w:w="100" w:type="dxa"/>
            <w:vAlign w:val="bottom"/>
          </w:tcPr>
          <w:p>
            <w:pPr>
              <w:spacing w:after="0"/>
              <w:rPr>
                <w:sz w:val="19"/>
                <w:szCs w:val="19"/>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(6,975)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Non-GAAP Operating Income</w:t>
            </w: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b w:val="1"/>
                <w:bCs w:val="1"/>
                <w:color w:val="auto"/>
                <w:w w:val="71"/>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495,696</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vMerge w:val="restart"/>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20" w:type="dxa"/>
            <w:vAlign w:val="bottom"/>
          </w:tcPr>
          <w:p>
            <w:pPr>
              <w:spacing w:after="0"/>
              <w:rPr>
                <w:sz w:val="18"/>
                <w:szCs w:val="18"/>
                <w:color w:val="auto"/>
              </w:rPr>
            </w:pPr>
          </w:p>
        </w:tc>
        <w:tc>
          <w:tcPr>
            <w:tcW w:w="1040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14.6%</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504.413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Non-GAAP adjustment</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14,515</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Non-GAAP Weighted average shares — diluted</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518,928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0420" w:type="dxa"/>
            <w:vAlign w:val="bottom"/>
            <w:gridSpan w:val="2"/>
            <w:vMerge w:val="restart"/>
          </w:tcPr>
          <w:p>
            <w:pPr>
              <w:spacing w:after="0"/>
              <w:rPr>
                <w:sz w:val="20"/>
                <w:szCs w:val="20"/>
                <w:color w:val="auto"/>
              </w:rPr>
            </w:pPr>
            <w:r>
              <w:rPr>
                <w:rFonts w:ascii="Arial" w:cs="Arial" w:eastAsia="Arial" w:hAnsi="Arial"/>
                <w:sz w:val="18"/>
                <w:szCs w:val="18"/>
                <w:color w:val="auto"/>
              </w:rPr>
              <w:t>GAAP net cash provided by operating activities</w:t>
            </w: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104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448,039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color w:val="auto"/>
              </w:rPr>
              <w:t>Less: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Purchases of technology licenses</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25,058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66,593</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Free cash flow (4)</w:t>
            </w:r>
          </w:p>
        </w:tc>
        <w:tc>
          <w:tcPr>
            <w:tcW w:w="100" w:type="dxa"/>
            <w:vAlign w:val="bottom"/>
            <w:tcBorders>
              <w:top w:val="single" w:sz="8" w:color="auto"/>
              <w:bottom w:val="single" w:sz="8" w:color="auto"/>
            </w:tcBorders>
          </w:tcPr>
          <w:p>
            <w:pPr>
              <w:spacing w:after="0"/>
              <w:rPr>
                <w:sz w:val="19"/>
                <w:szCs w:val="19"/>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356,388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100" w:hanging="452"/>
        <w:spacing w:after="0" w:line="254" w:lineRule="auto"/>
        <w:tabs>
          <w:tab w:leader="none" w:pos="460" w:val="left"/>
        </w:tabs>
        <w:numPr>
          <w:ilvl w:val="0"/>
          <w:numId w:val="97"/>
        </w:numPr>
        <w:rPr>
          <w:rFonts w:ascii="Arial" w:cs="Arial" w:eastAsia="Arial" w:hAnsi="Arial"/>
          <w:sz w:val="18"/>
          <w:szCs w:val="18"/>
          <w:color w:val="auto"/>
        </w:rPr>
      </w:pPr>
      <w:r>
        <w:rPr>
          <w:rFonts w:ascii="Arial" w:cs="Arial" w:eastAsia="Arial" w:hAnsi="Arial"/>
          <w:sz w:val="18"/>
          <w:szCs w:val="18"/>
          <w:color w:val="auto"/>
        </w:rPr>
        <w:t>Acquisition-related costs include the amortization of retention bonuses required by the terms of an acquisition and the release of a $1.5 million liability for contingent milestone that was not met during fiscal 2014.</w:t>
      </w:r>
    </w:p>
    <w:p>
      <w:pPr>
        <w:ind w:left="460" w:right="100" w:hanging="452"/>
        <w:spacing w:after="0" w:line="250" w:lineRule="auto"/>
        <w:tabs>
          <w:tab w:leader="none" w:pos="460" w:val="left"/>
        </w:tabs>
        <w:numPr>
          <w:ilvl w:val="0"/>
          <w:numId w:val="97"/>
        </w:numPr>
        <w:rPr>
          <w:rFonts w:ascii="Arial" w:cs="Arial" w:eastAsia="Arial" w:hAnsi="Arial"/>
          <w:sz w:val="18"/>
          <w:szCs w:val="18"/>
          <w:color w:val="auto"/>
        </w:rPr>
      </w:pPr>
      <w:r>
        <w:rPr>
          <w:rFonts w:ascii="Arial" w:cs="Arial" w:eastAsia="Arial" w:hAnsi="Arial"/>
          <w:sz w:val="18"/>
          <w:szCs w:val="18"/>
          <w:color w:val="auto"/>
        </w:rPr>
        <w:t>Restructuring and other exit-related costs include costs that qualify under U.S. GAAP as restructuring costs, as well as operating expenses related to assets classified as held-for-sale that did not qualify as discontinued operations.</w:t>
      </w:r>
    </w:p>
    <w:p>
      <w:pPr>
        <w:ind w:left="460" w:right="400" w:hanging="452"/>
        <w:spacing w:after="0" w:line="250" w:lineRule="auto"/>
        <w:tabs>
          <w:tab w:leader="none" w:pos="460" w:val="left"/>
        </w:tabs>
        <w:numPr>
          <w:ilvl w:val="0"/>
          <w:numId w:val="97"/>
        </w:numPr>
        <w:rPr>
          <w:rFonts w:ascii="Arial" w:cs="Arial" w:eastAsia="Arial" w:hAnsi="Arial"/>
          <w:sz w:val="18"/>
          <w:szCs w:val="18"/>
          <w:color w:val="auto"/>
        </w:rPr>
      </w:pPr>
      <w:r>
        <w:rPr>
          <w:rFonts w:ascii="Arial" w:cs="Arial" w:eastAsia="Arial" w:hAnsi="Arial"/>
          <w:sz w:val="18"/>
          <w:szCs w:val="18"/>
          <w:color w:val="auto"/>
        </w:rPr>
        <w:t>Legal/Tax related matters include settlement fees related to litigation matters. The amounts recorded do not relate to Marvell’s litigation with Carnegie Mellon University.</w:t>
      </w:r>
    </w:p>
    <w:p>
      <w:pPr>
        <w:ind w:left="460" w:right="280" w:hanging="452"/>
        <w:spacing w:after="0" w:line="261" w:lineRule="auto"/>
        <w:tabs>
          <w:tab w:leader="none" w:pos="460" w:val="left"/>
        </w:tabs>
        <w:numPr>
          <w:ilvl w:val="0"/>
          <w:numId w:val="97"/>
        </w:numPr>
        <w:rPr>
          <w:rFonts w:ascii="Arial" w:cs="Arial" w:eastAsia="Arial" w:hAnsi="Arial"/>
          <w:sz w:val="18"/>
          <w:szCs w:val="18"/>
          <w:color w:val="auto"/>
        </w:rPr>
      </w:pPr>
      <w:r>
        <w:rPr>
          <w:rFonts w:ascii="Arial" w:cs="Arial" w:eastAsia="Arial" w:hAnsi="Arial"/>
          <w:sz w:val="18"/>
          <w:szCs w:val="18"/>
          <w:color w:val="auto"/>
        </w:rPr>
        <w:t>Free cash flow is defined as cash flow from operations, less capital expenditures and purchases of intellectual property licenses reported under investing and financing activities in the consolidated statement of cash flows.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1220"/>
        <w:spacing w:after="0"/>
        <w:rPr>
          <w:sz w:val="20"/>
          <w:szCs w:val="20"/>
          <w:color w:val="auto"/>
        </w:rPr>
      </w:pPr>
      <w:r>
        <w:rPr>
          <w:rFonts w:ascii="Arial" w:cs="Arial" w:eastAsia="Arial" w:hAnsi="Arial"/>
          <w:sz w:val="24"/>
          <w:szCs w:val="24"/>
          <w:b w:val="1"/>
          <w:bCs w:val="1"/>
          <w:color w:val="auto"/>
        </w:rPr>
        <w:t>The Annual General Meeting of Shareholders of</w:t>
      </w:r>
    </w:p>
    <w:p>
      <w:pPr>
        <w:spacing w:after="0" w:line="236" w:lineRule="exact"/>
        <w:rPr>
          <w:sz w:val="20"/>
          <w:szCs w:val="20"/>
          <w:color w:val="auto"/>
        </w:rPr>
      </w:pPr>
    </w:p>
    <w:p>
      <w:pPr>
        <w:jc w:val="center"/>
        <w:ind w:right="-1220"/>
        <w:spacing w:after="0"/>
        <w:rPr>
          <w:sz w:val="20"/>
          <w:szCs w:val="20"/>
          <w:color w:val="auto"/>
        </w:rPr>
      </w:pPr>
      <w:r>
        <w:rPr>
          <w:rFonts w:ascii="Arial" w:cs="Arial" w:eastAsia="Arial" w:hAnsi="Arial"/>
          <w:sz w:val="39"/>
          <w:szCs w:val="39"/>
          <w:b w:val="1"/>
          <w:bCs w:val="1"/>
          <w:color w:val="auto"/>
        </w:rPr>
        <w:t>Marvell Technology Group Ltd.</w:t>
      </w:r>
    </w:p>
    <w:p>
      <w:pPr>
        <w:spacing w:after="0" w:line="310"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will be held at the</w:t>
      </w:r>
    </w:p>
    <w:p>
      <w:pPr>
        <w:spacing w:after="0" w:line="4"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Hyatt Regency Hotel,</w:t>
      </w:r>
    </w:p>
    <w:p>
      <w:pPr>
        <w:jc w:val="center"/>
        <w:ind w:right="-1220"/>
        <w:spacing w:after="0" w:line="230" w:lineRule="auto"/>
        <w:rPr>
          <w:sz w:val="20"/>
          <w:szCs w:val="20"/>
          <w:color w:val="auto"/>
        </w:rPr>
      </w:pPr>
      <w:r>
        <w:rPr>
          <w:rFonts w:ascii="Arial" w:cs="Arial" w:eastAsia="Arial" w:hAnsi="Arial"/>
          <w:sz w:val="22"/>
          <w:szCs w:val="22"/>
          <w:b w:val="1"/>
          <w:bCs w:val="1"/>
          <w:color w:val="auto"/>
        </w:rPr>
        <w:t>5101 Great America Parkway,</w:t>
      </w:r>
    </w:p>
    <w:p>
      <w:pPr>
        <w:jc w:val="center"/>
        <w:ind w:right="-1220"/>
        <w:spacing w:after="0" w:line="231" w:lineRule="auto"/>
        <w:rPr>
          <w:sz w:val="20"/>
          <w:szCs w:val="20"/>
          <w:color w:val="auto"/>
        </w:rPr>
      </w:pPr>
      <w:r>
        <w:rPr>
          <w:rFonts w:ascii="Arial" w:cs="Arial" w:eastAsia="Arial" w:hAnsi="Arial"/>
          <w:sz w:val="22"/>
          <w:szCs w:val="22"/>
          <w:b w:val="1"/>
          <w:bCs w:val="1"/>
          <w:color w:val="auto"/>
        </w:rPr>
        <w:t>Santa Clara, California 95054</w:t>
      </w:r>
    </w:p>
    <w:p>
      <w:pPr>
        <w:jc w:val="center"/>
        <w:ind w:right="-1220"/>
        <w:spacing w:after="0" w:line="230" w:lineRule="auto"/>
        <w:rPr>
          <w:sz w:val="20"/>
          <w:szCs w:val="20"/>
          <w:color w:val="auto"/>
        </w:rPr>
      </w:pPr>
      <w:r>
        <w:rPr>
          <w:rFonts w:ascii="Arial" w:cs="Arial" w:eastAsia="Arial" w:hAnsi="Arial"/>
          <w:sz w:val="22"/>
          <w:szCs w:val="22"/>
          <w:b w:val="1"/>
          <w:bCs w:val="1"/>
          <w:color w:val="auto"/>
        </w:rPr>
        <w:t>on</w:t>
      </w:r>
    </w:p>
    <w:p>
      <w:pPr>
        <w:jc w:val="center"/>
        <w:ind w:right="-1220"/>
        <w:spacing w:after="0" w:line="231" w:lineRule="auto"/>
        <w:rPr>
          <w:sz w:val="20"/>
          <w:szCs w:val="20"/>
          <w:color w:val="auto"/>
        </w:rPr>
      </w:pPr>
      <w:r>
        <w:rPr>
          <w:rFonts w:ascii="Arial" w:cs="Arial" w:eastAsia="Arial" w:hAnsi="Arial"/>
          <w:sz w:val="22"/>
          <w:szCs w:val="22"/>
          <w:b w:val="1"/>
          <w:bCs w:val="1"/>
          <w:color w:val="auto"/>
        </w:rPr>
        <w:t>Tuesday, July 1, 2014</w:t>
      </w:r>
    </w:p>
    <w:p>
      <w:pPr>
        <w:spacing w:after="0" w:line="1" w:lineRule="exact"/>
        <w:rPr>
          <w:sz w:val="20"/>
          <w:szCs w:val="20"/>
          <w:color w:val="auto"/>
        </w:rPr>
      </w:pPr>
    </w:p>
    <w:p>
      <w:pPr>
        <w:jc w:val="center"/>
        <w:ind w:right="-1220"/>
        <w:spacing w:after="0"/>
        <w:rPr>
          <w:sz w:val="20"/>
          <w:szCs w:val="20"/>
          <w:color w:val="auto"/>
        </w:rPr>
      </w:pPr>
      <w:r>
        <w:rPr>
          <w:rFonts w:ascii="Arial" w:cs="Arial" w:eastAsia="Arial" w:hAnsi="Arial"/>
          <w:sz w:val="22"/>
          <w:szCs w:val="22"/>
          <w:b w:val="1"/>
          <w:bCs w:val="1"/>
          <w:color w:val="auto"/>
        </w:rPr>
        <w:t>at 4:00 p.m. Pacific time</w:t>
      </w:r>
    </w:p>
    <w:p>
      <w:pPr>
        <w:sectPr>
          <w:pgSz w:w="11900" w:h="16838" w:orient="portrait"/>
          <w:cols w:equalWidth="0" w:num="1">
            <w:col w:w="10219"/>
          </w:cols>
          <w:pgMar w:left="240" w:top="459" w:right="1440" w:bottom="1440" w:gutter="0" w:footer="0" w:header="0"/>
        </w:sectPr>
      </w:pPr>
    </w:p>
    <w:bookmarkStart w:id="63" w:name="page64"/>
    <w:bookmarkEnd w:id="63"/>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982980</wp:posOffset>
            </wp:positionH>
            <wp:positionV relativeFrom="paragraph">
              <wp:posOffset>220345</wp:posOffset>
            </wp:positionV>
            <wp:extent cx="5299710" cy="686054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5299710" cy="6860540"/>
                    </a:xfrm>
                    <a:prstGeom prst="rect">
                      <a:avLst/>
                    </a:prstGeom>
                    <a:noFill/>
                  </pic:spPr>
                </pic:pic>
              </a:graphicData>
            </a:graphic>
          </wp:anchor>
        </w:drawing>
      </w:r>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20" w:type="dxa"/>
            <w:vAlign w:val="bottom"/>
            <w:gridSpan w:val="2"/>
          </w:tcPr>
          <w:p>
            <w:pPr>
              <w:spacing w:after="0"/>
              <w:rPr>
                <w:sz w:val="20"/>
                <w:szCs w:val="20"/>
                <w:color w:val="auto"/>
              </w:rPr>
            </w:pPr>
            <w:r>
              <w:rPr>
                <w:rFonts w:ascii="Arial" w:cs="Arial" w:eastAsia="Arial" w:hAnsi="Arial"/>
                <w:sz w:val="14"/>
                <w:szCs w:val="14"/>
                <w:color w:val="FFFFFF"/>
              </w:rPr>
              <w:t>MARVELL TECHNOLOGY GROUP LTD. CANON’S COURT</w:t>
            </w:r>
          </w:p>
        </w:tc>
        <w:tc>
          <w:tcPr>
            <w:tcW w:w="7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22 VICTORIA STREET</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HAMILTON HM 12 BERMUDA</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SUBMIT YOUR PROXY BY PHONE—1-800-690-6903</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20" w:type="dxa"/>
            <w:vAlign w:val="bottom"/>
            <w:gridSpan w:val="3"/>
          </w:tcPr>
          <w:p>
            <w:pPr>
              <w:spacing w:after="0"/>
              <w:rPr>
                <w:sz w:val="20"/>
                <w:szCs w:val="20"/>
                <w:color w:val="auto"/>
              </w:rPr>
            </w:pPr>
            <w:r>
              <w:rPr>
                <w:rFonts w:ascii="Arial" w:cs="Arial" w:eastAsia="Arial" w:hAnsi="Arial"/>
                <w:sz w:val="3"/>
                <w:szCs w:val="3"/>
                <w:color w:val="FFFFFF"/>
              </w:rPr>
              <w:t>Use any touch-tone telephone to transmit your voting instructions up until 11:59 P.M. Eastern Time the day before the cut-off date or meeting date. Have your proxy card in hand when you call and then follow</w:t>
            </w: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the instructions.</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SUBMIT YOUR PROXY BY MAIL</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20" w:type="dxa"/>
            <w:vAlign w:val="bottom"/>
            <w:gridSpan w:val="3"/>
          </w:tcPr>
          <w:p>
            <w:pPr>
              <w:spacing w:after="0"/>
              <w:rPr>
                <w:sz w:val="20"/>
                <w:szCs w:val="20"/>
                <w:color w:val="auto"/>
              </w:rPr>
            </w:pPr>
            <w:r>
              <w:rPr>
                <w:rFonts w:ascii="Arial" w:cs="Arial" w:eastAsia="Arial" w:hAnsi="Arial"/>
                <w:sz w:val="3"/>
                <w:szCs w:val="3"/>
                <w:color w:val="FFFFFF"/>
              </w:rPr>
              <w:t>Mark, sign and date your proxy card and return it in the postage-paid envelope we have provided or return it to Vote Processing, c/o Broadridge,</w:t>
            </w: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51 Mercedes Way, Edgewood, NY 11717.</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SUBMIT YOUR PROXY BY INTERNET—www.proxyvote.com</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20" w:type="dxa"/>
            <w:vAlign w:val="bottom"/>
            <w:gridSpan w:val="3"/>
          </w:tcPr>
          <w:p>
            <w:pPr>
              <w:spacing w:after="0"/>
              <w:rPr>
                <w:sz w:val="20"/>
                <w:szCs w:val="20"/>
                <w:color w:val="auto"/>
              </w:rPr>
            </w:pPr>
            <w:r>
              <w:rPr>
                <w:rFonts w:ascii="Arial" w:cs="Arial" w:eastAsia="Arial" w:hAnsi="Arial"/>
                <w:sz w:val="3"/>
                <w:szCs w:val="3"/>
                <w:color w:val="FFFFFF"/>
              </w:rPr>
              <w:t>Use the Internet to transmit your voting instructions and for electronic delivery of information up until 11:59 P.M. Eastern Time the day before the cut-off date or meeting date. Have your proxy card in hand</w:t>
            </w:r>
          </w:p>
        </w:tc>
        <w:tc>
          <w:tcPr>
            <w:tcW w:w="0" w:type="dxa"/>
            <w:vAlign w:val="bottom"/>
          </w:tcPr>
          <w:p>
            <w:pPr>
              <w:spacing w:after="0"/>
              <w:rPr>
                <w:sz w:val="1"/>
                <w:szCs w:val="1"/>
                <w:color w:val="auto"/>
              </w:rPr>
            </w:pPr>
          </w:p>
        </w:tc>
      </w:tr>
      <w:tr>
        <w:trPr>
          <w:trHeight w:val="41"/>
        </w:trPr>
        <w:tc>
          <w:tcPr>
            <w:tcW w:w="11420" w:type="dxa"/>
            <w:vAlign w:val="bottom"/>
            <w:gridSpan w:val="3"/>
          </w:tcPr>
          <w:p>
            <w:pPr>
              <w:spacing w:after="0"/>
              <w:rPr>
                <w:sz w:val="20"/>
                <w:szCs w:val="20"/>
                <w:color w:val="auto"/>
              </w:rPr>
            </w:pPr>
            <w:r>
              <w:rPr>
                <w:rFonts w:ascii="Arial" w:cs="Arial" w:eastAsia="Arial" w:hAnsi="Arial"/>
                <w:sz w:val="3"/>
                <w:szCs w:val="3"/>
                <w:color w:val="FFFFFF"/>
              </w:rPr>
              <w:t>when you access the web site and follow the instructions to obtain your records and to create an electronic voting instruction form.</w:t>
            </w: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ELECTRONIC DELIVERY OF FUTURE PROXY MATERIALS.</w:t>
            </w:r>
          </w:p>
        </w:tc>
        <w:tc>
          <w:tcPr>
            <w:tcW w:w="7300" w:type="dxa"/>
            <w:vAlign w:val="bottom"/>
            <w:vMerge w:val="restart"/>
          </w:tcPr>
          <w:p>
            <w:pPr>
              <w:jc w:val="center"/>
              <w:spacing w:after="0" w:line="81" w:lineRule="exact"/>
              <w:rPr>
                <w:sz w:val="20"/>
                <w:szCs w:val="20"/>
                <w:color w:val="auto"/>
              </w:rPr>
            </w:pPr>
            <w:r>
              <w:rPr>
                <w:rFonts w:ascii="Arial" w:cs="Arial" w:eastAsia="Arial" w:hAnsi="Arial"/>
                <w:sz w:val="9"/>
                <w:szCs w:val="9"/>
                <w:color w:val="FFFFFF"/>
              </w:rPr>
              <w:t>xy materials, you can consent to receiving all future proxy statements, proxy cards and annual reports el ctronically via  -mail or the</w:t>
            </w:r>
          </w:p>
        </w:tc>
        <w:tc>
          <w:tcPr>
            <w:tcW w:w="0" w:type="dxa"/>
            <w:vAlign w:val="bottom"/>
          </w:tcPr>
          <w:p>
            <w:pPr>
              <w:spacing w:after="0"/>
              <w:rPr>
                <w:sz w:val="1"/>
                <w:szCs w:val="1"/>
                <w:color w:val="auto"/>
              </w:rPr>
            </w:pPr>
          </w:p>
        </w:tc>
      </w:tr>
      <w:tr>
        <w:trPr>
          <w:trHeight w:val="41"/>
        </w:trPr>
        <w:tc>
          <w:tcPr>
            <w:tcW w:w="620" w:type="dxa"/>
            <w:vAlign w:val="bottom"/>
          </w:tcPr>
          <w:p>
            <w:pPr>
              <w:ind w:left="60"/>
              <w:spacing w:after="0"/>
              <w:rPr>
                <w:sz w:val="20"/>
                <w:szCs w:val="20"/>
                <w:color w:val="auto"/>
              </w:rPr>
            </w:pPr>
            <w:r>
              <w:rPr>
                <w:rFonts w:ascii="Arial" w:cs="Arial" w:eastAsia="Arial" w:hAnsi="Arial"/>
                <w:sz w:val="3"/>
                <w:szCs w:val="3"/>
                <w:color w:val="FFFFFF"/>
              </w:rPr>
              <w:t>f you</w:t>
            </w:r>
          </w:p>
        </w:tc>
        <w:tc>
          <w:tcPr>
            <w:tcW w:w="3500" w:type="dxa"/>
            <w:vAlign w:val="bottom"/>
          </w:tcPr>
          <w:p>
            <w:pPr>
              <w:ind w:left="120"/>
              <w:spacing w:after="0"/>
              <w:rPr>
                <w:sz w:val="20"/>
                <w:szCs w:val="20"/>
                <w:color w:val="auto"/>
              </w:rPr>
            </w:pPr>
            <w:r>
              <w:rPr>
                <w:rFonts w:ascii="Arial" w:cs="Arial" w:eastAsia="Arial" w:hAnsi="Arial"/>
                <w:sz w:val="3"/>
                <w:szCs w:val="3"/>
                <w:color w:val="FFFFFF"/>
              </w:rPr>
              <w:t>like to reduce the costs incurred by our company   maili g pr</w:t>
            </w:r>
          </w:p>
        </w:tc>
        <w:tc>
          <w:tcPr>
            <w:tcW w:w="73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20" w:type="dxa"/>
            <w:vAlign w:val="bottom"/>
            <w:gridSpan w:val="3"/>
          </w:tcPr>
          <w:p>
            <w:pPr>
              <w:spacing w:after="0"/>
              <w:rPr>
                <w:sz w:val="20"/>
                <w:szCs w:val="20"/>
                <w:color w:val="auto"/>
              </w:rPr>
            </w:pPr>
            <w:r>
              <w:rPr>
                <w:rFonts w:ascii="Arial" w:cs="Arial" w:eastAsia="Arial" w:hAnsi="Arial"/>
                <w:sz w:val="3"/>
                <w:szCs w:val="3"/>
                <w:color w:val="FFFFFF"/>
              </w:rPr>
              <w:t>Internetwould.Tsign up for electronic delivery, please follow the instructions above to vote using the Internet and, when prompted, indicate that you agree to receive or access proxy materials electronically in future</w:t>
            </w:r>
          </w:p>
        </w:tc>
        <w:tc>
          <w:tcPr>
            <w:tcW w:w="0" w:type="dxa"/>
            <w:vAlign w:val="bottom"/>
          </w:tcPr>
          <w:p>
            <w:pPr>
              <w:spacing w:after="0"/>
              <w:rPr>
                <w:sz w:val="1"/>
                <w:szCs w:val="1"/>
                <w:color w:val="auto"/>
              </w:rPr>
            </w:pPr>
          </w:p>
        </w:tc>
      </w:tr>
      <w:tr>
        <w:trPr>
          <w:trHeight w:val="41"/>
        </w:trPr>
        <w:tc>
          <w:tcPr>
            <w:tcW w:w="620" w:type="dxa"/>
            <w:vAlign w:val="bottom"/>
          </w:tcPr>
          <w:p>
            <w:pPr>
              <w:spacing w:after="0"/>
              <w:rPr>
                <w:sz w:val="20"/>
                <w:szCs w:val="20"/>
                <w:color w:val="auto"/>
              </w:rPr>
            </w:pPr>
            <w:r>
              <w:rPr>
                <w:rFonts w:ascii="Arial" w:cs="Arial" w:eastAsia="Arial" w:hAnsi="Arial"/>
                <w:sz w:val="3"/>
                <w:szCs w:val="3"/>
                <w:color w:val="FFFFFF"/>
              </w:rPr>
              <w:t>years.</w:t>
            </w:r>
          </w:p>
        </w:tc>
        <w:tc>
          <w:tcPr>
            <w:tcW w:w="3500" w:type="dxa"/>
            <w:vAlign w:val="bottom"/>
          </w:tcPr>
          <w:p>
            <w:pPr>
              <w:spacing w:after="0"/>
              <w:rPr>
                <w:sz w:val="3"/>
                <w:szCs w:val="3"/>
                <w:color w:val="auto"/>
              </w:rPr>
            </w:pP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20" w:type="dxa"/>
            <w:vAlign w:val="bottom"/>
            <w:gridSpan w:val="3"/>
          </w:tcPr>
          <w:p>
            <w:pPr>
              <w:spacing w:after="0"/>
              <w:rPr>
                <w:sz w:val="20"/>
                <w:szCs w:val="20"/>
                <w:color w:val="auto"/>
              </w:rPr>
            </w:pPr>
            <w:r>
              <w:rPr>
                <w:rFonts w:ascii="Arial" w:cs="Arial" w:eastAsia="Arial" w:hAnsi="Arial"/>
                <w:sz w:val="3"/>
                <w:szCs w:val="3"/>
                <w:color w:val="FFFFFF"/>
              </w:rPr>
              <w:t>T  INSTRUCT YOUR PROXY TO VOTE, MARK BLOCKS BELOW IN BLUE</w:t>
            </w: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OR BLACK INK AS FOLLOWS:</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M75249-P50663</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KEEP THIS PORTION FOR YOUR RECORDS</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THIS PROXY CARD IS VALID ONLY WHEN SIGNED AND DATED.</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DETACH AND RETURN THIS PORTION ONLY</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ind w:left="300"/>
              <w:spacing w:after="0"/>
              <w:rPr>
                <w:sz w:val="20"/>
                <w:szCs w:val="20"/>
                <w:color w:val="auto"/>
              </w:rPr>
            </w:pPr>
            <w:r>
              <w:rPr>
                <w:rFonts w:ascii="Arial" w:cs="Arial" w:eastAsia="Arial" w:hAnsi="Arial"/>
                <w:sz w:val="3"/>
                <w:szCs w:val="3"/>
                <w:color w:val="FFFFFF"/>
              </w:rPr>
              <w:t>VELL TECHNOLOGY GROUP LTD.</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20" w:type="dxa"/>
            <w:vAlign w:val="bottom"/>
            <w:gridSpan w:val="3"/>
          </w:tcPr>
          <w:p>
            <w:pPr>
              <w:spacing w:after="0"/>
              <w:rPr>
                <w:sz w:val="20"/>
                <w:szCs w:val="20"/>
                <w:color w:val="auto"/>
              </w:rPr>
            </w:pPr>
            <w:r>
              <w:rPr>
                <w:rFonts w:ascii="Arial" w:cs="Arial" w:eastAsia="Arial" w:hAnsi="Arial"/>
                <w:sz w:val="3"/>
                <w:szCs w:val="3"/>
                <w:color w:val="FFFFFF"/>
              </w:rPr>
              <w:t>MARTTHE ANNUAL GENERAL MEETING, THE BOARD OF DIRECTORS RECOMMENDS A VOTE</w:t>
            </w: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“FOR” PROPOSALS 1, 2, AND 3.</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20" w:type="dxa"/>
            <w:vAlign w:val="bottom"/>
            <w:gridSpan w:val="3"/>
          </w:tcPr>
          <w:p>
            <w:pPr>
              <w:spacing w:after="0"/>
              <w:rPr>
                <w:sz w:val="20"/>
                <w:szCs w:val="20"/>
                <w:color w:val="auto"/>
              </w:rPr>
            </w:pPr>
            <w:r>
              <w:rPr>
                <w:rFonts w:ascii="Arial" w:cs="Arial" w:eastAsia="Arial" w:hAnsi="Arial"/>
                <w:sz w:val="3"/>
                <w:szCs w:val="3"/>
                <w:color w:val="FFFFFF"/>
              </w:rPr>
              <w:t>For purposes of Proposal 1 only, an “Abstain” will have the same effect as a vote “Against”.</w:t>
            </w: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Annual General Meeting</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Election of Directors</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1. Nominees:</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81"/>
        </w:trPr>
        <w:tc>
          <w:tcPr>
            <w:tcW w:w="4120" w:type="dxa"/>
            <w:vAlign w:val="bottom"/>
            <w:gridSpan w:val="2"/>
          </w:tcPr>
          <w:p>
            <w:pPr>
              <w:spacing w:after="0" w:line="81" w:lineRule="exact"/>
              <w:rPr>
                <w:sz w:val="20"/>
                <w:szCs w:val="20"/>
                <w:color w:val="auto"/>
              </w:rPr>
            </w:pPr>
            <w:r>
              <w:rPr>
                <w:rFonts w:ascii="Arial" w:cs="Arial" w:eastAsia="Arial" w:hAnsi="Arial"/>
                <w:sz w:val="9"/>
                <w:szCs w:val="9"/>
                <w:color w:val="FFFFFF"/>
              </w:rPr>
              <w:t>For Against Abstain</w:t>
            </w:r>
          </w:p>
        </w:tc>
        <w:tc>
          <w:tcPr>
            <w:tcW w:w="73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1a. Dr. Sehat Sutardja</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2. Advisory vote to approve named executive officer compensation.</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1b. Dr. Juergen Gromer</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3. To re-appoint PricewaterhouseCoopers LLP as our</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20" w:type="dxa"/>
            <w:vAlign w:val="bottom"/>
            <w:gridSpan w:val="3"/>
          </w:tcPr>
          <w:p>
            <w:pPr>
              <w:spacing w:after="0"/>
              <w:rPr>
                <w:sz w:val="20"/>
                <w:szCs w:val="20"/>
                <w:color w:val="auto"/>
              </w:rPr>
            </w:pPr>
            <w:r>
              <w:rPr>
                <w:rFonts w:ascii="Arial" w:cs="Arial" w:eastAsia="Arial" w:hAnsi="Arial"/>
                <w:sz w:val="3"/>
                <w:szCs w:val="3"/>
                <w:color w:val="FFFFFF"/>
              </w:rPr>
              <w:t>and independent registered public accounting firm, andauditorsauthorize the audit committee, acting on behalf of the</w:t>
            </w:r>
          </w:p>
        </w:tc>
        <w:tc>
          <w:tcPr>
            <w:tcW w:w="0" w:type="dxa"/>
            <w:vAlign w:val="bottom"/>
          </w:tcPr>
          <w:p>
            <w:pPr>
              <w:spacing w:after="0"/>
              <w:rPr>
                <w:sz w:val="1"/>
                <w:szCs w:val="1"/>
                <w:color w:val="auto"/>
              </w:rPr>
            </w:pPr>
          </w:p>
        </w:tc>
      </w:tr>
      <w:tr>
        <w:trPr>
          <w:trHeight w:val="41"/>
        </w:trPr>
        <w:tc>
          <w:tcPr>
            <w:tcW w:w="11420" w:type="dxa"/>
            <w:vAlign w:val="bottom"/>
            <w:gridSpan w:val="3"/>
          </w:tcPr>
          <w:p>
            <w:pPr>
              <w:ind w:left="80"/>
              <w:spacing w:after="0"/>
              <w:rPr>
                <w:sz w:val="20"/>
                <w:szCs w:val="20"/>
                <w:color w:val="auto"/>
              </w:rPr>
            </w:pPr>
            <w:r>
              <w:rPr>
                <w:rFonts w:ascii="Arial" w:cs="Arial" w:eastAsia="Arial" w:hAnsi="Arial"/>
                <w:sz w:val="3"/>
                <w:szCs w:val="3"/>
                <w:color w:val="FFFFFF"/>
              </w:rPr>
              <w:t>c. Dr. John G. Kassakian board of directors, to fix the remuneration of the auditors and independent registered public accounting firm, in both cases for the fiscal year ending January 31, 2015.</w:t>
            </w:r>
          </w:p>
        </w:tc>
        <w:tc>
          <w:tcPr>
            <w:tcW w:w="0" w:type="dxa"/>
            <w:vAlign w:val="bottom"/>
          </w:tcPr>
          <w:p>
            <w:pPr>
              <w:spacing w:after="0"/>
              <w:rPr>
                <w:sz w:val="1"/>
                <w:szCs w:val="1"/>
                <w:color w:val="auto"/>
              </w:rPr>
            </w:pPr>
          </w:p>
        </w:tc>
      </w:tr>
      <w:tr>
        <w:trPr>
          <w:trHeight w:val="41"/>
        </w:trPr>
        <w:tc>
          <w:tcPr>
            <w:tcW w:w="4120" w:type="dxa"/>
            <w:vAlign w:val="bottom"/>
            <w:gridSpan w:val="2"/>
          </w:tcPr>
          <w:p>
            <w:pPr>
              <w:ind w:left="80"/>
              <w:spacing w:after="0"/>
              <w:rPr>
                <w:sz w:val="20"/>
                <w:szCs w:val="20"/>
                <w:color w:val="auto"/>
              </w:rPr>
            </w:pPr>
            <w:r>
              <w:rPr>
                <w:rFonts w:ascii="Arial" w:cs="Arial" w:eastAsia="Arial" w:hAnsi="Arial"/>
                <w:sz w:val="3"/>
                <w:szCs w:val="3"/>
                <w:color w:val="FFFFFF"/>
              </w:rPr>
              <w:t>d. Arturo Krueger Vote on Other Matters</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1e. Dr. Randhir Thakur</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In their discretion, the proxy holders are authorized to vote upon such</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other business as may properly come before the Annual General Meeting.</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20" w:type="dxa"/>
            <w:vAlign w:val="bottom"/>
          </w:tcPr>
          <w:p>
            <w:pPr>
              <w:spacing w:after="0"/>
              <w:rPr>
                <w:sz w:val="3"/>
                <w:szCs w:val="3"/>
                <w:color w:val="auto"/>
              </w:rPr>
            </w:pPr>
          </w:p>
        </w:tc>
        <w:tc>
          <w:tcPr>
            <w:tcW w:w="3500" w:type="dxa"/>
            <w:vAlign w:val="bottom"/>
          </w:tcPr>
          <w:p>
            <w:pPr>
              <w:ind w:left="20"/>
              <w:spacing w:after="0"/>
              <w:rPr>
                <w:sz w:val="20"/>
                <w:szCs w:val="20"/>
                <w:color w:val="auto"/>
              </w:rPr>
            </w:pPr>
            <w:r>
              <w:rPr>
                <w:rFonts w:ascii="Arial" w:cs="Arial" w:eastAsia="Arial" w:hAnsi="Arial"/>
                <w:sz w:val="3"/>
                <w:szCs w:val="3"/>
                <w:color w:val="FFFFFF"/>
              </w:rPr>
              <w:t>is solicited on behalf of the Board of Directors of the Company.</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120" w:type="dxa"/>
            <w:vAlign w:val="bottom"/>
            <w:gridSpan w:val="2"/>
          </w:tcPr>
          <w:p>
            <w:pPr>
              <w:ind w:left="100"/>
              <w:spacing w:after="0"/>
              <w:rPr>
                <w:sz w:val="20"/>
                <w:szCs w:val="20"/>
                <w:color w:val="auto"/>
              </w:rPr>
            </w:pPr>
            <w:r>
              <w:rPr>
                <w:rFonts w:ascii="Arial" w:cs="Arial" w:eastAsia="Arial" w:hAnsi="Arial"/>
                <w:sz w:val="3"/>
                <w:szCs w:val="3"/>
                <w:color w:val="FFFFFF"/>
              </w:rPr>
              <w:t>his Proxy, when properly executed, will be voted in accordance with the</w:t>
            </w:r>
          </w:p>
        </w:tc>
        <w:tc>
          <w:tcPr>
            <w:tcW w:w="7300" w:type="dxa"/>
            <w:vAlign w:val="bottom"/>
            <w:vMerge w:val="restart"/>
          </w:tcPr>
          <w:p>
            <w:pPr>
              <w:jc w:val="center"/>
              <w:spacing w:after="0" w:line="81" w:lineRule="exact"/>
              <w:rPr>
                <w:sz w:val="20"/>
                <w:szCs w:val="20"/>
                <w:color w:val="auto"/>
              </w:rPr>
            </w:pPr>
            <w:r>
              <w:rPr>
                <w:rFonts w:ascii="Arial" w:cs="Arial" w:eastAsia="Arial" w:hAnsi="Arial"/>
                <w:sz w:val="9"/>
                <w:szCs w:val="9"/>
                <w:color w:val="FFFFFF"/>
              </w:rPr>
              <w:t>given above. If no instructions are given, this Proxy will be voted the right and indicate your new address in the space provided “FOR”</w:t>
            </w: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To change the address on your account, please check the box at</w:t>
            </w:r>
          </w:p>
        </w:tc>
        <w:tc>
          <w:tcPr>
            <w:tcW w:w="73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20" w:type="dxa"/>
            <w:vAlign w:val="bottom"/>
          </w:tcPr>
          <w:p>
            <w:pPr>
              <w:spacing w:after="0"/>
              <w:rPr>
                <w:sz w:val="20"/>
                <w:szCs w:val="20"/>
                <w:color w:val="auto"/>
              </w:rPr>
            </w:pPr>
            <w:r>
              <w:rPr>
                <w:rFonts w:ascii="Arial" w:cs="Arial" w:eastAsia="Arial" w:hAnsi="Arial"/>
                <w:sz w:val="3"/>
                <w:szCs w:val="3"/>
                <w:color w:val="FFFFFF"/>
              </w:rPr>
              <w:t>the</w:t>
            </w:r>
          </w:p>
        </w:tc>
        <w:tc>
          <w:tcPr>
            <w:tcW w:w="10800" w:type="dxa"/>
            <w:vAlign w:val="bottom"/>
            <w:gridSpan w:val="2"/>
          </w:tcPr>
          <w:p>
            <w:pPr>
              <w:ind w:left="40"/>
              <w:spacing w:after="0"/>
              <w:rPr>
                <w:sz w:val="20"/>
                <w:szCs w:val="20"/>
                <w:color w:val="auto"/>
              </w:rPr>
            </w:pPr>
            <w:r>
              <w:rPr>
                <w:rFonts w:ascii="Arial" w:cs="Arial" w:eastAsia="Arial" w:hAnsi="Arial"/>
                <w:sz w:val="3"/>
                <w:szCs w:val="3"/>
                <w:color w:val="FFFFFF"/>
              </w:rPr>
              <w:t>of all of the Director nominees listed in Proposal 1, instructionstheback where indicated. Please note that changes to the “FOR” Proposal 2, and “FOR” Proposal 3 at the Annual General Meeting. registered</w:t>
            </w: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nameselectionthe account may not be submitted via this method.</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420" w:type="dxa"/>
            <w:vAlign w:val="bottom"/>
            <w:gridSpan w:val="3"/>
          </w:tcPr>
          <w:p>
            <w:pPr>
              <w:ind w:left="80"/>
              <w:spacing w:after="0"/>
              <w:rPr>
                <w:sz w:val="20"/>
                <w:szCs w:val="20"/>
                <w:color w:val="auto"/>
              </w:rPr>
            </w:pPr>
            <w:r>
              <w:rPr>
                <w:rFonts w:ascii="Arial" w:cs="Arial" w:eastAsia="Arial" w:hAnsi="Arial"/>
                <w:sz w:val="3"/>
                <w:szCs w:val="3"/>
                <w:color w:val="FFFFFF"/>
              </w:rPr>
              <w:t>LEASE SIGN, DATE AND RETURN PROMPTLY IN THE ENCLOSED ENVELOPE.</w:t>
            </w:r>
          </w:p>
        </w:tc>
        <w:tc>
          <w:tcPr>
            <w:tcW w:w="0" w:type="dxa"/>
            <w:vAlign w:val="bottom"/>
          </w:tcPr>
          <w:p>
            <w:pPr>
              <w:spacing w:after="0"/>
              <w:rPr>
                <w:sz w:val="1"/>
                <w:szCs w:val="1"/>
                <w:color w:val="auto"/>
              </w:rPr>
            </w:pPr>
          </w:p>
        </w:tc>
      </w:tr>
      <w:tr>
        <w:trPr>
          <w:trHeight w:val="41"/>
        </w:trPr>
        <w:tc>
          <w:tcPr>
            <w:tcW w:w="4120" w:type="dxa"/>
            <w:vAlign w:val="bottom"/>
            <w:gridSpan w:val="2"/>
          </w:tcPr>
          <w:p>
            <w:pPr>
              <w:spacing w:after="0"/>
              <w:rPr>
                <w:sz w:val="20"/>
                <w:szCs w:val="20"/>
                <w:color w:val="auto"/>
              </w:rPr>
            </w:pPr>
            <w:r>
              <w:rPr>
                <w:rFonts w:ascii="Arial" w:cs="Arial" w:eastAsia="Arial" w:hAnsi="Arial"/>
                <w:sz w:val="3"/>
                <w:szCs w:val="3"/>
                <w:color w:val="FFFFFF"/>
              </w:rPr>
              <w:t>Please indicate if you plan to attend the Annual General Meeting.</w:t>
            </w:r>
          </w:p>
        </w:tc>
        <w:tc>
          <w:tcPr>
            <w:tcW w:w="73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20" w:type="dxa"/>
            <w:vAlign w:val="bottom"/>
          </w:tcPr>
          <w:p>
            <w:pPr>
              <w:spacing w:after="0"/>
              <w:rPr>
                <w:sz w:val="20"/>
                <w:szCs w:val="20"/>
                <w:color w:val="auto"/>
              </w:rPr>
            </w:pPr>
            <w:r>
              <w:rPr>
                <w:rFonts w:ascii="Arial" w:cs="Arial" w:eastAsia="Arial" w:hAnsi="Arial"/>
                <w:sz w:val="3"/>
                <w:szCs w:val="3"/>
                <w:color w:val="FFFFFF"/>
              </w:rPr>
              <w:t>Yes No</w:t>
            </w:r>
          </w:p>
        </w:tc>
        <w:tc>
          <w:tcPr>
            <w:tcW w:w="10800" w:type="dxa"/>
            <w:vAlign w:val="bottom"/>
            <w:gridSpan w:val="2"/>
            <w:vMerge w:val="restart"/>
          </w:tcPr>
          <w:p>
            <w:pPr>
              <w:ind w:left="440"/>
              <w:spacing w:after="0"/>
              <w:rPr>
                <w:sz w:val="20"/>
                <w:szCs w:val="20"/>
                <w:color w:val="auto"/>
              </w:rPr>
            </w:pPr>
            <w:r>
              <w:rPr>
                <w:rFonts w:ascii="Arial" w:cs="Arial" w:eastAsia="Arial" w:hAnsi="Arial"/>
                <w:sz w:val="3"/>
                <w:szCs w:val="3"/>
                <w:color w:val="FFFFFF"/>
              </w:rPr>
              <w:t>as your name(s) appear(s) h reon. When signing as attorney, executor, administrator, or other fiduciary, please give full title as such. Joint owners should each sign personally. All holders</w:t>
            </w:r>
          </w:p>
        </w:tc>
        <w:tc>
          <w:tcPr>
            <w:tcW w:w="0" w:type="dxa"/>
            <w:vAlign w:val="bottom"/>
          </w:tcPr>
          <w:p>
            <w:pPr>
              <w:spacing w:after="0"/>
              <w:rPr>
                <w:sz w:val="1"/>
                <w:szCs w:val="1"/>
                <w:color w:val="auto"/>
              </w:rPr>
            </w:pPr>
          </w:p>
        </w:tc>
      </w:tr>
      <w:tr>
        <w:trPr>
          <w:trHeight w:val="0"/>
        </w:trPr>
        <w:tc>
          <w:tcPr>
            <w:tcW w:w="620" w:type="dxa"/>
            <w:vAlign w:val="bottom"/>
          </w:tcPr>
          <w:p>
            <w:pPr>
              <w:spacing w:after="0" w:line="80" w:lineRule="exact"/>
              <w:rPr>
                <w:sz w:val="20"/>
                <w:szCs w:val="20"/>
                <w:color w:val="auto"/>
              </w:rPr>
            </w:pPr>
            <w:r>
              <w:rPr>
                <w:rFonts w:ascii="Arial" w:cs="Arial" w:eastAsia="Arial" w:hAnsi="Arial"/>
                <w:sz w:val="9"/>
                <w:szCs w:val="9"/>
                <w:color w:val="FFFFFF"/>
              </w:rPr>
              <w:t>Please sign</w:t>
            </w:r>
          </w:p>
        </w:tc>
        <w:tc>
          <w:tcPr>
            <w:tcW w:w="1080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640"/>
        <w:spacing w:after="0" w:line="25" w:lineRule="auto"/>
        <w:tabs>
          <w:tab w:leader="none" w:pos="2280" w:val="left"/>
        </w:tabs>
        <w:rPr>
          <w:sz w:val="20"/>
          <w:szCs w:val="20"/>
          <w:color w:val="auto"/>
        </w:rPr>
      </w:pPr>
      <w:r>
        <w:rPr>
          <w:rFonts w:ascii="Arial" w:cs="Arial" w:eastAsia="Arial" w:hAnsi="Arial"/>
          <w:sz w:val="1"/>
          <w:szCs w:val="1"/>
          <w:color w:val="FFFFFF"/>
        </w:rPr>
        <w:t>exactly</w:t>
      </w:r>
      <w:r>
        <w:rPr>
          <w:sz w:val="20"/>
          <w:szCs w:val="20"/>
          <w:color w:val="auto"/>
        </w:rPr>
        <w:tab/>
      </w:r>
      <w:r>
        <w:rPr>
          <w:rFonts w:ascii="Arial" w:cs="Arial" w:eastAsia="Arial" w:hAnsi="Arial"/>
          <w:sz w:val="1"/>
          <w:szCs w:val="1"/>
          <w:color w:val="FFFFFF"/>
        </w:rPr>
        <w:t>please</w:t>
      </w:r>
    </w:p>
    <w:p>
      <w:pPr>
        <w:spacing w:after="0"/>
        <w:tabs>
          <w:tab w:leader="none" w:pos="2640" w:val="left"/>
        </w:tabs>
        <w:rPr>
          <w:sz w:val="20"/>
          <w:szCs w:val="20"/>
          <w:color w:val="auto"/>
        </w:rPr>
      </w:pPr>
      <w:r>
        <w:rPr>
          <w:rFonts w:ascii="Arial" w:cs="Arial" w:eastAsia="Arial" w:hAnsi="Arial"/>
          <w:sz w:val="3"/>
          <w:szCs w:val="3"/>
          <w:color w:val="FFFFFF"/>
        </w:rPr>
        <w:t>Signaturemustsign.[PLEASEIfcorporationSIGN orWITHINpartnership,BOX]</w:t>
      </w:r>
      <w:r>
        <w:rPr>
          <w:sz w:val="20"/>
          <w:szCs w:val="20"/>
          <w:color w:val="auto"/>
        </w:rPr>
        <w:tab/>
      </w:r>
      <w:r>
        <w:rPr>
          <w:rFonts w:ascii="Arial" w:cs="Arial" w:eastAsia="Arial" w:hAnsi="Arial"/>
          <w:sz w:val="3"/>
          <w:szCs w:val="3"/>
          <w:color w:val="FFFFFF"/>
        </w:rPr>
        <w:t>sign in full corporate or partnership name by authorized officer.</w:t>
      </w:r>
    </w:p>
    <w:p>
      <w:pPr>
        <w:spacing w:after="0" w:line="194" w:lineRule="auto"/>
        <w:rPr>
          <w:sz w:val="20"/>
          <w:szCs w:val="20"/>
          <w:color w:val="auto"/>
        </w:rPr>
      </w:pPr>
      <w:r>
        <w:rPr>
          <w:rFonts w:ascii="Arial" w:cs="Arial" w:eastAsia="Arial" w:hAnsi="Arial"/>
          <w:sz w:val="5"/>
          <w:szCs w:val="5"/>
          <w:color w:val="FFFFFF"/>
        </w:rPr>
        <w:t>Date</w:t>
      </w:r>
    </w:p>
    <w:p>
      <w:pPr>
        <w:spacing w:after="0"/>
        <w:rPr>
          <w:sz w:val="20"/>
          <w:szCs w:val="20"/>
          <w:color w:val="auto"/>
        </w:rPr>
      </w:pPr>
      <w:r>
        <w:rPr>
          <w:rFonts w:ascii="Arial" w:cs="Arial" w:eastAsia="Arial" w:hAnsi="Arial"/>
          <w:sz w:val="3"/>
          <w:szCs w:val="3"/>
          <w:color w:val="FFFFFF"/>
        </w:rPr>
        <w:t>Signature (Joint Owners)</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Date</w:t>
      </w:r>
    </w:p>
    <w:p>
      <w:pPr>
        <w:sectPr>
          <w:pgSz w:w="11900" w:h="16838" w:orient="portrait"/>
          <w:cols w:equalWidth="0" w:num="1">
            <w:col w:w="11420"/>
          </w:cols>
          <w:pgMar w:left="240" w:top="459" w:right="239" w:bottom="1440" w:gutter="0" w:footer="0" w:header="0"/>
          <w:type w:val="continuous"/>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819785</wp:posOffset>
            </wp:positionH>
            <wp:positionV relativeFrom="paragraph">
              <wp:posOffset>205740</wp:posOffset>
            </wp:positionV>
            <wp:extent cx="5617210" cy="643191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5617210" cy="64319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2740" w:type="dxa"/>
            <w:vAlign w:val="bottom"/>
          </w:tcPr>
          <w:p>
            <w:pPr>
              <w:ind w:left="100"/>
              <w:spacing w:after="0"/>
              <w:rPr>
                <w:sz w:val="20"/>
                <w:szCs w:val="20"/>
                <w:color w:val="auto"/>
              </w:rPr>
            </w:pPr>
            <w:r>
              <w:rPr>
                <w:rFonts w:ascii="Arial" w:cs="Arial" w:eastAsia="Arial" w:hAnsi="Arial"/>
                <w:sz w:val="14"/>
                <w:szCs w:val="14"/>
                <w:color w:val="FFFFFF"/>
              </w:rPr>
              <w:t>ANNUAL GENERAL MEETING OF</w:t>
            </w:r>
          </w:p>
        </w:tc>
        <w:tc>
          <w:tcPr>
            <w:tcW w:w="560" w:type="dxa"/>
            <w:vAlign w:val="bottom"/>
          </w:tcPr>
          <w:p>
            <w:pPr>
              <w:spacing w:after="0"/>
              <w:rPr>
                <w:sz w:val="14"/>
                <w:szCs w:val="14"/>
                <w:color w:val="auto"/>
              </w:rPr>
            </w:pPr>
          </w:p>
        </w:tc>
        <w:tc>
          <w:tcPr>
            <w:tcW w:w="4160" w:type="dxa"/>
            <w:vAlign w:val="bottom"/>
          </w:tcPr>
          <w:p>
            <w:pPr>
              <w:ind w:left="20"/>
              <w:spacing w:after="0"/>
              <w:rPr>
                <w:sz w:val="20"/>
                <w:szCs w:val="20"/>
                <w:color w:val="auto"/>
              </w:rPr>
            </w:pPr>
            <w:r>
              <w:rPr>
                <w:rFonts w:ascii="Arial" w:cs="Arial" w:eastAsia="Arial" w:hAnsi="Arial"/>
                <w:sz w:val="14"/>
                <w:szCs w:val="14"/>
                <w:color w:val="FFFFFF"/>
              </w:rPr>
              <w:t>OF</w:t>
            </w:r>
          </w:p>
        </w:tc>
      </w:tr>
      <w:tr>
        <w:trPr>
          <w:trHeight w:val="81"/>
        </w:trPr>
        <w:tc>
          <w:tcPr>
            <w:tcW w:w="2060" w:type="dxa"/>
            <w:vAlign w:val="bottom"/>
          </w:tcPr>
          <w:p>
            <w:pPr>
              <w:spacing w:after="0"/>
              <w:rPr>
                <w:sz w:val="7"/>
                <w:szCs w:val="7"/>
                <w:color w:val="auto"/>
              </w:rPr>
            </w:pPr>
          </w:p>
        </w:tc>
        <w:tc>
          <w:tcPr>
            <w:tcW w:w="1860" w:type="dxa"/>
            <w:vAlign w:val="bottom"/>
          </w:tcPr>
          <w:p>
            <w:pPr>
              <w:spacing w:after="0"/>
              <w:rPr>
                <w:sz w:val="7"/>
                <w:szCs w:val="7"/>
                <w:color w:val="auto"/>
              </w:rPr>
            </w:pPr>
          </w:p>
        </w:tc>
        <w:tc>
          <w:tcPr>
            <w:tcW w:w="3300" w:type="dxa"/>
            <w:vAlign w:val="bottom"/>
            <w:gridSpan w:val="2"/>
          </w:tcPr>
          <w:p>
            <w:pPr>
              <w:ind w:left="600"/>
              <w:spacing w:after="0" w:line="81" w:lineRule="exact"/>
              <w:rPr>
                <w:sz w:val="20"/>
                <w:szCs w:val="20"/>
                <w:color w:val="auto"/>
              </w:rPr>
            </w:pPr>
            <w:r>
              <w:rPr>
                <w:rFonts w:ascii="Arial" w:cs="Arial" w:eastAsia="Arial" w:hAnsi="Arial"/>
                <w:sz w:val="7"/>
                <w:szCs w:val="7"/>
                <w:color w:val="FFFFFF"/>
              </w:rPr>
              <w:t xml:space="preserve">MARVELL </w:t>
            </w:r>
            <w:r>
              <w:rPr>
                <w:rFonts w:ascii="Arial" w:cs="Arial" w:eastAsia="Arial" w:hAnsi="Arial"/>
                <w:sz w:val="9"/>
                <w:szCs w:val="9"/>
                <w:color w:val="FFFFFF"/>
                <w:vertAlign w:val="subscript"/>
              </w:rPr>
              <w:t>TECHNOLOGYJUL1,2014</w:t>
            </w:r>
            <w:r>
              <w:rPr>
                <w:rFonts w:ascii="Arial" w:cs="Arial" w:eastAsia="Arial" w:hAnsi="Arial"/>
                <w:sz w:val="7"/>
                <w:szCs w:val="7"/>
                <w:color w:val="FFFFFF"/>
              </w:rPr>
              <w:t xml:space="preserve"> SHAREHOLDERSGROUPTD.</w:t>
            </w:r>
          </w:p>
        </w:tc>
        <w:tc>
          <w:tcPr>
            <w:tcW w:w="4160" w:type="dxa"/>
            <w:vAlign w:val="bottom"/>
          </w:tcPr>
          <w:p>
            <w:pPr>
              <w:spacing w:after="0"/>
              <w:rPr>
                <w:sz w:val="7"/>
                <w:szCs w:val="7"/>
                <w:color w:val="auto"/>
              </w:rPr>
            </w:pPr>
          </w:p>
        </w:tc>
      </w:tr>
      <w:tr>
        <w:trPr>
          <w:trHeight w:val="41"/>
        </w:trPr>
        <w:tc>
          <w:tcPr>
            <w:tcW w:w="6660" w:type="dxa"/>
            <w:vAlign w:val="bottom"/>
            <w:gridSpan w:val="3"/>
          </w:tcPr>
          <w:p>
            <w:pPr>
              <w:spacing w:after="0"/>
              <w:rPr>
                <w:sz w:val="20"/>
                <w:szCs w:val="20"/>
                <w:color w:val="auto"/>
              </w:rPr>
            </w:pPr>
            <w:r>
              <w:rPr>
                <w:rFonts w:ascii="Arial" w:cs="Arial" w:eastAsia="Arial" w:hAnsi="Arial"/>
                <w:sz w:val="3"/>
                <w:szCs w:val="3"/>
                <w:color w:val="FFFFFF"/>
              </w:rPr>
              <w:t>Please date, sign and mail this proxy card in the postage-paid return-addressed envelope provided as soon as possible.</w:t>
            </w:r>
          </w:p>
        </w:tc>
        <w:tc>
          <w:tcPr>
            <w:tcW w:w="560" w:type="dxa"/>
            <w:vAlign w:val="bottom"/>
          </w:tcPr>
          <w:p>
            <w:pPr>
              <w:spacing w:after="0"/>
              <w:rPr>
                <w:sz w:val="3"/>
                <w:szCs w:val="3"/>
                <w:color w:val="auto"/>
              </w:rPr>
            </w:pPr>
          </w:p>
        </w:tc>
        <w:tc>
          <w:tcPr>
            <w:tcW w:w="4160" w:type="dxa"/>
            <w:vAlign w:val="bottom"/>
          </w:tcPr>
          <w:p>
            <w:pPr>
              <w:spacing w:after="0"/>
              <w:rPr>
                <w:sz w:val="3"/>
                <w:szCs w:val="3"/>
                <w:color w:val="auto"/>
              </w:rPr>
            </w:pPr>
          </w:p>
        </w:tc>
      </w:tr>
      <w:tr>
        <w:trPr>
          <w:trHeight w:val="41"/>
        </w:trPr>
        <w:tc>
          <w:tcPr>
            <w:tcW w:w="6660" w:type="dxa"/>
            <w:vAlign w:val="bottom"/>
            <w:gridSpan w:val="3"/>
          </w:tcPr>
          <w:p>
            <w:pPr>
              <w:spacing w:after="0"/>
              <w:rPr>
                <w:sz w:val="20"/>
                <w:szCs w:val="20"/>
                <w:color w:val="auto"/>
              </w:rPr>
            </w:pPr>
            <w:r>
              <w:rPr>
                <w:rFonts w:ascii="Arial" w:cs="Arial" w:eastAsia="Arial" w:hAnsi="Arial"/>
                <w:sz w:val="3"/>
                <w:szCs w:val="3"/>
                <w:color w:val="FFFFFF"/>
              </w:rPr>
              <w:t>Important Notice Regarding the Availability of Proxy Materials for the Annual General Meeting:</w:t>
            </w:r>
          </w:p>
        </w:tc>
        <w:tc>
          <w:tcPr>
            <w:tcW w:w="560" w:type="dxa"/>
            <w:vAlign w:val="bottom"/>
          </w:tcPr>
          <w:p>
            <w:pPr>
              <w:spacing w:after="0"/>
              <w:rPr>
                <w:sz w:val="3"/>
                <w:szCs w:val="3"/>
                <w:color w:val="auto"/>
              </w:rPr>
            </w:pPr>
          </w:p>
        </w:tc>
        <w:tc>
          <w:tcPr>
            <w:tcW w:w="4160" w:type="dxa"/>
            <w:vAlign w:val="bottom"/>
          </w:tcPr>
          <w:p>
            <w:pPr>
              <w:spacing w:after="0"/>
              <w:rPr>
                <w:sz w:val="3"/>
                <w:szCs w:val="3"/>
                <w:color w:val="auto"/>
              </w:rPr>
            </w:pPr>
          </w:p>
        </w:tc>
      </w:tr>
      <w:tr>
        <w:trPr>
          <w:trHeight w:val="41"/>
        </w:trPr>
        <w:tc>
          <w:tcPr>
            <w:tcW w:w="6660" w:type="dxa"/>
            <w:vAlign w:val="bottom"/>
            <w:gridSpan w:val="3"/>
          </w:tcPr>
          <w:p>
            <w:pPr>
              <w:spacing w:after="0"/>
              <w:rPr>
                <w:sz w:val="20"/>
                <w:szCs w:val="20"/>
                <w:color w:val="auto"/>
              </w:rPr>
            </w:pPr>
            <w:r>
              <w:rPr>
                <w:rFonts w:ascii="Arial" w:cs="Arial" w:eastAsia="Arial" w:hAnsi="Arial"/>
                <w:sz w:val="3"/>
                <w:szCs w:val="3"/>
                <w:color w:val="FFFFFF"/>
              </w:rPr>
              <w:t>The Notice and Proxy Statement, Form 10-K and Shareholder Letter are available at www.marvellproxy.com.</w:t>
            </w:r>
          </w:p>
        </w:tc>
        <w:tc>
          <w:tcPr>
            <w:tcW w:w="560" w:type="dxa"/>
            <w:vAlign w:val="bottom"/>
          </w:tcPr>
          <w:p>
            <w:pPr>
              <w:spacing w:after="0"/>
              <w:rPr>
                <w:sz w:val="3"/>
                <w:szCs w:val="3"/>
                <w:color w:val="auto"/>
              </w:rPr>
            </w:pPr>
          </w:p>
        </w:tc>
        <w:tc>
          <w:tcPr>
            <w:tcW w:w="4160" w:type="dxa"/>
            <w:vAlign w:val="bottom"/>
          </w:tcPr>
          <w:p>
            <w:pPr>
              <w:spacing w:after="0"/>
              <w:rPr>
                <w:sz w:val="3"/>
                <w:szCs w:val="3"/>
                <w:color w:val="auto"/>
              </w:rPr>
            </w:pPr>
          </w:p>
        </w:tc>
      </w:tr>
      <w:tr>
        <w:trPr>
          <w:trHeight w:val="41"/>
        </w:trPr>
        <w:tc>
          <w:tcPr>
            <w:tcW w:w="3920" w:type="dxa"/>
            <w:vAlign w:val="bottom"/>
            <w:gridSpan w:val="2"/>
          </w:tcPr>
          <w:p>
            <w:pPr>
              <w:spacing w:after="0"/>
              <w:rPr>
                <w:sz w:val="20"/>
                <w:szCs w:val="20"/>
                <w:color w:val="auto"/>
              </w:rPr>
            </w:pPr>
            <w:r>
              <w:rPr>
                <w:rFonts w:ascii="Arial" w:cs="Arial" w:eastAsia="Arial" w:hAnsi="Arial"/>
                <w:sz w:val="3"/>
                <w:szCs w:val="3"/>
                <w:color w:val="FFFFFF"/>
              </w:rPr>
              <w:t>Please detach along perforated line and mail in the envelope provided.</w:t>
            </w:r>
          </w:p>
        </w:tc>
        <w:tc>
          <w:tcPr>
            <w:tcW w:w="27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160" w:type="dxa"/>
            <w:vAlign w:val="bottom"/>
          </w:tcPr>
          <w:p>
            <w:pPr>
              <w:spacing w:after="0"/>
              <w:rPr>
                <w:sz w:val="3"/>
                <w:szCs w:val="3"/>
                <w:color w:val="auto"/>
              </w:rPr>
            </w:pPr>
          </w:p>
        </w:tc>
      </w:tr>
      <w:tr>
        <w:trPr>
          <w:trHeight w:val="81"/>
        </w:trPr>
        <w:tc>
          <w:tcPr>
            <w:tcW w:w="2060" w:type="dxa"/>
            <w:vAlign w:val="bottom"/>
          </w:tcPr>
          <w:p>
            <w:pPr>
              <w:spacing w:after="0" w:line="81" w:lineRule="exact"/>
              <w:rPr>
                <w:sz w:val="20"/>
                <w:szCs w:val="20"/>
                <w:color w:val="auto"/>
              </w:rPr>
            </w:pPr>
            <w:r>
              <w:rPr>
                <w:rFonts w:ascii="Arial" w:cs="Arial" w:eastAsia="Arial" w:hAnsi="Arial"/>
                <w:sz w:val="9"/>
                <w:szCs w:val="9"/>
                <w:color w:val="FFFFFF"/>
              </w:rPr>
              <w:t>M75250-P50663</w:t>
            </w:r>
          </w:p>
        </w:tc>
        <w:tc>
          <w:tcPr>
            <w:tcW w:w="1860" w:type="dxa"/>
            <w:vAlign w:val="bottom"/>
          </w:tcPr>
          <w:p>
            <w:pPr>
              <w:spacing w:after="0"/>
              <w:rPr>
                <w:sz w:val="7"/>
                <w:szCs w:val="7"/>
                <w:color w:val="auto"/>
              </w:rPr>
            </w:pPr>
          </w:p>
        </w:tc>
        <w:tc>
          <w:tcPr>
            <w:tcW w:w="2740" w:type="dxa"/>
            <w:vAlign w:val="bottom"/>
          </w:tcPr>
          <w:p>
            <w:pPr>
              <w:ind w:left="600"/>
              <w:spacing w:after="0" w:line="81" w:lineRule="exact"/>
              <w:rPr>
                <w:sz w:val="20"/>
                <w:szCs w:val="20"/>
                <w:color w:val="auto"/>
              </w:rPr>
            </w:pPr>
            <w:r>
              <w:rPr>
                <w:rFonts w:ascii="Arial" w:cs="Arial" w:eastAsia="Arial" w:hAnsi="Arial"/>
                <w:sz w:val="9"/>
                <w:szCs w:val="9"/>
                <w:color w:val="FFFFFF"/>
              </w:rPr>
              <w:t>MARVELL TECHNOLOGY GROUP</w:t>
            </w:r>
          </w:p>
        </w:tc>
        <w:tc>
          <w:tcPr>
            <w:tcW w:w="560" w:type="dxa"/>
            <w:vAlign w:val="bottom"/>
          </w:tcPr>
          <w:p>
            <w:pPr>
              <w:ind w:left="40"/>
              <w:spacing w:after="0" w:line="81" w:lineRule="exact"/>
              <w:rPr>
                <w:sz w:val="20"/>
                <w:szCs w:val="20"/>
                <w:color w:val="auto"/>
              </w:rPr>
            </w:pPr>
            <w:r>
              <w:rPr>
                <w:rFonts w:ascii="Arial" w:cs="Arial" w:eastAsia="Arial" w:hAnsi="Arial"/>
                <w:sz w:val="9"/>
                <w:szCs w:val="9"/>
                <w:color w:val="FFFFFF"/>
              </w:rPr>
              <w:t>TD.</w:t>
            </w:r>
          </w:p>
        </w:tc>
        <w:tc>
          <w:tcPr>
            <w:tcW w:w="4160" w:type="dxa"/>
            <w:vAlign w:val="bottom"/>
          </w:tcPr>
          <w:p>
            <w:pPr>
              <w:spacing w:after="0"/>
              <w:rPr>
                <w:sz w:val="7"/>
                <w:szCs w:val="7"/>
                <w:color w:val="auto"/>
              </w:rPr>
            </w:pPr>
          </w:p>
        </w:tc>
      </w:tr>
      <w:tr>
        <w:trPr>
          <w:trHeight w:val="41"/>
        </w:trPr>
        <w:tc>
          <w:tcPr>
            <w:tcW w:w="2060" w:type="dxa"/>
            <w:vAlign w:val="bottom"/>
          </w:tcPr>
          <w:p>
            <w:pPr>
              <w:spacing w:after="0"/>
              <w:rPr>
                <w:sz w:val="3"/>
                <w:szCs w:val="3"/>
                <w:color w:val="auto"/>
              </w:rPr>
            </w:pPr>
          </w:p>
        </w:tc>
        <w:tc>
          <w:tcPr>
            <w:tcW w:w="1860" w:type="dxa"/>
            <w:vAlign w:val="bottom"/>
          </w:tcPr>
          <w:p>
            <w:pPr>
              <w:spacing w:after="0"/>
              <w:rPr>
                <w:sz w:val="3"/>
                <w:szCs w:val="3"/>
                <w:color w:val="auto"/>
              </w:rPr>
            </w:pPr>
          </w:p>
        </w:tc>
        <w:tc>
          <w:tcPr>
            <w:tcW w:w="7460" w:type="dxa"/>
            <w:vAlign w:val="bottom"/>
            <w:gridSpan w:val="3"/>
          </w:tcPr>
          <w:p>
            <w:pPr>
              <w:jc w:val="center"/>
              <w:ind w:right="3812"/>
              <w:spacing w:after="0"/>
              <w:rPr>
                <w:sz w:val="20"/>
                <w:szCs w:val="20"/>
                <w:color w:val="auto"/>
              </w:rPr>
            </w:pPr>
            <w:r>
              <w:rPr>
                <w:rFonts w:ascii="Arial" w:cs="Arial" w:eastAsia="Arial" w:hAnsi="Arial"/>
                <w:sz w:val="3"/>
                <w:szCs w:val="3"/>
                <w:color w:val="FFFFFF"/>
              </w:rPr>
              <w:t>ANNUAL GENERAL MEETING OF SHAREHOLDERS</w:t>
            </w:r>
          </w:p>
        </w:tc>
      </w:tr>
      <w:tr>
        <w:trPr>
          <w:trHeight w:val="41"/>
        </w:trPr>
        <w:tc>
          <w:tcPr>
            <w:tcW w:w="2060" w:type="dxa"/>
            <w:vAlign w:val="bottom"/>
          </w:tcPr>
          <w:p>
            <w:pPr>
              <w:spacing w:after="0"/>
              <w:rPr>
                <w:sz w:val="3"/>
                <w:szCs w:val="3"/>
                <w:color w:val="auto"/>
              </w:rPr>
            </w:pPr>
          </w:p>
        </w:tc>
        <w:tc>
          <w:tcPr>
            <w:tcW w:w="1860" w:type="dxa"/>
            <w:vAlign w:val="bottom"/>
          </w:tcPr>
          <w:p>
            <w:pPr>
              <w:spacing w:after="0"/>
              <w:rPr>
                <w:sz w:val="3"/>
                <w:szCs w:val="3"/>
                <w:color w:val="auto"/>
              </w:rPr>
            </w:pPr>
          </w:p>
        </w:tc>
        <w:tc>
          <w:tcPr>
            <w:tcW w:w="3300" w:type="dxa"/>
            <w:vAlign w:val="bottom"/>
            <w:gridSpan w:val="2"/>
          </w:tcPr>
          <w:p>
            <w:pPr>
              <w:ind w:left="640"/>
              <w:spacing w:after="0"/>
              <w:rPr>
                <w:sz w:val="20"/>
                <w:szCs w:val="20"/>
                <w:color w:val="auto"/>
              </w:rPr>
            </w:pPr>
            <w:r>
              <w:rPr>
                <w:rFonts w:ascii="Arial" w:cs="Arial" w:eastAsia="Arial" w:hAnsi="Arial"/>
                <w:sz w:val="3"/>
                <w:szCs w:val="3"/>
                <w:color w:val="FFFFFF"/>
              </w:rPr>
              <w:t>O BE HELD ON TUESDAY, JULY 1, 2014</w:t>
            </w:r>
          </w:p>
        </w:tc>
        <w:tc>
          <w:tcPr>
            <w:tcW w:w="4160" w:type="dxa"/>
            <w:vAlign w:val="bottom"/>
          </w:tcPr>
          <w:p>
            <w:pPr>
              <w:spacing w:after="0"/>
              <w:rPr>
                <w:sz w:val="3"/>
                <w:szCs w:val="3"/>
                <w:color w:val="auto"/>
              </w:rPr>
            </w:pPr>
          </w:p>
        </w:tc>
      </w:tr>
      <w:tr>
        <w:trPr>
          <w:trHeight w:val="41"/>
        </w:trPr>
        <w:tc>
          <w:tcPr>
            <w:tcW w:w="2060" w:type="dxa"/>
            <w:vAlign w:val="bottom"/>
          </w:tcPr>
          <w:p>
            <w:pPr>
              <w:spacing w:after="0"/>
              <w:rPr>
                <w:sz w:val="3"/>
                <w:szCs w:val="3"/>
                <w:color w:val="auto"/>
              </w:rPr>
            </w:pPr>
          </w:p>
        </w:tc>
        <w:tc>
          <w:tcPr>
            <w:tcW w:w="9320" w:type="dxa"/>
            <w:vAlign w:val="bottom"/>
            <w:gridSpan w:val="4"/>
          </w:tcPr>
          <w:p>
            <w:pPr>
              <w:jc w:val="center"/>
              <w:ind w:right="1952"/>
              <w:spacing w:after="0"/>
              <w:rPr>
                <w:sz w:val="20"/>
                <w:szCs w:val="20"/>
                <w:color w:val="auto"/>
              </w:rPr>
            </w:pPr>
            <w:r>
              <w:rPr>
                <w:rFonts w:ascii="Arial" w:cs="Arial" w:eastAsia="Arial" w:hAnsi="Arial"/>
                <w:sz w:val="3"/>
                <w:szCs w:val="3"/>
                <w:color w:val="FFFFFF"/>
              </w:rPr>
              <w:t>THIS PROXY IS SOLICITED ON BEHALF OF THE BOARD OF DIRECTORS</w:t>
            </w:r>
          </w:p>
        </w:tc>
      </w:tr>
      <w:tr>
        <w:trPr>
          <w:trHeight w:val="41"/>
        </w:trPr>
        <w:tc>
          <w:tcPr>
            <w:tcW w:w="11380" w:type="dxa"/>
            <w:vAlign w:val="bottom"/>
            <w:gridSpan w:val="5"/>
          </w:tcPr>
          <w:p>
            <w:pPr>
              <w:spacing w:after="0"/>
              <w:rPr>
                <w:sz w:val="20"/>
                <w:szCs w:val="20"/>
                <w:color w:val="auto"/>
              </w:rPr>
            </w:pPr>
            <w:r>
              <w:rPr>
                <w:rFonts w:ascii="Arial" w:cs="Arial" w:eastAsia="Arial" w:hAnsi="Arial"/>
                <w:sz w:val="3"/>
                <w:szCs w:val="3"/>
                <w:color w:val="FFFFFF"/>
              </w:rPr>
              <w:t>The undersigned hereby appoints Sehat Sutardja, Ph.D. and Michael Rashkin, and each of them, with full power of substitution, as proxies to represent the undersigned and vote as designated on the reverse side,</w:t>
            </w:r>
          </w:p>
        </w:tc>
      </w:tr>
      <w:tr>
        <w:trPr>
          <w:trHeight w:val="41"/>
        </w:trPr>
        <w:tc>
          <w:tcPr>
            <w:tcW w:w="11380" w:type="dxa"/>
            <w:vAlign w:val="bottom"/>
            <w:gridSpan w:val="5"/>
          </w:tcPr>
          <w:p>
            <w:pPr>
              <w:spacing w:after="0"/>
              <w:rPr>
                <w:sz w:val="20"/>
                <w:szCs w:val="20"/>
                <w:color w:val="auto"/>
              </w:rPr>
            </w:pPr>
            <w:r>
              <w:rPr>
                <w:rFonts w:ascii="Arial" w:cs="Arial" w:eastAsia="Arial" w:hAnsi="Arial"/>
                <w:sz w:val="3"/>
                <w:szCs w:val="3"/>
                <w:color w:val="FFFFFF"/>
              </w:rPr>
              <w:t>all the common shares of Marvell Technology Group Ltd. held of record by the undersigned on Friday May 2, 2014 at the Annual General Meeting   Shareholders to be held at 4:00 p.m. (Pacific time) at the</w:t>
            </w:r>
          </w:p>
        </w:tc>
      </w:tr>
      <w:tr>
        <w:trPr>
          <w:trHeight w:val="41"/>
        </w:trPr>
        <w:tc>
          <w:tcPr>
            <w:tcW w:w="11380" w:type="dxa"/>
            <w:vAlign w:val="bottom"/>
            <w:gridSpan w:val="5"/>
          </w:tcPr>
          <w:p>
            <w:pPr>
              <w:spacing w:after="0"/>
              <w:rPr>
                <w:sz w:val="20"/>
                <w:szCs w:val="20"/>
                <w:color w:val="auto"/>
              </w:rPr>
            </w:pPr>
            <w:r>
              <w:rPr>
                <w:rFonts w:ascii="Arial" w:cs="Arial" w:eastAsia="Arial" w:hAnsi="Arial"/>
                <w:sz w:val="3"/>
                <w:szCs w:val="3"/>
                <w:color w:val="FFFFFF"/>
              </w:rPr>
              <w:t>Hyatt Regency Hotel, 5101 Great America Parkway, Santa Clara, California 95054 on Tuesday, July 1, 2014, or any adjournment or postponement thereof.</w:t>
            </w:r>
          </w:p>
        </w:tc>
      </w:tr>
      <w:tr>
        <w:trPr>
          <w:trHeight w:val="81"/>
        </w:trPr>
        <w:tc>
          <w:tcPr>
            <w:tcW w:w="2060" w:type="dxa"/>
            <w:vAlign w:val="bottom"/>
          </w:tcPr>
          <w:p>
            <w:pPr>
              <w:spacing w:after="0" w:line="81" w:lineRule="exact"/>
              <w:rPr>
                <w:sz w:val="20"/>
                <w:szCs w:val="20"/>
                <w:color w:val="auto"/>
              </w:rPr>
            </w:pPr>
            <w:r>
              <w:rPr>
                <w:rFonts w:ascii="Arial" w:cs="Arial" w:eastAsia="Arial" w:hAnsi="Arial"/>
                <w:sz w:val="9"/>
                <w:szCs w:val="9"/>
                <w:color w:val="FFFFFF"/>
              </w:rPr>
              <w:t>Address Changes:</w:t>
            </w:r>
          </w:p>
        </w:tc>
        <w:tc>
          <w:tcPr>
            <w:tcW w:w="9320" w:type="dxa"/>
            <w:vAlign w:val="bottom"/>
            <w:gridSpan w:val="4"/>
          </w:tcPr>
          <w:p>
            <w:pPr>
              <w:jc w:val="center"/>
              <w:ind w:right="1952"/>
              <w:spacing w:after="0" w:line="81" w:lineRule="exact"/>
              <w:rPr>
                <w:sz w:val="20"/>
                <w:szCs w:val="20"/>
                <w:color w:val="auto"/>
              </w:rPr>
            </w:pPr>
            <w:r>
              <w:rPr>
                <w:rFonts w:ascii="Arial" w:cs="Arial" w:eastAsia="Arial" w:hAnsi="Arial"/>
                <w:sz w:val="9"/>
                <w:szCs w:val="9"/>
                <w:color w:val="FFFFFF"/>
              </w:rPr>
              <w:t>(If you noted any Address Changes above, please mark corresponding box on the reverse side.)</w:t>
            </w:r>
          </w:p>
        </w:tc>
      </w:tr>
      <w:tr>
        <w:trPr>
          <w:trHeight w:val="172"/>
        </w:trPr>
        <w:tc>
          <w:tcPr>
            <w:tcW w:w="20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3300" w:type="dxa"/>
            <w:vAlign w:val="bottom"/>
            <w:gridSpan w:val="2"/>
          </w:tcPr>
          <w:p>
            <w:pPr>
              <w:jc w:val="center"/>
              <w:ind w:left="258"/>
              <w:spacing w:after="0"/>
              <w:rPr>
                <w:sz w:val="20"/>
                <w:szCs w:val="20"/>
                <w:color w:val="auto"/>
              </w:rPr>
            </w:pPr>
            <w:r>
              <w:rPr>
                <w:rFonts w:ascii="Arial" w:cs="Arial" w:eastAsia="Arial" w:hAnsi="Arial"/>
                <w:sz w:val="14"/>
                <w:szCs w:val="14"/>
                <w:color w:val="FFFFFF"/>
                <w:w w:val="85"/>
              </w:rPr>
              <w:t>Continued and to be signed on reverse side</w:t>
            </w:r>
          </w:p>
        </w:tc>
        <w:tc>
          <w:tcPr>
            <w:tcW w:w="4160" w:type="dxa"/>
            <w:vAlign w:val="bottom"/>
          </w:tcPr>
          <w:p>
            <w:pPr>
              <w:spacing w:after="0"/>
              <w:rPr>
                <w:sz w:val="14"/>
                <w:szCs w:val="14"/>
                <w:color w:val="auto"/>
              </w:rPr>
            </w:pPr>
          </w:p>
        </w:tc>
      </w:tr>
    </w:tbl>
    <w:p>
      <w:pPr>
        <w:spacing w:after="0" w:line="1" w:lineRule="exact"/>
        <w:rPr>
          <w:sz w:val="20"/>
          <w:szCs w:val="20"/>
          <w:color w:val="auto"/>
        </w:rPr>
      </w:pPr>
    </w:p>
    <w:sectPr>
      <w:pgSz w:w="11900" w:h="16838" w:orient="portrait"/>
      <w:cols w:equalWidth="0" w:num="1">
        <w:col w:w="11380"/>
      </w:cols>
      <w:pgMar w:left="240" w:top="459"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84A481A"/>
    <w:multiLevelType w:val="hybridMultilevel"/>
    <w:lvl w:ilvl="0">
      <w:lvlJc w:val="left"/>
      <w:lvlText w:val="☐"/>
      <w:numFmt w:val="bullet"/>
      <w:start w:val="1"/>
    </w:lvl>
  </w:abstractNum>
  <w:abstractNum w:abstractNumId="1">
    <w:nsid w:val="579478FE"/>
    <w:multiLevelType w:val="hybridMultilevel"/>
    <w:lvl w:ilvl="0">
      <w:lvlJc w:val="left"/>
      <w:lvlText w:val="☒"/>
      <w:numFmt w:val="bullet"/>
      <w:start w:val="1"/>
    </w:lvl>
  </w:abstractNum>
  <w:abstractNum w:abstractNumId="2">
    <w:nsid w:val="749ABB43"/>
    <w:multiLevelType w:val="hybridMultilevel"/>
    <w:lvl w:ilvl="0">
      <w:lvlJc w:val="left"/>
      <w:lvlText w:val="☐"/>
      <w:numFmt w:val="bullet"/>
      <w:start w:val="1"/>
    </w:lvl>
  </w:abstractNum>
  <w:abstractNum w:abstractNumId="3">
    <w:nsid w:val="3DC240FB"/>
    <w:multiLevelType w:val="hybridMultilevel"/>
    <w:lvl w:ilvl="0">
      <w:lvlJc w:val="left"/>
      <w:lvlText w:val="☒"/>
      <w:numFmt w:val="bullet"/>
      <w:start w:val="1"/>
    </w:lvl>
  </w:abstractNum>
  <w:abstractNum w:abstractNumId="4">
    <w:nsid w:val="1BA026FA"/>
    <w:multiLevelType w:val="hybridMultilevel"/>
    <w:lvl w:ilvl="0">
      <w:lvlJc w:val="left"/>
      <w:lvlText w:val="☐"/>
      <w:numFmt w:val="bullet"/>
      <w:start w:val="1"/>
    </w:lvl>
    <w:lvl w:ilvl="1">
      <w:lvlJc w:val="left"/>
      <w:lvlText w:val="(%2)"/>
      <w:numFmt w:val="decimal"/>
      <w:start w:val="1"/>
    </w:lvl>
  </w:abstractNum>
  <w:abstractNum w:abstractNumId="5">
    <w:nsid w:val="79A1DEAA"/>
    <w:multiLevelType w:val="hybridMultilevel"/>
    <w:lvl w:ilvl="0">
      <w:lvlJc w:val="left"/>
      <w:lvlText w:val="(%1)"/>
      <w:numFmt w:val="decimal"/>
      <w:start w:val="3"/>
    </w:lvl>
  </w:abstractNum>
  <w:abstractNum w:abstractNumId="6">
    <w:nsid w:val="75C6C33A"/>
    <w:multiLevelType w:val="hybridMultilevel"/>
    <w:lvl w:ilvl="0">
      <w:lvlJc w:val="left"/>
      <w:lvlText w:val="%1."/>
      <w:numFmt w:val="decimal"/>
      <w:start w:val="1"/>
    </w:lvl>
  </w:abstractNum>
  <w:abstractNum w:abstractNumId="7">
    <w:nsid w:val="12E685FB"/>
    <w:multiLevelType w:val="hybridMultilevel"/>
    <w:lvl w:ilvl="0">
      <w:lvlJc w:val="left"/>
      <w:lvlText w:val="%1:"/>
      <w:numFmt w:val="upperLetter"/>
      <w:start w:val="1"/>
    </w:lvl>
  </w:abstractNum>
  <w:abstractNum w:abstractNumId="8">
    <w:nsid w:val="70C6A529"/>
    <w:multiLevelType w:val="hybridMultilevel"/>
    <w:lvl w:ilvl="0">
      <w:lvlJc w:val="left"/>
      <w:lvlText w:val="%1:"/>
      <w:numFmt w:val="upperLetter"/>
      <w:start w:val="17"/>
    </w:lvl>
    <w:lvl w:ilvl="1">
      <w:lvlJc w:val="left"/>
      <w:lvlText w:val="•"/>
      <w:numFmt w:val="bullet"/>
      <w:start w:val="1"/>
    </w:lvl>
  </w:abstractNum>
  <w:abstractNum w:abstractNumId="9">
    <w:nsid w:val="520EEDD1"/>
    <w:multiLevelType w:val="hybridMultilevel"/>
    <w:lvl w:ilvl="0">
      <w:lvlJc w:val="left"/>
      <w:lvlText w:val="%1:"/>
      <w:numFmt w:val="upperLetter"/>
      <w:start w:val="1"/>
    </w:lvl>
    <w:lvl w:ilvl="1">
      <w:lvlJc w:val="left"/>
      <w:lvlText w:val="•"/>
      <w:numFmt w:val="bullet"/>
      <w:start w:val="1"/>
    </w:lvl>
  </w:abstractNum>
  <w:abstractNum w:abstractNumId="10">
    <w:nsid w:val="374A3FE6"/>
    <w:multiLevelType w:val="hybridMultilevel"/>
    <w:lvl w:ilvl="0">
      <w:lvlJc w:val="left"/>
      <w:lvlText w:val="%1:"/>
      <w:numFmt w:val="upperLetter"/>
      <w:start w:val="1"/>
    </w:lvl>
  </w:abstractNum>
  <w:abstractNum w:abstractNumId="11">
    <w:nsid w:val="4F4EF005"/>
    <w:multiLevelType w:val="hybridMultilevel"/>
    <w:lvl w:ilvl="0">
      <w:lvlJc w:val="left"/>
      <w:lvlText w:val="%1:"/>
      <w:numFmt w:val="upperLetter"/>
      <w:start w:val="1"/>
    </w:lvl>
    <w:lvl w:ilvl="1">
      <w:lvlJc w:val="left"/>
      <w:lvlText w:val="%2."/>
      <w:numFmt w:val="decimal"/>
      <w:start w:val="1"/>
    </w:lvl>
  </w:abstractNum>
  <w:abstractNum w:abstractNumId="12">
    <w:nsid w:val="23F9C13C"/>
    <w:multiLevelType w:val="hybridMultilevel"/>
    <w:lvl w:ilvl="0">
      <w:lvlJc w:val="left"/>
      <w:lvlText w:val="%1."/>
      <w:numFmt w:val="decimal"/>
      <w:start w:val="2"/>
    </w:lvl>
  </w:abstractNum>
  <w:abstractNum w:abstractNumId="13">
    <w:nsid w:val="649BB77C"/>
    <w:multiLevelType w:val="hybridMultilevel"/>
    <w:lvl w:ilvl="0">
      <w:lvlJc w:val="left"/>
      <w:lvlText w:val="%1:"/>
      <w:numFmt w:val="upperLetter"/>
      <w:start w:val="1"/>
    </w:lvl>
  </w:abstractNum>
  <w:abstractNum w:abstractNumId="14">
    <w:nsid w:val="275AC794"/>
    <w:multiLevelType w:val="hybridMultilevel"/>
    <w:lvl w:ilvl="0">
      <w:lvlJc w:val="left"/>
      <w:lvlText w:val="%1:"/>
      <w:numFmt w:val="upperLetter"/>
      <w:start w:val="1"/>
    </w:lvl>
    <w:lvl w:ilvl="1">
      <w:lvlJc w:val="left"/>
      <w:lvlText w:val="•"/>
      <w:numFmt w:val="bullet"/>
      <w:start w:val="1"/>
    </w:lvl>
  </w:abstractNum>
  <w:abstractNum w:abstractNumId="15">
    <w:nsid w:val="39386575"/>
    <w:multiLevelType w:val="hybridMultilevel"/>
    <w:lvl w:ilvl="0">
      <w:lvlJc w:val="left"/>
      <w:lvlText w:val="%1:"/>
      <w:numFmt w:val="upperLetter"/>
      <w:start w:val="1"/>
    </w:lvl>
  </w:abstractNum>
  <w:abstractNum w:abstractNumId="16">
    <w:nsid w:val="1CF10FD8"/>
    <w:multiLevelType w:val="hybridMultilevel"/>
    <w:lvl w:ilvl="0">
      <w:lvlJc w:val="left"/>
      <w:lvlText w:val="%1:"/>
      <w:numFmt w:val="upperLetter"/>
      <w:start w:val="1"/>
    </w:lvl>
  </w:abstractNum>
  <w:abstractNum w:abstractNumId="17">
    <w:nsid w:val="180115BE"/>
    <w:multiLevelType w:val="hybridMultilevel"/>
    <w:lvl w:ilvl="0">
      <w:lvlJc w:val="left"/>
      <w:lvlText w:val="%1:"/>
      <w:numFmt w:val="upperLetter"/>
      <w:start w:val="1"/>
    </w:lvl>
    <w:lvl w:ilvl="1">
      <w:lvlJc w:val="left"/>
      <w:lvlText w:val="•"/>
      <w:numFmt w:val="bullet"/>
      <w:start w:val="1"/>
    </w:lvl>
  </w:abstractNum>
  <w:abstractNum w:abstractNumId="18">
    <w:nsid w:val="235BA861"/>
    <w:multiLevelType w:val="hybridMultilevel"/>
    <w:lvl w:ilvl="0">
      <w:lvlJc w:val="left"/>
      <w:lvlText w:val="%1:"/>
      <w:numFmt w:val="upperLetter"/>
      <w:start w:val="1"/>
    </w:lvl>
  </w:abstractNum>
  <w:abstractNum w:abstractNumId="19">
    <w:nsid w:val="47398C89"/>
    <w:multiLevelType w:val="hybridMultilevel"/>
    <w:lvl w:ilvl="0">
      <w:lvlJc w:val="left"/>
      <w:lvlText w:val="%1:"/>
      <w:numFmt w:val="upperLetter"/>
      <w:start w:val="1"/>
    </w:lvl>
  </w:abstractNum>
  <w:abstractNum w:abstractNumId="20">
    <w:nsid w:val="354FE9F9"/>
    <w:multiLevelType w:val="hybridMultilevel"/>
    <w:lvl w:ilvl="0">
      <w:lvlJc w:val="left"/>
      <w:lvlText w:val="%1:"/>
      <w:numFmt w:val="upperLetter"/>
      <w:start w:val="1"/>
    </w:lvl>
  </w:abstractNum>
  <w:abstractNum w:abstractNumId="21">
    <w:nsid w:val="15B5AF5C"/>
    <w:multiLevelType w:val="hybridMultilevel"/>
    <w:lvl w:ilvl="0">
      <w:lvlJc w:val="left"/>
      <w:lvlText w:val="%1:"/>
      <w:numFmt w:val="upperLetter"/>
      <w:start w:val="1"/>
    </w:lvl>
  </w:abstractNum>
  <w:abstractNum w:abstractNumId="22">
    <w:nsid w:val="741226BB"/>
    <w:multiLevelType w:val="hybridMultilevel"/>
    <w:lvl w:ilvl="0">
      <w:lvlJc w:val="left"/>
      <w:lvlText w:val="%1:"/>
      <w:numFmt w:val="upperLetter"/>
      <w:start w:val="1"/>
    </w:lvl>
  </w:abstractNum>
  <w:abstractNum w:abstractNumId="23">
    <w:nsid w:val="D34B6A8"/>
    <w:multiLevelType w:val="hybridMultilevel"/>
    <w:lvl w:ilvl="0">
      <w:lvlJc w:val="left"/>
      <w:lvlText w:val="%1:"/>
      <w:numFmt w:val="upperLetter"/>
      <w:start w:val="1"/>
    </w:lvl>
  </w:abstractNum>
  <w:abstractNum w:abstractNumId="24">
    <w:nsid w:val="10233C99"/>
    <w:multiLevelType w:val="hybridMultilevel"/>
    <w:lvl w:ilvl="0">
      <w:lvlJc w:val="left"/>
      <w:lvlText w:val="%1:"/>
      <w:numFmt w:val="upperLetter"/>
      <w:start w:val="1"/>
    </w:lvl>
  </w:abstractNum>
  <w:abstractNum w:abstractNumId="25">
    <w:nsid w:val="3F6AB60F"/>
    <w:multiLevelType w:val="hybridMultilevel"/>
    <w:lvl w:ilvl="0">
      <w:lvlJc w:val="left"/>
      <w:lvlText w:val="%1:"/>
      <w:numFmt w:val="upperLetter"/>
      <w:start w:val="1"/>
    </w:lvl>
  </w:abstractNum>
  <w:abstractNum w:abstractNumId="26">
    <w:nsid w:val="61574095"/>
    <w:multiLevelType w:val="hybridMultilevel"/>
    <w:lvl w:ilvl="0">
      <w:lvlJc w:val="left"/>
      <w:lvlText w:val="%1:"/>
      <w:numFmt w:val="upperLetter"/>
      <w:start w:val="17"/>
    </w:lvl>
  </w:abstractNum>
  <w:abstractNum w:abstractNumId="27">
    <w:nsid w:val="7E0C57B1"/>
    <w:multiLevelType w:val="hybridMultilevel"/>
    <w:lvl w:ilvl="0">
      <w:lvlJc w:val="left"/>
      <w:lvlText w:val="%1:"/>
      <w:numFmt w:val="upperLetter"/>
      <w:start w:val="1"/>
    </w:lvl>
  </w:abstractNum>
  <w:abstractNum w:abstractNumId="28">
    <w:nsid w:val="77AE35EB"/>
    <w:multiLevelType w:val="hybridMultilevel"/>
    <w:lvl w:ilvl="0">
      <w:lvlJc w:val="left"/>
      <w:lvlText w:val="%1:"/>
      <w:numFmt w:val="upperLetter"/>
      <w:start w:val="17"/>
    </w:lvl>
  </w:abstractNum>
  <w:abstractNum w:abstractNumId="29">
    <w:nsid w:val="579BE4F1"/>
    <w:multiLevelType w:val="hybridMultilevel"/>
    <w:lvl w:ilvl="0">
      <w:lvlJc w:val="left"/>
      <w:lvlText w:val="%1:"/>
      <w:numFmt w:val="upperLetter"/>
      <w:start w:val="1"/>
    </w:lvl>
  </w:abstractNum>
  <w:abstractNum w:abstractNumId="30">
    <w:nsid w:val="310C50B3"/>
    <w:multiLevelType w:val="hybridMultilevel"/>
    <w:lvl w:ilvl="0">
      <w:lvlJc w:val="left"/>
      <w:lvlText w:val="%1:"/>
      <w:numFmt w:val="upperLetter"/>
      <w:start w:val="1"/>
    </w:lvl>
  </w:abstractNum>
  <w:abstractNum w:abstractNumId="31">
    <w:nsid w:val="5FF87E05"/>
    <w:multiLevelType w:val="hybridMultilevel"/>
    <w:lvl w:ilvl="0">
      <w:lvlJc w:val="left"/>
      <w:lvlText w:val="%1:"/>
      <w:numFmt w:val="upperLetter"/>
      <w:start w:val="1"/>
    </w:lvl>
  </w:abstractNum>
  <w:abstractNum w:abstractNumId="32">
    <w:nsid w:val="2F305DEF"/>
    <w:multiLevelType w:val="hybridMultilevel"/>
    <w:lvl w:ilvl="0">
      <w:lvlJc w:val="left"/>
      <w:lvlText w:val="%1:"/>
      <w:numFmt w:val="upperLetter"/>
      <w:start w:val="1"/>
    </w:lvl>
  </w:abstractNum>
  <w:abstractNum w:abstractNumId="33">
    <w:nsid w:val="25A70BF7"/>
    <w:multiLevelType w:val="hybridMultilevel"/>
    <w:lvl w:ilvl="0">
      <w:lvlJc w:val="left"/>
      <w:lvlText w:val="%1:"/>
      <w:numFmt w:val="upperLetter"/>
      <w:start w:val="17"/>
    </w:lvl>
  </w:abstractNum>
  <w:abstractNum w:abstractNumId="34">
    <w:nsid w:val="1DBABF00"/>
    <w:multiLevelType w:val="hybridMultilevel"/>
    <w:lvl w:ilvl="0">
      <w:lvlJc w:val="left"/>
      <w:lvlText w:val="%1:"/>
      <w:numFmt w:val="upperLetter"/>
      <w:start w:val="1"/>
    </w:lvl>
  </w:abstractNum>
  <w:abstractNum w:abstractNumId="35">
    <w:nsid w:val="4AD084E9"/>
    <w:multiLevelType w:val="hybridMultilevel"/>
    <w:lvl w:ilvl="0">
      <w:lvlJc w:val="left"/>
      <w:lvlText w:val="%1"/>
      <w:numFmt w:val="decimal"/>
      <w:start w:val="52"/>
    </w:lvl>
  </w:abstractNum>
  <w:abstractNum w:abstractNumId="36">
    <w:nsid w:val="1F48EAA1"/>
    <w:multiLevelType w:val="hybridMultilevel"/>
    <w:lvl w:ilvl="0">
      <w:lvlJc w:val="left"/>
      <w:lvlText w:val="%1"/>
      <w:numFmt w:val="decimal"/>
      <w:start w:val="74"/>
    </w:lvl>
  </w:abstractNum>
  <w:abstractNum w:abstractNumId="37">
    <w:nsid w:val="1381823A"/>
    <w:multiLevelType w:val="hybridMultilevel"/>
    <w:lvl w:ilvl="0">
      <w:lvlJc w:val="left"/>
      <w:lvlText w:val="(%1)"/>
      <w:numFmt w:val="decimal"/>
      <w:start w:val="1"/>
    </w:lvl>
  </w:abstractNum>
  <w:abstractNum w:abstractNumId="38">
    <w:nsid w:val="5DB70AE5"/>
    <w:multiLevelType w:val="hybridMultilevel"/>
    <w:lvl w:ilvl="0">
      <w:lvlJc w:val="left"/>
      <w:lvlText w:val="•"/>
      <w:numFmt w:val="bullet"/>
      <w:start w:val="1"/>
    </w:lvl>
  </w:abstractNum>
  <w:abstractNum w:abstractNumId="39">
    <w:nsid w:val="100F8FCA"/>
    <w:multiLevelType w:val="hybridMultilevel"/>
    <w:lvl w:ilvl="0">
      <w:lvlJc w:val="left"/>
      <w:lvlText w:val="•"/>
      <w:numFmt w:val="bullet"/>
      <w:start w:val="1"/>
    </w:lvl>
  </w:abstractNum>
  <w:abstractNum w:abstractNumId="40">
    <w:nsid w:val="6590700B"/>
    <w:multiLevelType w:val="hybridMultilevel"/>
    <w:lvl w:ilvl="0">
      <w:lvlJc w:val="left"/>
      <w:lvlText w:val="•"/>
      <w:numFmt w:val="bullet"/>
      <w:start w:val="1"/>
    </w:lvl>
  </w:abstractNum>
  <w:abstractNum w:abstractNumId="41">
    <w:nsid w:val="15014ACB"/>
    <w:multiLevelType w:val="hybridMultilevel"/>
    <w:lvl w:ilvl="0">
      <w:lvlJc w:val="left"/>
      <w:lvlText w:val="(%1)"/>
      <w:numFmt w:val="decimal"/>
      <w:start w:val="1"/>
    </w:lvl>
  </w:abstractNum>
  <w:abstractNum w:abstractNumId="42">
    <w:nsid w:val="5F5E7FD0"/>
    <w:multiLevelType w:val="hybridMultilevel"/>
    <w:lvl w:ilvl="0">
      <w:lvlJc w:val="left"/>
      <w:lvlText w:val="(%1)"/>
      <w:numFmt w:val="decimal"/>
      <w:start w:val="2"/>
    </w:lvl>
  </w:abstractNum>
  <w:abstractNum w:abstractNumId="43">
    <w:nsid w:val="98A3148"/>
    <w:multiLevelType w:val="hybridMultilevel"/>
    <w:lvl w:ilvl="0">
      <w:lvlJc w:val="left"/>
      <w:lvlText w:val="(%1)"/>
      <w:numFmt w:val="decimal"/>
      <w:start w:val="3"/>
    </w:lvl>
  </w:abstractNum>
  <w:abstractNum w:abstractNumId="44">
    <w:nsid w:val="799D0247"/>
    <w:multiLevelType w:val="hybridMultilevel"/>
    <w:lvl w:ilvl="0">
      <w:lvlJc w:val="left"/>
      <w:lvlText w:val="•"/>
      <w:numFmt w:val="bullet"/>
      <w:start w:val="1"/>
    </w:lvl>
  </w:abstractNum>
  <w:abstractNum w:abstractNumId="45">
    <w:nsid w:val="6B94764"/>
    <w:multiLevelType w:val="hybridMultilevel"/>
    <w:lvl w:ilvl="0">
      <w:lvlJc w:val="left"/>
      <w:lvlText w:val="•"/>
      <w:numFmt w:val="bullet"/>
      <w:start w:val="1"/>
    </w:lvl>
  </w:abstractNum>
  <w:abstractNum w:abstractNumId="46">
    <w:nsid w:val="42C296BD"/>
    <w:multiLevelType w:val="hybridMultilevel"/>
    <w:lvl w:ilvl="0">
      <w:lvlJc w:val="left"/>
      <w:lvlText w:val="•"/>
      <w:numFmt w:val="bullet"/>
      <w:start w:val="1"/>
    </w:lvl>
  </w:abstractNum>
  <w:abstractNum w:abstractNumId="47">
    <w:nsid w:val="168E121F"/>
    <w:multiLevelType w:val="hybridMultilevel"/>
    <w:lvl w:ilvl="0">
      <w:lvlJc w:val="left"/>
      <w:lvlText w:val="•"/>
      <w:numFmt w:val="bullet"/>
      <w:start w:val="1"/>
    </w:lvl>
  </w:abstractNum>
  <w:abstractNum w:abstractNumId="48">
    <w:nsid w:val="1EBA5D23"/>
    <w:multiLevelType w:val="hybridMultilevel"/>
    <w:lvl w:ilvl="0">
      <w:lvlJc w:val="left"/>
      <w:lvlText w:val="•"/>
      <w:numFmt w:val="bullet"/>
      <w:start w:val="1"/>
    </w:lvl>
  </w:abstractNum>
  <w:abstractNum w:abstractNumId="49">
    <w:nsid w:val="661E3F1E"/>
    <w:multiLevelType w:val="hybridMultilevel"/>
    <w:lvl w:ilvl="0">
      <w:lvlJc w:val="left"/>
      <w:lvlText w:val="•"/>
      <w:numFmt w:val="bullet"/>
      <w:start w:val="1"/>
    </w:lvl>
  </w:abstractNum>
  <w:abstractNum w:abstractNumId="50">
    <w:nsid w:val="5DC79EA8"/>
    <w:multiLevelType w:val="hybridMultilevel"/>
    <w:lvl w:ilvl="0">
      <w:lvlJc w:val="left"/>
      <w:lvlText w:val="%1."/>
      <w:numFmt w:val="decimal"/>
      <w:start w:val="1"/>
    </w:lvl>
  </w:abstractNum>
  <w:abstractNum w:abstractNumId="51">
    <w:nsid w:val="540A471C"/>
    <w:multiLevelType w:val="hybridMultilevel"/>
    <w:lvl w:ilvl="0">
      <w:lvlJc w:val="left"/>
      <w:lvlText w:val="•"/>
      <w:numFmt w:val="bullet"/>
      <w:start w:val="1"/>
    </w:lvl>
  </w:abstractNum>
  <w:abstractNum w:abstractNumId="52">
    <w:nsid w:val="7BD3EE7B"/>
    <w:multiLevelType w:val="hybridMultilevel"/>
    <w:lvl w:ilvl="0">
      <w:lvlJc w:val="left"/>
      <w:lvlText w:val="•"/>
      <w:numFmt w:val="bullet"/>
      <w:start w:val="1"/>
    </w:lvl>
  </w:abstractNum>
  <w:abstractNum w:abstractNumId="53">
    <w:nsid w:val="51D9C564"/>
    <w:multiLevelType w:val="hybridMultilevel"/>
    <w:lvl w:ilvl="0">
      <w:lvlJc w:val="left"/>
      <w:lvlText w:val="•"/>
      <w:numFmt w:val="bullet"/>
      <w:start w:val="1"/>
    </w:lvl>
  </w:abstractNum>
  <w:abstractNum w:abstractNumId="54">
    <w:nsid w:val="613EFDC5"/>
    <w:multiLevelType w:val="hybridMultilevel"/>
    <w:lvl w:ilvl="0">
      <w:lvlJc w:val="left"/>
      <w:lvlText w:val="•"/>
      <w:numFmt w:val="bullet"/>
      <w:start w:val="1"/>
    </w:lvl>
  </w:abstractNum>
  <w:abstractNum w:abstractNumId="55">
    <w:nsid w:val="BF72B14"/>
    <w:multiLevelType w:val="hybridMultilevel"/>
    <w:lvl w:ilvl="0">
      <w:lvlJc w:val="left"/>
      <w:lvlText w:val="•"/>
      <w:numFmt w:val="bullet"/>
      <w:start w:val="1"/>
    </w:lvl>
  </w:abstractNum>
  <w:abstractNum w:abstractNumId="56">
    <w:nsid w:val="11447B73"/>
    <w:multiLevelType w:val="hybridMultilevel"/>
    <w:lvl w:ilvl="0">
      <w:lvlJc w:val="left"/>
      <w:lvlText w:val="•"/>
      <w:numFmt w:val="bullet"/>
      <w:start w:val="1"/>
    </w:lvl>
    <w:lvl w:ilvl="1">
      <w:lvlJc w:val="left"/>
      <w:lvlText w:val="•"/>
      <w:numFmt w:val="bullet"/>
      <w:start w:val="1"/>
    </w:lvl>
  </w:abstractNum>
  <w:abstractNum w:abstractNumId="57">
    <w:nsid w:val="42963E5A"/>
    <w:multiLevelType w:val="hybridMultilevel"/>
    <w:lvl w:ilvl="0">
      <w:lvlJc w:val="left"/>
      <w:lvlText w:val="%1."/>
      <w:numFmt w:val="decimal"/>
      <w:start w:val="1"/>
    </w:lvl>
  </w:abstractNum>
  <w:abstractNum w:abstractNumId="58">
    <w:nsid w:val="A0382C5"/>
    <w:multiLevelType w:val="hybridMultilevel"/>
    <w:lvl w:ilvl="0">
      <w:lvlJc w:val="left"/>
      <w:lvlText w:val="•"/>
      <w:numFmt w:val="bullet"/>
      <w:start w:val="1"/>
    </w:lvl>
  </w:abstractNum>
  <w:abstractNum w:abstractNumId="59">
    <w:nsid w:val="8F2B15E"/>
    <w:multiLevelType w:val="hybridMultilevel"/>
    <w:lvl w:ilvl="0">
      <w:lvlJc w:val="left"/>
      <w:lvlText w:val="(%1)"/>
      <w:numFmt w:val="decimal"/>
      <w:start w:val="1"/>
    </w:lvl>
  </w:abstractNum>
  <w:abstractNum w:abstractNumId="60">
    <w:nsid w:val="1A32234B"/>
    <w:multiLevelType w:val="hybridMultilevel"/>
    <w:lvl w:ilvl="0">
      <w:lvlJc w:val="left"/>
      <w:lvlText w:val="(%1)"/>
      <w:numFmt w:val="decimal"/>
      <w:start w:val="1"/>
    </w:lvl>
  </w:abstractNum>
  <w:abstractNum w:abstractNumId="61">
    <w:nsid w:val="3B0FD379"/>
    <w:multiLevelType w:val="hybridMultilevel"/>
    <w:lvl w:ilvl="0">
      <w:lvlJc w:val="left"/>
      <w:lvlText w:val="(%1)"/>
      <w:numFmt w:val="decimal"/>
      <w:start w:val="1"/>
    </w:lvl>
  </w:abstractNum>
  <w:abstractNum w:abstractNumId="62">
    <w:nsid w:val="68EB2F63"/>
    <w:multiLevelType w:val="hybridMultilevel"/>
    <w:lvl w:ilvl="0">
      <w:lvlJc w:val="left"/>
      <w:lvlText w:val="•"/>
      <w:numFmt w:val="bullet"/>
      <w:start w:val="1"/>
    </w:lvl>
  </w:abstractNum>
  <w:abstractNum w:abstractNumId="63">
    <w:nsid w:val="4962813B"/>
    <w:multiLevelType w:val="hybridMultilevel"/>
    <w:lvl w:ilvl="0">
      <w:lvlJc w:val="left"/>
      <w:lvlText w:val="(%1)"/>
      <w:numFmt w:val="decimal"/>
      <w:start w:val="1"/>
    </w:lvl>
  </w:abstractNum>
  <w:abstractNum w:abstractNumId="64">
    <w:nsid w:val="60B6DF70"/>
    <w:multiLevelType w:val="hybridMultilevel"/>
    <w:lvl w:ilvl="0">
      <w:lvlJc w:val="left"/>
      <w:lvlText w:val="(%1)"/>
      <w:numFmt w:val="lowerRoman"/>
      <w:start w:val="1"/>
    </w:lvl>
  </w:abstractNum>
  <w:abstractNum w:abstractNumId="65">
    <w:nsid w:val="6A5EE64"/>
    <w:multiLevelType w:val="hybridMultilevel"/>
    <w:lvl w:ilvl="0">
      <w:lvlJc w:val="left"/>
      <w:lvlText w:val="(%1)"/>
      <w:numFmt w:val="decimal"/>
      <w:start w:val="1"/>
    </w:lvl>
  </w:abstractNum>
  <w:abstractNum w:abstractNumId="66">
    <w:nsid w:val="14330624"/>
    <w:multiLevelType w:val="hybridMultilevel"/>
    <w:lvl w:ilvl="0">
      <w:lvlJc w:val="left"/>
      <w:lvlText w:val="•"/>
      <w:numFmt w:val="bullet"/>
      <w:start w:val="1"/>
    </w:lvl>
  </w:abstractNum>
  <w:abstractNum w:abstractNumId="67">
    <w:nsid w:val="7FFFCA11"/>
    <w:multiLevelType w:val="hybridMultilevel"/>
    <w:lvl w:ilvl="0">
      <w:lvlJc w:val="left"/>
      <w:lvlText w:val="•"/>
      <w:numFmt w:val="bullet"/>
      <w:start w:val="1"/>
    </w:lvl>
  </w:abstractNum>
  <w:abstractNum w:abstractNumId="68">
    <w:nsid w:val="1A27709E"/>
    <w:multiLevelType w:val="hybridMultilevel"/>
    <w:lvl w:ilvl="0">
      <w:lvlJc w:val="left"/>
      <w:lvlText w:val="•"/>
      <w:numFmt w:val="bullet"/>
      <w:start w:val="1"/>
    </w:lvl>
  </w:abstractNum>
  <w:abstractNum w:abstractNumId="69">
    <w:nsid w:val="71EA1109"/>
    <w:multiLevelType w:val="hybridMultilevel"/>
    <w:lvl w:ilvl="0">
      <w:lvlJc w:val="left"/>
      <w:lvlText w:val="•"/>
      <w:numFmt w:val="bullet"/>
      <w:start w:val="1"/>
    </w:lvl>
  </w:abstractNum>
  <w:abstractNum w:abstractNumId="70">
    <w:nsid w:val="100F59DC"/>
    <w:multiLevelType w:val="hybridMultilevel"/>
    <w:lvl w:ilvl="0">
      <w:lvlJc w:val="left"/>
      <w:lvlText w:val="•"/>
      <w:numFmt w:val="bullet"/>
      <w:start w:val="1"/>
    </w:lvl>
  </w:abstractNum>
  <w:abstractNum w:abstractNumId="71">
    <w:nsid w:val="7FB7E0AA"/>
    <w:multiLevelType w:val="hybridMultilevel"/>
    <w:lvl w:ilvl="0">
      <w:lvlJc w:val="left"/>
      <w:lvlText w:val="•"/>
      <w:numFmt w:val="bullet"/>
      <w:start w:val="1"/>
    </w:lvl>
  </w:abstractNum>
  <w:abstractNum w:abstractNumId="72">
    <w:nsid w:val="6EB5BD4"/>
    <w:multiLevelType w:val="hybridMultilevel"/>
    <w:lvl w:ilvl="0">
      <w:lvlJc w:val="left"/>
      <w:lvlText w:val="•"/>
      <w:numFmt w:val="bullet"/>
      <w:start w:val="1"/>
    </w:lvl>
  </w:abstractNum>
  <w:abstractNum w:abstractNumId="73">
    <w:nsid w:val="6F6DD9AC"/>
    <w:multiLevelType w:val="hybridMultilevel"/>
    <w:lvl w:ilvl="0">
      <w:lvlJc w:val="left"/>
      <w:lvlText w:val="•"/>
      <w:numFmt w:val="bullet"/>
      <w:start w:val="1"/>
    </w:lvl>
  </w:abstractNum>
  <w:abstractNum w:abstractNumId="74">
    <w:nsid w:val="94211F2"/>
    <w:multiLevelType w:val="hybridMultilevel"/>
    <w:lvl w:ilvl="0">
      <w:lvlJc w:val="left"/>
      <w:lvlText w:val="•"/>
      <w:numFmt w:val="bullet"/>
      <w:start w:val="1"/>
    </w:lvl>
  </w:abstractNum>
  <w:abstractNum w:abstractNumId="75">
    <w:nsid w:val="885E1B"/>
    <w:multiLevelType w:val="hybridMultilevel"/>
    <w:lvl w:ilvl="0">
      <w:lvlJc w:val="left"/>
      <w:lvlText w:val="•"/>
      <w:numFmt w:val="bullet"/>
      <w:start w:val="1"/>
    </w:lvl>
  </w:abstractNum>
  <w:abstractNum w:abstractNumId="76">
    <w:nsid w:val="76272110"/>
    <w:multiLevelType w:val="hybridMultilevel"/>
    <w:lvl w:ilvl="0">
      <w:lvlJc w:val="left"/>
      <w:lvlText w:val="•"/>
      <w:numFmt w:val="bullet"/>
      <w:start w:val="1"/>
    </w:lvl>
  </w:abstractNum>
  <w:abstractNum w:abstractNumId="77">
    <w:nsid w:val="4C04A8AF"/>
    <w:multiLevelType w:val="hybridMultilevel"/>
    <w:lvl w:ilvl="0">
      <w:lvlJc w:val="left"/>
      <w:lvlText w:val="(%1)"/>
      <w:numFmt w:val="decimal"/>
      <w:start w:val="1"/>
    </w:lvl>
  </w:abstractNum>
  <w:abstractNum w:abstractNumId="78">
    <w:nsid w:val="1716703B"/>
    <w:multiLevelType w:val="hybridMultilevel"/>
    <w:lvl w:ilvl="0">
      <w:lvlJc w:val="left"/>
      <w:lvlText w:val="(%1)"/>
      <w:numFmt w:val="decimal"/>
      <w:start w:val="4"/>
    </w:lvl>
  </w:abstractNum>
  <w:abstractNum w:abstractNumId="79">
    <w:nsid w:val="14E17E33"/>
    <w:multiLevelType w:val="hybridMultilevel"/>
    <w:lvl w:ilvl="0">
      <w:lvlJc w:val="left"/>
      <w:lvlText w:val="(%1)"/>
      <w:numFmt w:val="decimal"/>
      <w:start w:val="5"/>
    </w:lvl>
  </w:abstractNum>
  <w:abstractNum w:abstractNumId="80">
    <w:nsid w:val="3222E7CD"/>
    <w:multiLevelType w:val="hybridMultilevel"/>
    <w:lvl w:ilvl="0">
      <w:lvlJc w:val="left"/>
      <w:lvlText w:val="(%1)"/>
      <w:numFmt w:val="decimal"/>
      <w:start w:val="1"/>
    </w:lvl>
  </w:abstractNum>
  <w:abstractNum w:abstractNumId="81">
    <w:nsid w:val="74DE0EE3"/>
    <w:multiLevelType w:val="hybridMultilevel"/>
    <w:lvl w:ilvl="0">
      <w:lvlJc w:val="left"/>
      <w:lvlText w:val="(%1)"/>
      <w:numFmt w:val="decimal"/>
      <w:start w:val="1"/>
    </w:lvl>
  </w:abstractNum>
  <w:abstractNum w:abstractNumId="82">
    <w:nsid w:val="68EBC550"/>
    <w:multiLevelType w:val="hybridMultilevel"/>
    <w:lvl w:ilvl="0">
      <w:lvlJc w:val="left"/>
      <w:lvlText w:val="(%1)"/>
      <w:numFmt w:val="decimal"/>
      <w:start w:val="6"/>
    </w:lvl>
  </w:abstractNum>
  <w:abstractNum w:abstractNumId="83">
    <w:nsid w:val="2DF6D648"/>
    <w:multiLevelType w:val="hybridMultilevel"/>
    <w:lvl w:ilvl="0">
      <w:lvlJc w:val="left"/>
      <w:lvlText w:val="(%1)"/>
      <w:numFmt w:val="decimal"/>
      <w:start w:val="1"/>
    </w:lvl>
  </w:abstractNum>
  <w:abstractNum w:abstractNumId="84">
    <w:nsid w:val="46B7D447"/>
    <w:multiLevelType w:val="hybridMultilevel"/>
    <w:lvl w:ilvl="0">
      <w:lvlJc w:val="left"/>
      <w:lvlText w:val="•"/>
      <w:numFmt w:val="bullet"/>
      <w:start w:val="1"/>
    </w:lvl>
  </w:abstractNum>
  <w:abstractNum w:abstractNumId="85">
    <w:nsid w:val="4A2AC315"/>
    <w:multiLevelType w:val="hybridMultilevel"/>
    <w:lvl w:ilvl="0">
      <w:lvlJc w:val="left"/>
      <w:lvlText w:val="*"/>
      <w:numFmt w:val="bullet"/>
      <w:start w:val="1"/>
    </w:lvl>
  </w:abstractNum>
  <w:abstractNum w:abstractNumId="86">
    <w:nsid w:val="39EE015C"/>
    <w:multiLevelType w:val="hybridMultilevel"/>
    <w:lvl w:ilvl="0">
      <w:lvlJc w:val="left"/>
      <w:lvlText w:val="**"/>
      <w:numFmt w:val="bullet"/>
      <w:start w:val="1"/>
    </w:lvl>
  </w:abstractNum>
  <w:abstractNum w:abstractNumId="87">
    <w:nsid w:val="57FC4FBB"/>
    <w:multiLevelType w:val="hybridMultilevel"/>
    <w:lvl w:ilvl="0">
      <w:lvlJc w:val="left"/>
      <w:lvlText w:val="(%1)"/>
      <w:numFmt w:val="decimal"/>
      <w:start w:val="1"/>
    </w:lvl>
  </w:abstractNum>
  <w:abstractNum w:abstractNumId="88">
    <w:nsid w:val="CC1016F"/>
    <w:multiLevelType w:val="hybridMultilevel"/>
    <w:lvl w:ilvl="0">
      <w:lvlJc w:val="left"/>
      <w:lvlText w:val="(%1)"/>
      <w:numFmt w:val="decimal"/>
      <w:start w:val="3"/>
    </w:lvl>
    <w:lvl w:ilvl="1">
      <w:lvlJc w:val="left"/>
      <w:lvlText w:val="(%2)"/>
      <w:numFmt w:val="upperLetter"/>
      <w:start w:val="6"/>
    </w:lvl>
  </w:abstractNum>
  <w:abstractNum w:abstractNumId="89">
    <w:nsid w:val="43F18422"/>
    <w:multiLevelType w:val="hybridMultilevel"/>
    <w:lvl w:ilvl="0">
      <w:lvlJc w:val="left"/>
      <w:lvlText w:val="%1"/>
      <w:numFmt w:val="decimal"/>
      <w:start w:val="1"/>
    </w:lvl>
    <w:lvl w:ilvl="1">
      <w:lvlJc w:val="left"/>
      <w:lvlText w:val="(%2)"/>
      <w:numFmt w:val="upperLetter"/>
      <w:start w:val="8"/>
    </w:lvl>
  </w:abstractNum>
  <w:abstractNum w:abstractNumId="90">
    <w:nsid w:val="60EF0119"/>
    <w:multiLevelType w:val="hybridMultilevel"/>
    <w:lvl w:ilvl="0">
      <w:lvlJc w:val="left"/>
      <w:lvlText w:val="%1"/>
      <w:numFmt w:val="decimal"/>
      <w:start w:val="1"/>
    </w:lvl>
    <w:lvl w:ilvl="1">
      <w:lvlJc w:val="left"/>
      <w:lvlText w:val="(%2)"/>
      <w:numFmt w:val="upperLetter"/>
      <w:start w:val="12"/>
    </w:lvl>
  </w:abstractNum>
  <w:abstractNum w:abstractNumId="91">
    <w:nsid w:val="26F324BA"/>
    <w:multiLevelType w:val="hybridMultilevel"/>
    <w:lvl w:ilvl="0">
      <w:lvlJc w:val="left"/>
      <w:lvlText w:val="%1"/>
      <w:numFmt w:val="decimal"/>
      <w:start w:val="1"/>
    </w:lvl>
    <w:lvl w:ilvl="1">
      <w:lvlJc w:val="left"/>
      <w:lvlText w:val="(%2)"/>
      <w:numFmt w:val="upperLetter"/>
      <w:start w:val="9"/>
    </w:lvl>
  </w:abstractNum>
  <w:abstractNum w:abstractNumId="92">
    <w:nsid w:val="7F01579B"/>
    <w:multiLevelType w:val="hybridMultilevel"/>
    <w:lvl w:ilvl="0">
      <w:lvlJc w:val="left"/>
      <w:lvlText w:val="(%1)"/>
      <w:numFmt w:val="decimal"/>
      <w:start w:val="4"/>
    </w:lvl>
    <w:lvl w:ilvl="1">
      <w:lvlJc w:val="left"/>
      <w:lvlText w:val="%2"/>
      <w:numFmt w:val="upperLetter"/>
      <w:start w:val="1"/>
    </w:lvl>
  </w:abstractNum>
  <w:abstractNum w:abstractNumId="93">
    <w:nsid w:val="49DA307D"/>
    <w:multiLevelType w:val="hybridMultilevel"/>
    <w:lvl w:ilvl="0">
      <w:lvlJc w:val="left"/>
      <w:lvlText w:val="(%1)"/>
      <w:numFmt w:val="decimal"/>
      <w:start w:val="5"/>
    </w:lvl>
  </w:abstractNum>
  <w:abstractNum w:abstractNumId="94">
    <w:nsid w:val="7055A5F5"/>
    <w:multiLevelType w:val="hybridMultilevel"/>
    <w:lvl w:ilvl="0">
      <w:lvlJc w:val="left"/>
      <w:lvlText w:val="•"/>
      <w:numFmt w:val="bullet"/>
      <w:start w:val="1"/>
    </w:lvl>
  </w:abstractNum>
  <w:abstractNum w:abstractNumId="95">
    <w:nsid w:val="5FB8370B"/>
    <w:multiLevelType w:val="hybridMultilevel"/>
    <w:lvl w:ilvl="0">
      <w:lvlJc w:val="left"/>
      <w:lvlText w:val="•"/>
      <w:numFmt w:val="bullet"/>
      <w:start w:val="1"/>
    </w:lvl>
  </w:abstractNum>
  <w:abstractNum w:abstractNumId="96">
    <w:nsid w:val="50801EE1"/>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jpe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jpe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jpeg"/><Relationship Id="rId117" Type="http://schemas.openxmlformats.org/officeDocument/2006/relationships/image" Target="media/image110.png"/><Relationship Id="rId118" Type="http://schemas.openxmlformats.org/officeDocument/2006/relationships/image" Target="media/image11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2019-12-06T18:57:07Z</dcterms:created>
  <dcterms:modified xsi:type="dcterms:W3CDTF">2019-12-06T18:57:07Z</dcterms:modified>
</cp:coreProperties>
</file>