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w:t>
      </w:r>
    </w:p>
    <w:p>
      <w:pPr>
        <w:jc w:val="center"/>
        <w:ind w:right="-3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Date of Report (Date of earliest event reported): May 22, 2014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220"/>
          </w:cols>
          <w:pgMar w:left="240" w:top="368" w:right="27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40"/>
          </w:cols>
          <w:pgMar w:left="240" w:top="368" w:right="279" w:bottom="1440" w:gutter="0" w:footer="0" w:header="0"/>
          <w:type w:val="continuous"/>
        </w:sectPr>
      </w:pPr>
    </w:p>
    <w:p>
      <w:pPr>
        <w:spacing w:after="0" w:line="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bookmarkStart w:id="1" w:name="page2"/>
    <w:bookmarkEnd w:id="1"/>
    <w:p>
      <w:pPr>
        <w:spacing w:after="0"/>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2.02</w:t>
      </w:r>
      <w:r>
        <w:rPr>
          <w:sz w:val="20"/>
          <w:szCs w:val="20"/>
          <w:color w:val="auto"/>
        </w:rPr>
        <w:tab/>
      </w:r>
      <w:r>
        <w:rPr>
          <w:rFonts w:ascii="Arial" w:cs="Arial" w:eastAsia="Arial" w:hAnsi="Arial"/>
          <w:sz w:val="16"/>
          <w:szCs w:val="16"/>
          <w:b w:val="1"/>
          <w:bCs w:val="1"/>
          <w:color w:val="auto"/>
        </w:rPr>
        <w:t>Results of Operations and Financial Condition.</w:t>
      </w:r>
    </w:p>
    <w:p>
      <w:pPr>
        <w:spacing w:after="0" w:line="121" w:lineRule="exact"/>
        <w:rPr>
          <w:sz w:val="20"/>
          <w:szCs w:val="20"/>
          <w:color w:val="auto"/>
        </w:rPr>
      </w:pPr>
    </w:p>
    <w:p>
      <w:pPr>
        <w:ind w:right="20" w:firstLine="456"/>
        <w:spacing w:after="0" w:line="302" w:lineRule="auto"/>
        <w:rPr>
          <w:sz w:val="20"/>
          <w:szCs w:val="20"/>
          <w:color w:val="auto"/>
        </w:rPr>
      </w:pPr>
      <w:r>
        <w:rPr>
          <w:rFonts w:ascii="Arial" w:cs="Arial" w:eastAsia="Arial" w:hAnsi="Arial"/>
          <w:sz w:val="16"/>
          <w:szCs w:val="16"/>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54" w:lineRule="exact"/>
        <w:rPr>
          <w:sz w:val="20"/>
          <w:szCs w:val="20"/>
          <w:color w:val="auto"/>
        </w:rPr>
      </w:pPr>
    </w:p>
    <w:p>
      <w:pPr>
        <w:ind w:right="400" w:firstLine="456"/>
        <w:spacing w:after="0" w:line="277" w:lineRule="auto"/>
        <w:rPr>
          <w:sz w:val="20"/>
          <w:szCs w:val="20"/>
          <w:color w:val="auto"/>
        </w:rPr>
      </w:pPr>
      <w:r>
        <w:rPr>
          <w:rFonts w:ascii="Arial" w:cs="Arial" w:eastAsia="Arial" w:hAnsi="Arial"/>
          <w:sz w:val="18"/>
          <w:szCs w:val="18"/>
          <w:color w:val="auto"/>
        </w:rPr>
        <w:t>On May 22, 2014, Marvell Technology Group Ltd. (“Marvell”) issued a press release regarding its financial results for its first fiscal quarter ended May 3, 2014. A copy of the press release is furnished herewith as Exhibit 99.1 and is incorporated by reference herein.</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121" w:lineRule="exact"/>
        <w:rPr>
          <w:sz w:val="20"/>
          <w:szCs w:val="20"/>
          <w:color w:val="auto"/>
        </w:rPr>
      </w:pPr>
    </w:p>
    <w:p>
      <w:pPr>
        <w:ind w:right="60" w:firstLine="456"/>
        <w:spacing w:after="0" w:line="257" w:lineRule="auto"/>
        <w:rPr>
          <w:sz w:val="20"/>
          <w:szCs w:val="20"/>
          <w:color w:val="auto"/>
        </w:rPr>
      </w:pPr>
      <w:r>
        <w:rPr>
          <w:rFonts w:ascii="Arial" w:cs="Arial" w:eastAsia="Arial" w:hAnsi="Arial"/>
          <w:sz w:val="18"/>
          <w:szCs w:val="18"/>
          <w:color w:val="auto"/>
        </w:rPr>
        <w:t>In addition to disclosing financial results calculated in accordance with U.S. generally accepted accounting principles (“GAAP”), Marvell also reports non-GAAP financial measures. Pursuant to the requirements of Regulation G, Marvell has provided reconciliations with the press release of the non-GAAP financial measures to the most directly comparable GAAP financial measures included in the press release. Non-GAAP financial measures exclude the effect of share-based compensation, amortization and write-off of acquired intangible assets, acquisition-related costs, restructuring and other exit-related costs, and certain one-time expenses and benefits.</w:t>
      </w:r>
    </w:p>
    <w:p>
      <w:pPr>
        <w:spacing w:after="0" w:line="188"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Marvell believes that the presentation of non-GAAP financial measures provide important supplemental information to management and investors regarding financial and business trends relating to its financial condition and results of operations. While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Marvell has chosen to provide this information to investors to enable them to perform comparisons of operating results in a manner similar to how Marvell analyzes its operating results internally. Management also believes that these non-GAAP financial measures may be used to facilitate comparisons of Marvell’s results with that of other companies in its industry.</w:t>
      </w:r>
    </w:p>
    <w:p>
      <w:pPr>
        <w:spacing w:after="0" w:line="166" w:lineRule="exact"/>
        <w:rPr>
          <w:sz w:val="20"/>
          <w:szCs w:val="20"/>
          <w:color w:val="auto"/>
        </w:rPr>
      </w:pPr>
    </w:p>
    <w:p>
      <w:pPr>
        <w:ind w:right="340" w:firstLine="456"/>
        <w:spacing w:after="0" w:line="308" w:lineRule="auto"/>
        <w:rPr>
          <w:sz w:val="20"/>
          <w:szCs w:val="20"/>
          <w:color w:val="auto"/>
        </w:rPr>
      </w:pPr>
      <w:r>
        <w:rPr>
          <w:rFonts w:ascii="Arial" w:cs="Arial" w:eastAsia="Arial" w:hAnsi="Arial"/>
          <w:sz w:val="17"/>
          <w:szCs w:val="17"/>
          <w:color w:val="auto"/>
        </w:rPr>
        <w:t>Externally, management believes that investors may find Marvell’s non-GAAP financial measures useful in their assessment of Marvell’s operating performance and the valuation of Marvell. Internally, Marvell’s non-GAAP financial measures are used in the following areas:</w:t>
      </w:r>
    </w:p>
    <w:p>
      <w:pPr>
        <w:spacing w:after="0" w:line="52" w:lineRule="exact"/>
        <w:rPr>
          <w:sz w:val="20"/>
          <w:szCs w:val="20"/>
          <w:color w:val="auto"/>
        </w:rPr>
      </w:pPr>
    </w:p>
    <w:p>
      <w:pPr>
        <w:ind w:left="900" w:right="400" w:hanging="325"/>
        <w:spacing w:after="0" w:line="277" w:lineRule="auto"/>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determination of the achievement and measurement of certain performance-based equity awards (adjustments may vary from award to award);</w:t>
      </w:r>
    </w:p>
    <w:p>
      <w:pPr>
        <w:spacing w:after="0" w:line="75" w:lineRule="exact"/>
        <w:rPr>
          <w:rFonts w:ascii="Arial" w:cs="Arial" w:eastAsia="Arial" w:hAnsi="Arial"/>
          <w:sz w:val="18"/>
          <w:szCs w:val="18"/>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 and</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Non-GAAP financial measures are adjusted by the exclusion of the following items:</w:t>
      </w:r>
    </w:p>
    <w:p>
      <w:pPr>
        <w:spacing w:after="0" w:line="131" w:lineRule="exact"/>
        <w:rPr>
          <w:sz w:val="20"/>
          <w:szCs w:val="20"/>
          <w:color w:val="auto"/>
        </w:rPr>
      </w:pPr>
    </w:p>
    <w:p>
      <w:pPr>
        <w:ind w:left="900" w:right="20" w:hanging="325"/>
        <w:spacing w:after="0" w:line="255" w:lineRule="auto"/>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Share-based compensation</w:t>
      </w:r>
      <w:r>
        <w:rPr>
          <w:rFonts w:ascii="Arial" w:cs="Arial" w:eastAsia="Arial" w:hAnsi="Arial"/>
          <w:sz w:val="18"/>
          <w:szCs w:val="18"/>
          <w:color w:val="auto"/>
        </w:rPr>
        <w:t>. Share-based compensation relates primarily to employee stock options, restricted stock units and the employee stock</w:t>
      </w:r>
      <w:r>
        <w:rPr>
          <w:rFonts w:ascii="Arial" w:cs="Arial" w:eastAsia="Arial" w:hAnsi="Arial"/>
          <w:sz w:val="18"/>
          <w:szCs w:val="18"/>
          <w:i w:val="1"/>
          <w:iCs w:val="1"/>
          <w:color w:val="auto"/>
        </w:rPr>
        <w:t xml:space="preserve"> </w:t>
      </w:r>
      <w:r>
        <w:rPr>
          <w:rFonts w:ascii="Arial" w:cs="Arial" w:eastAsia="Arial" w:hAnsi="Arial"/>
          <w:sz w:val="18"/>
          <w:szCs w:val="18"/>
          <w:color w:val="auto"/>
        </w:rPr>
        <w:t>purchase plan. Share-based compensation expense is a non-cash expense that is affected by changes in market forces, such as the price of Marvell’s common shares, which is not within the control of management. In addition, the valuation of share-based compensation is highly subjective, and the expense recognized by Marvell may be significantly different than the expense recognized by other companies for similar equity awards, which makes it difficult to assess Marvell’s results compared to its competitors. Accordingly, management excludes this item from its internal operating forecasts and models.</w:t>
      </w:r>
    </w:p>
    <w:p>
      <w:pPr>
        <w:spacing w:after="0" w:line="12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270" w:right="239" w:bottom="1440" w:gutter="0" w:footer="0" w:header="0"/>
        </w:sectPr>
      </w:pPr>
    </w:p>
    <w:bookmarkStart w:id="2" w:name="page3"/>
    <w:bookmarkEnd w:id="2"/>
    <w:p>
      <w:pPr>
        <w:ind w:left="900" w:right="80" w:hanging="325"/>
        <w:spacing w:after="0" w:line="264"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Amortization and write-off of acquired intangible assets</w:t>
      </w:r>
      <w:r>
        <w:rPr>
          <w:rFonts w:ascii="Arial" w:cs="Arial" w:eastAsia="Arial" w:hAnsi="Arial"/>
          <w:sz w:val="18"/>
          <w:szCs w:val="18"/>
          <w:color w:val="auto"/>
        </w:rPr>
        <w:t>. Purchased intangible assets relate primarily to existing and core technology, and</w:t>
      </w:r>
      <w:r>
        <w:rPr>
          <w:rFonts w:ascii="Arial" w:cs="Arial" w:eastAsia="Arial" w:hAnsi="Arial"/>
          <w:sz w:val="18"/>
          <w:szCs w:val="18"/>
          <w:i w:val="1"/>
          <w:iCs w:val="1"/>
          <w:color w:val="auto"/>
        </w:rPr>
        <w:t xml:space="preserve"> </w:t>
      </w:r>
      <w:r>
        <w:rPr>
          <w:rFonts w:ascii="Arial" w:cs="Arial" w:eastAsia="Arial" w:hAnsi="Arial"/>
          <w:sz w:val="18"/>
          <w:szCs w:val="18"/>
          <w:color w:val="auto"/>
        </w:rPr>
        <w:t>customer relationships of acquired businesses. Management considers these charges non-cash in nature and unrelated to Marvell’s core operating performance.</w:t>
      </w:r>
    </w:p>
    <w:p>
      <w:pPr>
        <w:spacing w:after="0" w:line="86" w:lineRule="exact"/>
        <w:rPr>
          <w:rFonts w:ascii="Arial" w:cs="Arial" w:eastAsia="Arial" w:hAnsi="Arial"/>
          <w:sz w:val="18"/>
          <w:szCs w:val="18"/>
          <w:color w:val="auto"/>
        </w:rPr>
      </w:pPr>
    </w:p>
    <w:p>
      <w:pPr>
        <w:ind w:left="900" w:right="60" w:hanging="325"/>
        <w:spacing w:after="0" w:line="259"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Acquisition-related costs</w:t>
      </w:r>
      <w:r>
        <w:rPr>
          <w:rFonts w:ascii="Arial" w:cs="Arial" w:eastAsia="Arial" w:hAnsi="Arial"/>
          <w:sz w:val="18"/>
          <w:szCs w:val="18"/>
          <w:color w:val="auto"/>
        </w:rPr>
        <w:t>. Acquisition-related costs primarily include the amortization of retention bonuses required by the terms of the</w:t>
      </w:r>
      <w:r>
        <w:rPr>
          <w:rFonts w:ascii="Arial" w:cs="Arial" w:eastAsia="Arial" w:hAnsi="Arial"/>
          <w:sz w:val="18"/>
          <w:szCs w:val="18"/>
          <w:i w:val="1"/>
          <w:iCs w:val="1"/>
          <w:color w:val="auto"/>
        </w:rPr>
        <w:t xml:space="preserve"> </w:t>
      </w:r>
      <w:r>
        <w:rPr>
          <w:rFonts w:ascii="Arial" w:cs="Arial" w:eastAsia="Arial" w:hAnsi="Arial"/>
          <w:sz w:val="18"/>
          <w:szCs w:val="18"/>
          <w:color w:val="auto"/>
        </w:rPr>
        <w:t>acquisition. Management believes these charges are unrelated to the core operating activities for Marvell, and the frequency and variability in the nature of the charges can vary significantly from period to period. Excluding this data provides investors with a basis to compare Marvell’s performance against the performance of other companies without this variability.</w:t>
      </w:r>
    </w:p>
    <w:p>
      <w:pPr>
        <w:spacing w:after="0" w:line="92" w:lineRule="exact"/>
        <w:rPr>
          <w:rFonts w:ascii="Arial" w:cs="Arial" w:eastAsia="Arial" w:hAnsi="Arial"/>
          <w:sz w:val="18"/>
          <w:szCs w:val="18"/>
          <w:color w:val="auto"/>
        </w:rPr>
      </w:pPr>
    </w:p>
    <w:p>
      <w:pPr>
        <w:ind w:left="900" w:hanging="325"/>
        <w:spacing w:after="0" w:line="273" w:lineRule="auto"/>
        <w:tabs>
          <w:tab w:leader="none" w:pos="900" w:val="left"/>
        </w:tabs>
        <w:numPr>
          <w:ilvl w:val="0"/>
          <w:numId w:val="4"/>
        </w:numPr>
        <w:rPr>
          <w:rFonts w:ascii="Arial" w:cs="Arial" w:eastAsia="Arial" w:hAnsi="Arial"/>
          <w:sz w:val="17"/>
          <w:szCs w:val="17"/>
          <w:color w:val="auto"/>
        </w:rPr>
      </w:pPr>
      <w:r>
        <w:rPr>
          <w:rFonts w:ascii="Arial" w:cs="Arial" w:eastAsia="Arial" w:hAnsi="Arial"/>
          <w:sz w:val="17"/>
          <w:szCs w:val="17"/>
          <w:i w:val="1"/>
          <w:iCs w:val="1"/>
          <w:color w:val="auto"/>
        </w:rPr>
        <w:t>Restructuring and other exit-related costs</w:t>
      </w:r>
      <w:r>
        <w:rPr>
          <w:rFonts w:ascii="Arial" w:cs="Arial" w:eastAsia="Arial" w:hAnsi="Arial"/>
          <w:sz w:val="17"/>
          <w:szCs w:val="17"/>
          <w:color w:val="auto"/>
        </w:rPr>
        <w:t>. Restructuring and other exit-related costs include costs which qualify under U.S. GAAP as</w:t>
      </w:r>
      <w:r>
        <w:rPr>
          <w:rFonts w:ascii="Arial" w:cs="Arial" w:eastAsia="Arial" w:hAnsi="Arial"/>
          <w:sz w:val="17"/>
          <w:szCs w:val="17"/>
          <w:i w:val="1"/>
          <w:iCs w:val="1"/>
          <w:color w:val="auto"/>
        </w:rPr>
        <w:t xml:space="preserve"> </w:t>
      </w:r>
      <w:r>
        <w:rPr>
          <w:rFonts w:ascii="Arial" w:cs="Arial" w:eastAsia="Arial" w:hAnsi="Arial"/>
          <w:sz w:val="17"/>
          <w:szCs w:val="17"/>
          <w:color w:val="auto"/>
        </w:rPr>
        <w:t>restructuring costs, as well as operating expenses related to a product line classified as held-for-sale which did not qualify as discontinued operations. These charges are not directly related to Marvell’s ongoing or core business results. Management regularly excludes such items from internal operating forecasts and models because they are not considered a core operating activity for Marvell and because the frequency and variability in the nature of the charges can vary significantly from period to period. Excluding this data provides investors with a basis to compare Marvell’s performance against the performance of other companies without this variability.</w:t>
      </w:r>
    </w:p>
    <w:p>
      <w:pPr>
        <w:spacing w:after="0" w:line="83" w:lineRule="exact"/>
        <w:rPr>
          <w:rFonts w:ascii="Arial" w:cs="Arial" w:eastAsia="Arial" w:hAnsi="Arial"/>
          <w:sz w:val="17"/>
          <w:szCs w:val="17"/>
          <w:color w:val="auto"/>
        </w:rPr>
      </w:pPr>
    </w:p>
    <w:p>
      <w:pPr>
        <w:ind w:left="900" w:right="20" w:hanging="325"/>
        <w:spacing w:after="0" w:line="259"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Other</w:t>
      </w:r>
      <w:r>
        <w:rPr>
          <w:rFonts w:ascii="Arial" w:cs="Arial" w:eastAsia="Arial" w:hAnsi="Arial"/>
          <w:sz w:val="18"/>
          <w:szCs w:val="18"/>
          <w:color w:val="auto"/>
        </w:rPr>
        <w:t>. From time to time, Marvell has other costs/benefits that are not directly related to Marvell’s ongoing or core business results. For example,</w:t>
      </w:r>
      <w:r>
        <w:rPr>
          <w:rFonts w:ascii="Arial" w:cs="Arial" w:eastAsia="Arial" w:hAnsi="Arial"/>
          <w:sz w:val="18"/>
          <w:szCs w:val="18"/>
          <w:i w:val="1"/>
          <w:iCs w:val="1"/>
          <w:color w:val="auto"/>
        </w:rPr>
        <w:t xml:space="preserve"> </w:t>
      </w:r>
      <w:r>
        <w:rPr>
          <w:rFonts w:ascii="Arial" w:cs="Arial" w:eastAsia="Arial" w:hAnsi="Arial"/>
          <w:sz w:val="18"/>
          <w:szCs w:val="18"/>
          <w:color w:val="auto"/>
        </w:rPr>
        <w:t>in the fourth quarter ended February 1, 2014, Marvell recorded an expense of $9.5 million for settlement fees in connection litigation matters not related to Marvell’s litigation with Carnegie Mellon University. Excluding this data provides investors with a basis to compare Marvell’s performance against the performance of other companies without this variability.</w:t>
      </w:r>
    </w:p>
    <w:p>
      <w:pPr>
        <w:spacing w:after="0" w:line="18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calculation of non-GAAP net income per share is adjusted for the following item:</w:t>
      </w:r>
    </w:p>
    <w:p>
      <w:pPr>
        <w:spacing w:after="0" w:line="131" w:lineRule="exact"/>
        <w:rPr>
          <w:sz w:val="20"/>
          <w:szCs w:val="20"/>
          <w:color w:val="auto"/>
        </w:rPr>
      </w:pPr>
    </w:p>
    <w:p>
      <w:pPr>
        <w:ind w:left="900" w:right="20" w:hanging="325"/>
        <w:spacing w:after="0" w:line="255" w:lineRule="auto"/>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Non-GAAP net income per share is calculated by dividing non-GAAP net income by non-GAAP weighted average shares (diluted). For purposes of calculating non-GAAP net income per share, the GAAP weighted average shares outstanding (diluted) is adjusted to exclude the potential benefits of share-based compensation expected to be incurred in future periods but not yet recognized in the financial statements. For GAAP purposes under the treasury stock method, this future share-based compensation is treated as proceeds assumed to be used to repurchase shares. Since Marvell’s non-GAAP net income does not include share-based compensation, management believes the share-based compensation effect on diluted shares outstanding using the treasury stock method should similarly not be included in the calculation of non-GAAP diluted shares outstanding.</w:t>
      </w:r>
    </w:p>
    <w:p>
      <w:pPr>
        <w:spacing w:after="0" w:line="189" w:lineRule="exact"/>
        <w:rPr>
          <w:sz w:val="20"/>
          <w:szCs w:val="20"/>
          <w:color w:val="auto"/>
        </w:rPr>
      </w:pPr>
    </w:p>
    <w:p>
      <w:pPr>
        <w:ind w:right="80" w:firstLine="456"/>
        <w:spacing w:after="0" w:line="297" w:lineRule="auto"/>
        <w:rPr>
          <w:sz w:val="20"/>
          <w:szCs w:val="20"/>
          <w:color w:val="auto"/>
        </w:rPr>
      </w:pPr>
      <w:r>
        <w:rPr>
          <w:rFonts w:ascii="Arial" w:cs="Arial" w:eastAsia="Arial" w:hAnsi="Arial"/>
          <w:sz w:val="16"/>
          <w:szCs w:val="16"/>
          <w:color w:val="auto"/>
        </w:rPr>
        <w:t>Non-GAAP financial measures should be considered supplemental to, and not as a substitute for, or superior to, financial measures calculated in accordance with GAAP. 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Marvell’s non-GAAP net income should not be construed as an inference that these costs are unusual, infrequent or non-recurring.</w:t>
      </w:r>
    </w:p>
    <w:p>
      <w:pPr>
        <w:spacing w:after="0" w:line="303"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ind w:right="180" w:firstLine="456"/>
        <w:spacing w:after="0" w:line="259" w:lineRule="auto"/>
        <w:rPr>
          <w:sz w:val="20"/>
          <w:szCs w:val="20"/>
          <w:color w:val="auto"/>
        </w:rPr>
      </w:pPr>
      <w:r>
        <w:rPr>
          <w:rFonts w:ascii="Arial" w:cs="Arial" w:eastAsia="Arial" w:hAnsi="Arial"/>
          <w:sz w:val="18"/>
          <w:szCs w:val="18"/>
          <w:color w:val="auto"/>
        </w:rPr>
        <w:t>Marvell today announced that it had declared the payment of its quarterly dividend of $0.06 per share to be paid on July 2, 2014 to all shareholders of record as of June 12, 2014. The payment of future quarterly cash dividends is subject to, among other things, the best interests of its shareholders, its results of operations, cash balances and future cash requirements, financial condition, developments in ongoing litigation, statutory requirements of Bermuda law, and other factors that the board of directors may deem relevant.</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4" w:right="239" w:bottom="1440" w:gutter="0" w:footer="0" w:header="0"/>
        </w:sectPr>
      </w:pPr>
    </w:p>
    <w:bookmarkStart w:id="3" w:name="page4"/>
    <w:bookmarkEnd w:id="3"/>
    <w:p>
      <w:pPr>
        <w:spacing w:after="0"/>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35" w:lineRule="exact"/>
        <w:rPr>
          <w:sz w:val="20"/>
          <w:szCs w:val="20"/>
          <w:color w:val="auto"/>
        </w:rPr>
      </w:pPr>
    </w:p>
    <w:p>
      <w:pPr>
        <w:ind w:left="900" w:hanging="446"/>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Exhibits.</w:t>
      </w:r>
    </w:p>
    <w:p>
      <w:pPr>
        <w:spacing w:after="0" w:line="239"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May 22, 2014</w:t>
      </w:r>
    </w:p>
    <w:p>
      <w:pPr>
        <w:spacing w:after="0" w:line="158" w:lineRule="exact"/>
        <w:rPr>
          <w:sz w:val="20"/>
          <w:szCs w:val="20"/>
          <w:color w:val="auto"/>
        </w:rPr>
      </w:pPr>
    </w:p>
    <w:p>
      <w:pPr>
        <w:jc w:val="right"/>
        <w:ind w:right="445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219"/>
          </w:cols>
          <w:pgMar w:left="240" w:top="270" w:right="1440" w:bottom="1440" w:gutter="0" w:footer="0" w:header="0"/>
        </w:sectPr>
      </w:pPr>
    </w:p>
    <w:bookmarkStart w:id="4" w:name="page5"/>
    <w:bookmarkEnd w:id="4"/>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May 22, 2014</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Michael Rashkin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14605</wp:posOffset>
            </wp:positionV>
            <wp:extent cx="2658745"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Michael Rashkin</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Chief Financial Officer</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270" w:right="239" w:bottom="1440" w:gutter="0" w:footer="0" w:header="0"/>
        </w:sectPr>
      </w:pPr>
    </w:p>
    <w:bookmarkStart w:id="5" w:name="page6"/>
    <w:bookmarkEnd w:id="5"/>
    <w:p>
      <w:pPr>
        <w:jc w:val="right"/>
        <w:ind w:right="37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ectPr>
          <w:pgSz w:w="11900" w:h="16838" w:orient="portrait"/>
          <w:cols w:equalWidth="0" w:num="1">
            <w:col w:w="10219"/>
          </w:cols>
          <w:pgMar w:left="240" w:top="270" w:right="1440" w:bottom="1440" w:gutter="0" w:footer="0" w:header="0"/>
        </w:sectPr>
      </w:pPr>
    </w:p>
    <w:p>
      <w:pPr>
        <w:spacing w:after="0" w:line="252" w:lineRule="exact"/>
        <w:rPr>
          <w:sz w:val="20"/>
          <w:szCs w:val="20"/>
          <w:color w:val="auto"/>
        </w:rPr>
      </w:pPr>
    </w:p>
    <w:p>
      <w:pPr>
        <w:spacing w:after="0"/>
        <w:rPr>
          <w:sz w:val="20"/>
          <w:szCs w:val="20"/>
          <w:color w:val="auto"/>
        </w:rPr>
      </w:pPr>
      <w:r>
        <w:rPr>
          <w:rFonts w:ascii="Arial" w:cs="Arial" w:eastAsia="Arial" w:hAnsi="Arial"/>
          <w:sz w:val="14"/>
          <w:szCs w:val="14"/>
          <w:color w:val="auto"/>
        </w:rPr>
        <w:t>Exhibit No.</w:t>
      </w:r>
    </w:p>
    <w:p>
      <w:pPr>
        <w:spacing w:after="0" w:line="20" w:lineRule="exact"/>
        <w:rPr>
          <w:sz w:val="20"/>
          <w:szCs w:val="20"/>
          <w:color w:val="auto"/>
        </w:rPr>
      </w:pPr>
      <w:r>
        <w:rPr>
          <w:sz w:val="20"/>
          <w:szCs w:val="20"/>
          <w:color w:val="auto"/>
        </w:rPr>
        <w:br w:type="column"/>
      </w:r>
    </w:p>
    <w:p>
      <w:pPr>
        <w:spacing w:after="0" w:line="232" w:lineRule="exact"/>
        <w:rPr>
          <w:sz w:val="20"/>
          <w:szCs w:val="20"/>
          <w:color w:val="auto"/>
        </w:rPr>
      </w:pPr>
    </w:p>
    <w:p>
      <w:pPr>
        <w:spacing w:after="0"/>
        <w:rPr>
          <w:sz w:val="20"/>
          <w:szCs w:val="20"/>
          <w:color w:val="auto"/>
        </w:rPr>
      </w:pPr>
      <w:r>
        <w:rPr>
          <w:rFonts w:ascii="Arial" w:cs="Arial" w:eastAsia="Arial" w:hAnsi="Arial"/>
          <w:sz w:val="13"/>
          <w:szCs w:val="13"/>
          <w:color w:val="auto"/>
        </w:rPr>
        <w:t>Description</w:t>
      </w:r>
    </w:p>
    <w:p>
      <w:pPr>
        <w:spacing w:after="0" w:line="111" w:lineRule="exact"/>
        <w:rPr>
          <w:sz w:val="20"/>
          <w:szCs w:val="20"/>
          <w:color w:val="auto"/>
        </w:rPr>
      </w:pPr>
    </w:p>
    <w:p>
      <w:pPr>
        <w:sectPr>
          <w:pgSz w:w="11900" w:h="16838" w:orient="portrait"/>
          <w:cols w:equalWidth="0" w:num="2">
            <w:col w:w="740" w:space="720"/>
            <w:col w:w="8759"/>
          </w:cols>
          <w:pgMar w:left="240" w:top="270" w:right="1440" w:bottom="1440" w:gutter="0" w:footer="0" w:header="0"/>
          <w:type w:val="continuous"/>
        </w:sectPr>
      </w:pPr>
    </w:p>
    <w:p>
      <w:pPr>
        <w:spacing w:after="0"/>
        <w:rPr>
          <w:sz w:val="20"/>
          <w:szCs w:val="20"/>
          <w:color w:val="auto"/>
        </w:rPr>
      </w:pPr>
      <w:r>
        <w:rPr>
          <w:rFonts w:ascii="Arial" w:cs="Arial" w:eastAsia="Arial" w:hAnsi="Arial"/>
          <w:sz w:val="16"/>
          <w:szCs w:val="16"/>
          <w:color w:val="auto"/>
        </w:rPr>
        <w:t>99.1</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5"/>
          <w:szCs w:val="15"/>
          <w:color w:val="auto"/>
        </w:rPr>
        <w:t>Press Release dated May 22, 2014</w:t>
      </w:r>
    </w:p>
    <w:p>
      <w:pPr>
        <w:sectPr>
          <w:pgSz w:w="11900" w:h="16838" w:orient="portrait"/>
          <w:cols w:equalWidth="0" w:num="2">
            <w:col w:w="740" w:space="720"/>
            <w:col w:w="8759"/>
          </w:cols>
          <w:pgMar w:left="240" w:top="270" w:right="1440" w:bottom="1440" w:gutter="0" w:footer="0" w:header="0"/>
          <w:type w:val="continuous"/>
        </w:sectPr>
      </w:pPr>
    </w:p>
    <w:bookmarkStart w:id="6" w:name="page7"/>
    <w:bookmarkEnd w:id="6"/>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3846830</wp:posOffset>
            </wp:positionH>
            <wp:positionV relativeFrom="paragraph">
              <wp:posOffset>172085</wp:posOffset>
            </wp:positionV>
            <wp:extent cx="1920875" cy="14605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920875" cy="14605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0"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606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1580" w:type="dxa"/>
            <w:vAlign w:val="bottom"/>
          </w:tcPr>
          <w:p>
            <w:pPr>
              <w:spacing w:after="0"/>
              <w:rPr>
                <w:sz w:val="20"/>
                <w:szCs w:val="20"/>
                <w:color w:val="auto"/>
              </w:rPr>
            </w:pPr>
          </w:p>
        </w:tc>
      </w:tr>
      <w:tr>
        <w:trPr>
          <w:trHeight w:val="310"/>
        </w:trPr>
        <w:tc>
          <w:tcPr>
            <w:tcW w:w="6060" w:type="dxa"/>
            <w:vAlign w:val="bottom"/>
            <w:gridSpan w:val="2"/>
          </w:tcPr>
          <w:p>
            <w:pPr>
              <w:spacing w:after="0"/>
              <w:rPr>
                <w:sz w:val="20"/>
                <w:szCs w:val="20"/>
                <w:color w:val="auto"/>
              </w:rPr>
            </w:pPr>
            <w:r>
              <w:rPr>
                <w:rFonts w:ascii="Arial" w:cs="Arial" w:eastAsia="Arial" w:hAnsi="Arial"/>
                <w:sz w:val="18"/>
                <w:szCs w:val="18"/>
                <w:color w:val="auto"/>
              </w:rPr>
              <w:t>Sukhi Nagesh</w:t>
            </w:r>
          </w:p>
        </w:tc>
        <w:tc>
          <w:tcPr>
            <w:tcW w:w="1580" w:type="dxa"/>
            <w:vAlign w:val="bottom"/>
          </w:tcPr>
          <w:p>
            <w:pPr>
              <w:spacing w:after="0"/>
              <w:rPr>
                <w:sz w:val="20"/>
                <w:szCs w:val="20"/>
                <w:color w:val="auto"/>
              </w:rPr>
            </w:pPr>
            <w:r>
              <w:rPr>
                <w:rFonts w:ascii="Arial" w:cs="Arial" w:eastAsia="Arial" w:hAnsi="Arial"/>
                <w:sz w:val="18"/>
                <w:szCs w:val="18"/>
                <w:color w:val="auto"/>
              </w:rPr>
              <w:t>Sue Kim</w:t>
            </w:r>
          </w:p>
        </w:tc>
      </w:tr>
      <w:tr>
        <w:trPr>
          <w:trHeight w:val="216"/>
        </w:trPr>
        <w:tc>
          <w:tcPr>
            <w:tcW w:w="606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1580" w:type="dxa"/>
            <w:vAlign w:val="bottom"/>
          </w:tcPr>
          <w:p>
            <w:pPr>
              <w:spacing w:after="0"/>
              <w:rPr>
                <w:sz w:val="20"/>
                <w:szCs w:val="20"/>
                <w:color w:val="auto"/>
              </w:rPr>
            </w:pPr>
            <w:r>
              <w:rPr>
                <w:rFonts w:ascii="Arial" w:cs="Arial" w:eastAsia="Arial" w:hAnsi="Arial"/>
                <w:sz w:val="18"/>
                <w:szCs w:val="18"/>
                <w:color w:val="auto"/>
              </w:rPr>
              <w:t>Media Relations</w:t>
            </w:r>
          </w:p>
        </w:tc>
      </w:tr>
      <w:tr>
        <w:trPr>
          <w:trHeight w:val="216"/>
        </w:trPr>
        <w:tc>
          <w:tcPr>
            <w:tcW w:w="1460" w:type="dxa"/>
            <w:vAlign w:val="bottom"/>
          </w:tcPr>
          <w:p>
            <w:pPr>
              <w:spacing w:after="0"/>
              <w:rPr>
                <w:sz w:val="20"/>
                <w:szCs w:val="20"/>
                <w:color w:val="auto"/>
              </w:rPr>
            </w:pPr>
            <w:r>
              <w:rPr>
                <w:rFonts w:ascii="Arial" w:cs="Arial" w:eastAsia="Arial" w:hAnsi="Arial"/>
                <w:sz w:val="18"/>
                <w:szCs w:val="18"/>
                <w:color w:val="auto"/>
              </w:rPr>
              <w:t>408-222-8373</w:t>
            </w:r>
          </w:p>
        </w:tc>
        <w:tc>
          <w:tcPr>
            <w:tcW w:w="4600" w:type="dxa"/>
            <w:vAlign w:val="bottom"/>
          </w:tcPr>
          <w:p>
            <w:pPr>
              <w:spacing w:after="0"/>
              <w:rPr>
                <w:sz w:val="18"/>
                <w:szCs w:val="18"/>
                <w:color w:val="auto"/>
              </w:rPr>
            </w:pPr>
          </w:p>
        </w:tc>
        <w:tc>
          <w:tcPr>
            <w:tcW w:w="1580" w:type="dxa"/>
            <w:vAlign w:val="bottom"/>
          </w:tcPr>
          <w:p>
            <w:pPr>
              <w:spacing w:after="0"/>
              <w:rPr>
                <w:sz w:val="20"/>
                <w:szCs w:val="20"/>
                <w:color w:val="auto"/>
              </w:rPr>
            </w:pPr>
            <w:r>
              <w:rPr>
                <w:rFonts w:ascii="Arial" w:cs="Arial" w:eastAsia="Arial" w:hAnsi="Arial"/>
                <w:sz w:val="18"/>
                <w:szCs w:val="18"/>
                <w:color w:val="auto"/>
              </w:rPr>
              <w:t>408-222-1942</w:t>
            </w:r>
          </w:p>
        </w:tc>
      </w:tr>
      <w:tr>
        <w:trPr>
          <w:trHeight w:val="190"/>
        </w:trPr>
        <w:tc>
          <w:tcPr>
            <w:tcW w:w="6060" w:type="dxa"/>
            <w:vAlign w:val="bottom"/>
            <w:gridSpan w:val="2"/>
          </w:tcPr>
          <w:p>
            <w:pPr>
              <w:spacing w:after="0" w:line="190" w:lineRule="exact"/>
              <w:rPr>
                <w:sz w:val="20"/>
                <w:szCs w:val="20"/>
                <w:color w:val="auto"/>
              </w:rPr>
            </w:pPr>
            <w:r>
              <w:rPr>
                <w:rFonts w:ascii="Arial" w:cs="Arial" w:eastAsia="Arial" w:hAnsi="Arial"/>
                <w:sz w:val="18"/>
                <w:szCs w:val="18"/>
                <w:color w:val="auto"/>
              </w:rPr>
              <w:t>sukhi@marvell.com</w:t>
            </w:r>
          </w:p>
        </w:tc>
        <w:tc>
          <w:tcPr>
            <w:tcW w:w="1580" w:type="dxa"/>
            <w:vAlign w:val="bottom"/>
          </w:tcPr>
          <w:p>
            <w:pPr>
              <w:spacing w:after="0" w:line="190" w:lineRule="exact"/>
              <w:rPr>
                <w:sz w:val="20"/>
                <w:szCs w:val="20"/>
                <w:color w:val="auto"/>
              </w:rPr>
            </w:pPr>
            <w:r>
              <w:rPr>
                <w:rFonts w:ascii="Arial" w:cs="Arial" w:eastAsia="Arial" w:hAnsi="Arial"/>
                <w:sz w:val="18"/>
                <w:szCs w:val="18"/>
                <w:color w:val="auto"/>
                <w:w w:val="90"/>
              </w:rPr>
              <w:t>suekim@marvell.com</w:t>
            </w:r>
          </w:p>
        </w:tc>
      </w:tr>
      <w:tr>
        <w:trPr>
          <w:trHeight w:val="20"/>
        </w:trPr>
        <w:tc>
          <w:tcPr>
            <w:tcW w:w="1460" w:type="dxa"/>
            <w:vAlign w:val="bottom"/>
            <w:shd w:val="clear" w:color="auto" w:fill="000000"/>
          </w:tcPr>
          <w:p>
            <w:pPr>
              <w:spacing w:after="0" w:line="20" w:lineRule="exact"/>
              <w:rPr>
                <w:sz w:val="1"/>
                <w:szCs w:val="1"/>
                <w:color w:val="auto"/>
              </w:rPr>
            </w:pPr>
          </w:p>
        </w:tc>
        <w:tc>
          <w:tcPr>
            <w:tcW w:w="4600" w:type="dxa"/>
            <w:vAlign w:val="bottom"/>
          </w:tcPr>
          <w:p>
            <w:pPr>
              <w:spacing w:after="0" w:line="20" w:lineRule="exact"/>
              <w:rPr>
                <w:sz w:val="1"/>
                <w:szCs w:val="1"/>
                <w:color w:val="auto"/>
              </w:rPr>
            </w:pPr>
          </w:p>
        </w:tc>
        <w:tc>
          <w:tcPr>
            <w:tcW w:w="1580" w:type="dxa"/>
            <w:vAlign w:val="bottom"/>
            <w:shd w:val="clear" w:color="auto" w:fill="000000"/>
          </w:tcPr>
          <w:p>
            <w:pPr>
              <w:spacing w:after="0" w:line="20" w:lineRule="exact"/>
              <w:rPr>
                <w:sz w:val="1"/>
                <w:szCs w:val="1"/>
                <w:color w:val="auto"/>
              </w:rPr>
            </w:pPr>
          </w:p>
        </w:tc>
      </w:tr>
    </w:tbl>
    <w:p>
      <w:pPr>
        <w:spacing w:after="0" w:line="216"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Marvell Technology Group Ltd. Reports First Quarter of Fiscal Year 2015 Financial Results</w:t>
      </w:r>
    </w:p>
    <w:p>
      <w:pPr>
        <w:spacing w:after="0" w:line="215" w:lineRule="exact"/>
        <w:rPr>
          <w:sz w:val="20"/>
          <w:szCs w:val="20"/>
          <w:color w:val="auto"/>
        </w:rPr>
      </w:pPr>
    </w:p>
    <w:p>
      <w:pPr>
        <w:ind w:right="240"/>
        <w:spacing w:after="0" w:line="282" w:lineRule="auto"/>
        <w:rPr>
          <w:sz w:val="20"/>
          <w:szCs w:val="20"/>
          <w:color w:val="auto"/>
        </w:rPr>
      </w:pPr>
      <w:r>
        <w:rPr>
          <w:rFonts w:ascii="Arial" w:cs="Arial" w:eastAsia="Arial" w:hAnsi="Arial"/>
          <w:sz w:val="18"/>
          <w:szCs w:val="18"/>
          <w:b w:val="1"/>
          <w:bCs w:val="1"/>
          <w:color w:val="auto"/>
        </w:rPr>
        <w:t xml:space="preserve">Santa Clara, Calif. (May 22, 2014) </w:t>
      </w:r>
      <w:r>
        <w:rPr>
          <w:rFonts w:ascii="Arial" w:cs="Arial" w:eastAsia="Arial" w:hAnsi="Arial"/>
          <w:sz w:val="18"/>
          <w:szCs w:val="18"/>
          <w:color w:val="auto"/>
        </w:rPr>
        <w:t>— Marvell Technology Group Ltd. (NASDAQ: MRVL), a global leader in integrated silicon solutions, today reported</w:t>
      </w:r>
      <w:r>
        <w:rPr>
          <w:rFonts w:ascii="Arial" w:cs="Arial" w:eastAsia="Arial" w:hAnsi="Arial"/>
          <w:sz w:val="18"/>
          <w:szCs w:val="18"/>
          <w:b w:val="1"/>
          <w:bCs w:val="1"/>
          <w:color w:val="auto"/>
        </w:rPr>
        <w:t xml:space="preserve"> </w:t>
      </w:r>
      <w:r>
        <w:rPr>
          <w:rFonts w:ascii="Arial" w:cs="Arial" w:eastAsia="Arial" w:hAnsi="Arial"/>
          <w:sz w:val="18"/>
          <w:szCs w:val="18"/>
          <w:color w:val="auto"/>
        </w:rPr>
        <w:t>financial results for the first quarter of fiscal year 2015, ended May 3, 2014.</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Key First Quarter of Fiscal 2015 Financial Highlights</w:t>
      </w:r>
    </w:p>
    <w:p>
      <w:pPr>
        <w:spacing w:after="0" w:line="135" w:lineRule="exact"/>
        <w:rPr>
          <w:sz w:val="20"/>
          <w:szCs w:val="20"/>
          <w:color w:val="auto"/>
        </w:rPr>
      </w:pPr>
    </w:p>
    <w:p>
      <w:pPr>
        <w:ind w:left="660" w:hanging="206"/>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color w:val="auto"/>
        </w:rPr>
        <w:t>Revenue: Q1 FY 2015, $958 Million</w:t>
      </w:r>
    </w:p>
    <w:p>
      <w:pPr>
        <w:spacing w:after="0" w:line="130" w:lineRule="exact"/>
        <w:rPr>
          <w:rFonts w:ascii="Arial" w:cs="Arial" w:eastAsia="Arial" w:hAnsi="Arial"/>
          <w:sz w:val="18"/>
          <w:szCs w:val="18"/>
          <w:color w:val="auto"/>
        </w:rPr>
      </w:pPr>
    </w:p>
    <w:p>
      <w:pPr>
        <w:ind w:left="660" w:hanging="206"/>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color w:val="auto"/>
        </w:rPr>
        <w:t>GAAP Net Income: Q1 FY 2015, $99 Million</w:t>
      </w:r>
    </w:p>
    <w:p>
      <w:pPr>
        <w:spacing w:after="0" w:line="130" w:lineRule="exact"/>
        <w:rPr>
          <w:rFonts w:ascii="Arial" w:cs="Arial" w:eastAsia="Arial" w:hAnsi="Arial"/>
          <w:sz w:val="18"/>
          <w:szCs w:val="18"/>
          <w:color w:val="auto"/>
        </w:rPr>
      </w:pPr>
    </w:p>
    <w:p>
      <w:pPr>
        <w:ind w:left="660" w:hanging="206"/>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color w:val="auto"/>
        </w:rPr>
        <w:t>GAAP Diluted EPS: Q1 FY 2015, $0.19</w:t>
      </w:r>
    </w:p>
    <w:p>
      <w:pPr>
        <w:spacing w:after="0" w:line="130" w:lineRule="exact"/>
        <w:rPr>
          <w:rFonts w:ascii="Arial" w:cs="Arial" w:eastAsia="Arial" w:hAnsi="Arial"/>
          <w:sz w:val="18"/>
          <w:szCs w:val="18"/>
          <w:color w:val="auto"/>
        </w:rPr>
      </w:pPr>
    </w:p>
    <w:p>
      <w:pPr>
        <w:ind w:left="660" w:hanging="206"/>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color w:val="auto"/>
        </w:rPr>
        <w:t>Non-GAAP Net Income: Q1 FY 2015, $144 Million</w:t>
      </w:r>
    </w:p>
    <w:p>
      <w:pPr>
        <w:spacing w:after="0" w:line="130" w:lineRule="exact"/>
        <w:rPr>
          <w:rFonts w:ascii="Arial" w:cs="Arial" w:eastAsia="Arial" w:hAnsi="Arial"/>
          <w:sz w:val="18"/>
          <w:szCs w:val="18"/>
          <w:color w:val="auto"/>
        </w:rPr>
      </w:pPr>
    </w:p>
    <w:p>
      <w:pPr>
        <w:ind w:left="660" w:hanging="206"/>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color w:val="auto"/>
        </w:rPr>
        <w:t>Non-GAAP Diluted EPS: Q1 FY 2015, $0.27</w:t>
      </w:r>
    </w:p>
    <w:p>
      <w:pPr>
        <w:spacing w:after="0" w:line="130" w:lineRule="exact"/>
        <w:rPr>
          <w:rFonts w:ascii="Arial" w:cs="Arial" w:eastAsia="Arial" w:hAnsi="Arial"/>
          <w:sz w:val="18"/>
          <w:szCs w:val="18"/>
          <w:color w:val="auto"/>
        </w:rPr>
      </w:pPr>
    </w:p>
    <w:p>
      <w:pPr>
        <w:ind w:left="660" w:hanging="206"/>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color w:val="auto"/>
        </w:rPr>
        <w:t>Free Cash Flow: Q1 FY 2015, $211 Million</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Second Quarter of Fiscal 2015 Financial Outlook</w:t>
      </w:r>
    </w:p>
    <w:p>
      <w:pPr>
        <w:spacing w:after="0" w:line="121" w:lineRule="exact"/>
        <w:rPr>
          <w:sz w:val="20"/>
          <w:szCs w:val="20"/>
          <w:color w:val="auto"/>
        </w:rPr>
      </w:pPr>
    </w:p>
    <w:p>
      <w:pPr>
        <w:ind w:right="660"/>
        <w:spacing w:after="0" w:line="277" w:lineRule="auto"/>
        <w:rPr>
          <w:sz w:val="20"/>
          <w:szCs w:val="20"/>
          <w:color w:val="auto"/>
        </w:rPr>
      </w:pPr>
      <w:r>
        <w:rPr>
          <w:rFonts w:ascii="Arial" w:cs="Arial" w:eastAsia="Arial" w:hAnsi="Arial"/>
          <w:sz w:val="18"/>
          <w:szCs w:val="18"/>
          <w:color w:val="auto"/>
        </w:rPr>
        <w:t>Marvell’s financial outlook does not include the potential impact of future share repurchases, pending litigation matters, business combinations, asset acquisitions or other investments that may be completed after May 3, 2014.</w:t>
      </w:r>
    </w:p>
    <w:p>
      <w:pPr>
        <w:spacing w:after="0" w:line="76" w:lineRule="exact"/>
        <w:rPr>
          <w:sz w:val="20"/>
          <w:szCs w:val="20"/>
          <w:color w:val="auto"/>
        </w:rPr>
      </w:pPr>
    </w:p>
    <w:p>
      <w:pPr>
        <w:ind w:left="660" w:hanging="206"/>
        <w:spacing w:after="0"/>
        <w:tabs>
          <w:tab w:leader="none" w:pos="660" w:val="left"/>
        </w:tabs>
        <w:numPr>
          <w:ilvl w:val="0"/>
          <w:numId w:val="8"/>
        </w:numPr>
        <w:rPr>
          <w:rFonts w:ascii="Arial" w:cs="Arial" w:eastAsia="Arial" w:hAnsi="Arial"/>
          <w:sz w:val="18"/>
          <w:szCs w:val="18"/>
          <w:color w:val="auto"/>
        </w:rPr>
      </w:pPr>
      <w:r>
        <w:rPr>
          <w:rFonts w:ascii="Arial" w:cs="Arial" w:eastAsia="Arial" w:hAnsi="Arial"/>
          <w:sz w:val="18"/>
          <w:szCs w:val="18"/>
          <w:color w:val="auto"/>
        </w:rPr>
        <w:t>Revenue is expected to be in the range of $940 to $980 Million.</w:t>
      </w:r>
    </w:p>
    <w:p>
      <w:pPr>
        <w:spacing w:after="0" w:line="130" w:lineRule="exact"/>
        <w:rPr>
          <w:rFonts w:ascii="Arial" w:cs="Arial" w:eastAsia="Arial" w:hAnsi="Arial"/>
          <w:sz w:val="18"/>
          <w:szCs w:val="18"/>
          <w:color w:val="auto"/>
        </w:rPr>
      </w:pPr>
    </w:p>
    <w:p>
      <w:pPr>
        <w:ind w:left="660" w:right="100" w:hanging="206"/>
        <w:spacing w:after="0" w:line="277" w:lineRule="auto"/>
        <w:tabs>
          <w:tab w:leader="none" w:pos="660" w:val="left"/>
        </w:tabs>
        <w:numPr>
          <w:ilvl w:val="0"/>
          <w:numId w:val="8"/>
        </w:numPr>
        <w:rPr>
          <w:rFonts w:ascii="Arial" w:cs="Arial" w:eastAsia="Arial" w:hAnsi="Arial"/>
          <w:sz w:val="18"/>
          <w:szCs w:val="18"/>
          <w:color w:val="auto"/>
        </w:rPr>
      </w:pPr>
      <w:r>
        <w:rPr>
          <w:rFonts w:ascii="Arial" w:cs="Arial" w:eastAsia="Arial" w:hAnsi="Arial"/>
          <w:sz w:val="18"/>
          <w:szCs w:val="18"/>
          <w:color w:val="auto"/>
        </w:rPr>
        <w:t>GAAP Gross Margin is expected to be in the range of 49.7% +/- 100 bps. Non-GAAP Gross Margin is expected to be in the range of 50.0% +/- 100 bps.</w:t>
      </w:r>
    </w:p>
    <w:p>
      <w:pPr>
        <w:spacing w:after="0" w:line="75" w:lineRule="exact"/>
        <w:rPr>
          <w:rFonts w:ascii="Arial" w:cs="Arial" w:eastAsia="Arial" w:hAnsi="Arial"/>
          <w:sz w:val="18"/>
          <w:szCs w:val="18"/>
          <w:color w:val="auto"/>
        </w:rPr>
      </w:pPr>
    </w:p>
    <w:p>
      <w:pPr>
        <w:ind w:left="660" w:right="260" w:hanging="206"/>
        <w:spacing w:after="0" w:line="277" w:lineRule="auto"/>
        <w:tabs>
          <w:tab w:leader="none" w:pos="660" w:val="left"/>
        </w:tabs>
        <w:numPr>
          <w:ilvl w:val="0"/>
          <w:numId w:val="8"/>
        </w:numPr>
        <w:rPr>
          <w:rFonts w:ascii="Arial" w:cs="Arial" w:eastAsia="Arial" w:hAnsi="Arial"/>
          <w:sz w:val="18"/>
          <w:szCs w:val="18"/>
          <w:color w:val="auto"/>
        </w:rPr>
      </w:pPr>
      <w:r>
        <w:rPr>
          <w:rFonts w:ascii="Arial" w:cs="Arial" w:eastAsia="Arial" w:hAnsi="Arial"/>
          <w:sz w:val="18"/>
          <w:szCs w:val="18"/>
          <w:color w:val="auto"/>
        </w:rPr>
        <w:t>GAAP Operating Expenses are expected to be in the range of $365 Million +/- $10 Million. Non-GAAP Operating Expenses to be in the range of $330 Million +/- $10 Million.</w:t>
      </w:r>
    </w:p>
    <w:p>
      <w:pPr>
        <w:spacing w:after="0" w:line="75" w:lineRule="exact"/>
        <w:rPr>
          <w:rFonts w:ascii="Arial" w:cs="Arial" w:eastAsia="Arial" w:hAnsi="Arial"/>
          <w:sz w:val="18"/>
          <w:szCs w:val="18"/>
          <w:color w:val="auto"/>
        </w:rPr>
      </w:pPr>
    </w:p>
    <w:p>
      <w:pPr>
        <w:ind w:left="660" w:hanging="206"/>
        <w:spacing w:after="0"/>
        <w:tabs>
          <w:tab w:leader="none" w:pos="660" w:val="left"/>
        </w:tabs>
        <w:numPr>
          <w:ilvl w:val="0"/>
          <w:numId w:val="8"/>
        </w:numPr>
        <w:rPr>
          <w:rFonts w:ascii="Arial" w:cs="Arial" w:eastAsia="Arial" w:hAnsi="Arial"/>
          <w:sz w:val="17"/>
          <w:szCs w:val="17"/>
          <w:color w:val="auto"/>
        </w:rPr>
      </w:pPr>
      <w:r>
        <w:rPr>
          <w:rFonts w:ascii="Arial" w:cs="Arial" w:eastAsia="Arial" w:hAnsi="Arial"/>
          <w:sz w:val="17"/>
          <w:szCs w:val="17"/>
          <w:color w:val="auto"/>
        </w:rPr>
        <w:t>GAAP Diluted EPS expected to be in the range of $0.21 +/- $0.02. Non-GAAP Diluted EPS expected to be in the range of $0.28 +/- $0.02.</w:t>
      </w:r>
    </w:p>
    <w:p>
      <w:pPr>
        <w:sectPr>
          <w:pgSz w:w="11900" w:h="16838" w:orient="portrait"/>
          <w:cols w:equalWidth="0" w:num="1">
            <w:col w:w="11420"/>
          </w:cols>
          <w:pgMar w:left="240" w:top="121" w:right="239" w:bottom="1440" w:gutter="0" w:footer="0" w:header="0"/>
        </w:sectPr>
      </w:pPr>
    </w:p>
    <w:bookmarkStart w:id="7" w:name="page8"/>
    <w:bookmarkEnd w:id="7"/>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First Quarter of Fiscal 2015 Summary</w:t>
      </w:r>
    </w:p>
    <w:p>
      <w:pPr>
        <w:spacing w:after="0" w:line="121" w:lineRule="exact"/>
        <w:rPr>
          <w:sz w:val="20"/>
          <w:szCs w:val="20"/>
          <w:color w:val="auto"/>
        </w:rPr>
      </w:pPr>
    </w:p>
    <w:p>
      <w:pPr>
        <w:ind w:right="840"/>
        <w:spacing w:after="0" w:line="308" w:lineRule="auto"/>
        <w:rPr>
          <w:sz w:val="20"/>
          <w:szCs w:val="20"/>
          <w:color w:val="auto"/>
        </w:rPr>
      </w:pPr>
      <w:r>
        <w:rPr>
          <w:rFonts w:ascii="Arial" w:cs="Arial" w:eastAsia="Arial" w:hAnsi="Arial"/>
          <w:sz w:val="17"/>
          <w:szCs w:val="17"/>
          <w:color w:val="auto"/>
        </w:rPr>
        <w:t>Revenue for the first quarter of fiscal 2015 was $958 million, an increase of 3 percent from $932 million in the fourth quarter of fiscal 2014, ended February 1, 2014, and a 30 percent increase from revenue of $734 million in the first quarter of fiscal 2014, ended May 4, 2013.</w:t>
      </w:r>
    </w:p>
    <w:p>
      <w:pPr>
        <w:spacing w:after="0" w:line="147" w:lineRule="exact"/>
        <w:rPr>
          <w:sz w:val="20"/>
          <w:szCs w:val="20"/>
          <w:color w:val="auto"/>
        </w:rPr>
      </w:pPr>
    </w:p>
    <w:p>
      <w:pPr>
        <w:ind w:right="80"/>
        <w:spacing w:after="0" w:line="308" w:lineRule="auto"/>
        <w:rPr>
          <w:sz w:val="20"/>
          <w:szCs w:val="20"/>
          <w:color w:val="auto"/>
        </w:rPr>
      </w:pPr>
      <w:r>
        <w:rPr>
          <w:rFonts w:ascii="Arial" w:cs="Arial" w:eastAsia="Arial" w:hAnsi="Arial"/>
          <w:sz w:val="17"/>
          <w:szCs w:val="17"/>
          <w:color w:val="auto"/>
        </w:rPr>
        <w:t>GAAP net income for the first quarter of fiscal 2015 was $99 million, or $0.19 per share (diluted), compared with GAAP net income of $97 million, or $0.19 per share (diluted), for the fourth quarter of fiscal 2014, and $53 million, or $0.11 per share (diluted), for the first quarter of fiscal 2014.</w:t>
      </w:r>
    </w:p>
    <w:p>
      <w:pPr>
        <w:spacing w:after="0" w:line="147" w:lineRule="exact"/>
        <w:rPr>
          <w:sz w:val="20"/>
          <w:szCs w:val="20"/>
          <w:color w:val="auto"/>
        </w:rPr>
      </w:pPr>
    </w:p>
    <w:p>
      <w:pPr>
        <w:jc w:val="both"/>
        <w:ind w:right="400"/>
        <w:spacing w:after="0" w:line="342" w:lineRule="auto"/>
        <w:rPr>
          <w:sz w:val="20"/>
          <w:szCs w:val="20"/>
          <w:color w:val="auto"/>
        </w:rPr>
      </w:pPr>
      <w:r>
        <w:rPr>
          <w:rFonts w:ascii="Arial" w:cs="Arial" w:eastAsia="Arial" w:hAnsi="Arial"/>
          <w:sz w:val="16"/>
          <w:szCs w:val="16"/>
          <w:color w:val="auto"/>
        </w:rPr>
        <w:t>Non-GAAP net income was $144 million, or $0.27 per share (diluted), for the first quarter of fiscal 2015, compared with non-GAAP net income of $151 million, or $0.29 per share (diluted), for the fourth quarter of fiscal 2014 and $98 million, or $0.19 per share (diluted), for the first quarter of fiscal 2014.</w:t>
      </w:r>
    </w:p>
    <w:p>
      <w:pPr>
        <w:spacing w:after="0" w:line="124" w:lineRule="exact"/>
        <w:rPr>
          <w:sz w:val="20"/>
          <w:szCs w:val="20"/>
          <w:color w:val="auto"/>
        </w:rPr>
      </w:pPr>
    </w:p>
    <w:p>
      <w:pPr>
        <w:spacing w:after="0" w:line="264" w:lineRule="auto"/>
        <w:rPr>
          <w:sz w:val="20"/>
          <w:szCs w:val="20"/>
          <w:color w:val="auto"/>
        </w:rPr>
      </w:pPr>
      <w:r>
        <w:rPr>
          <w:rFonts w:ascii="Arial" w:cs="Arial" w:eastAsia="Arial" w:hAnsi="Arial"/>
          <w:sz w:val="18"/>
          <w:szCs w:val="18"/>
          <w:color w:val="auto"/>
        </w:rPr>
        <w:t>“We delivered solid first quarter results, driven by better than expected demand for our LTE solutions,” said Dr. Sehat Sutardja, Marvell’s Chairman and Chief Executive Officer. “Looking forward, we continue to focus on increasing our share across all our end markets and are investing appropriately in advanced technologies that will drive our success.”</w:t>
      </w:r>
    </w:p>
    <w:p>
      <w:pPr>
        <w:spacing w:after="0" w:line="181" w:lineRule="exact"/>
        <w:rPr>
          <w:sz w:val="20"/>
          <w:szCs w:val="20"/>
          <w:color w:val="auto"/>
        </w:rPr>
      </w:pPr>
    </w:p>
    <w:p>
      <w:pPr>
        <w:ind w:right="40"/>
        <w:spacing w:after="0" w:line="257" w:lineRule="auto"/>
        <w:rPr>
          <w:sz w:val="20"/>
          <w:szCs w:val="20"/>
          <w:color w:val="auto"/>
        </w:rPr>
      </w:pPr>
      <w:r>
        <w:rPr>
          <w:rFonts w:ascii="Arial" w:cs="Arial" w:eastAsia="Arial" w:hAnsi="Arial"/>
          <w:sz w:val="18"/>
          <w:szCs w:val="18"/>
          <w:color w:val="auto"/>
        </w:rPr>
        <w:t>Marvell reports net income, basic and diluted net income per share, in accordance with U.S. generally accepted accounting principles (GAAP) and on a non-GAAP basis as outlined below. Reconciliations of GAAP net income to non-GAAP net income for the three months ended May 3, 2014, February 1, 2014 and May 4, 2013 appear in the financial statements below. Non-GAAP net income, where applicable, excludes the effect of share-based compensation, amortization and write-off of acquired intangible assets, acquisition-related costs, restructuring and other exit related costs, and certain one-time expenses and benefits.</w:t>
      </w:r>
    </w:p>
    <w:p>
      <w:pPr>
        <w:spacing w:after="0" w:line="188" w:lineRule="exact"/>
        <w:rPr>
          <w:sz w:val="20"/>
          <w:szCs w:val="20"/>
          <w:color w:val="auto"/>
        </w:rPr>
      </w:pPr>
    </w:p>
    <w:p>
      <w:pPr>
        <w:ind w:right="240"/>
        <w:spacing w:after="0" w:line="277" w:lineRule="auto"/>
        <w:rPr>
          <w:sz w:val="20"/>
          <w:szCs w:val="20"/>
          <w:color w:val="auto"/>
        </w:rPr>
      </w:pPr>
      <w:r>
        <w:rPr>
          <w:rFonts w:ascii="Arial" w:cs="Arial" w:eastAsia="Arial" w:hAnsi="Arial"/>
          <w:sz w:val="18"/>
          <w:szCs w:val="18"/>
          <w:color w:val="auto"/>
        </w:rPr>
        <w:t>GAAP gross margin for the first quarter of fiscal 2015 was 48.4 percent, compared to 48.8 percent for the fourth quarter of fiscal 2014 and 54.3 percent for the first quarter of fiscal 2014.</w:t>
      </w:r>
    </w:p>
    <w:p>
      <w:pPr>
        <w:spacing w:after="0" w:line="170"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color w:val="auto"/>
        </w:rPr>
        <w:t>Non-GAAP gross margin for the first quarter of fiscal 2015 was 48.8 percent, compared to 50.1 percent for the fourth quarter of fiscal 2014 and 54.6 percent for the first quarter of fiscal 2014.</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270" w:right="239" w:bottom="1440" w:gutter="0" w:footer="0" w:header="0"/>
        </w:sectPr>
      </w:pPr>
    </w:p>
    <w:bookmarkStart w:id="8" w:name="page9"/>
    <w:bookmarkEnd w:id="8"/>
    <w:p>
      <w:pPr>
        <w:ind w:right="1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Shares used to compute GAAP net income per diluted share for the first quarter of fiscal 2015 were 521 million shares, compared with 510 million shares in the fourth quarter of fiscal 2014 and 505 million shares in the first quarter of fiscal 2014.</w:t>
      </w:r>
    </w:p>
    <w:p>
      <w:pPr>
        <w:spacing w:after="0" w:line="170"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Shares used to compute non-GAAP net income per diluted share for the first quarter of fiscal 2015 were 530 million shares, compared with 523 million shares for the fourth quarter of fiscal 2014 and 522 million shares for the first quarter of fiscal 2014.</w:t>
      </w:r>
    </w:p>
    <w:p>
      <w:pPr>
        <w:spacing w:after="0" w:line="170" w:lineRule="exact"/>
        <w:rPr>
          <w:sz w:val="20"/>
          <w:szCs w:val="20"/>
          <w:color w:val="auto"/>
        </w:rPr>
      </w:pPr>
    </w:p>
    <w:p>
      <w:pPr>
        <w:ind w:right="40"/>
        <w:spacing w:after="0" w:line="257" w:lineRule="auto"/>
        <w:rPr>
          <w:sz w:val="20"/>
          <w:szCs w:val="20"/>
          <w:color w:val="auto"/>
        </w:rPr>
      </w:pPr>
      <w:r>
        <w:rPr>
          <w:rFonts w:ascii="Arial" w:cs="Arial" w:eastAsia="Arial" w:hAnsi="Arial"/>
          <w:sz w:val="18"/>
          <w:szCs w:val="18"/>
          <w:color w:val="auto"/>
        </w:rPr>
        <w:t>Cash flow from operations for the first quarter of fiscal 2015 was $235 million, compared to the $100 million reported in the fourth quarter of fiscal 2014 and the $84 million reported in the first quarter of fiscal 2014. Free cash flow for the first quarter of fiscal 2015 was $211 million, compared to the $82 million reported in the fourth quarter of fiscal 2014 and the $53 million reported in the first quarter of fiscal 2014. Free cash flow as presented above is defined as cash flow from operations, less capital expenditures and purchases of technology licenses reported under investing and financing activities in the consolidated statement of cash flows.</w:t>
      </w:r>
    </w:p>
    <w:p>
      <w:pPr>
        <w:spacing w:after="0" w:line="188"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color w:val="auto"/>
        </w:rPr>
        <w:t>Marvell paid a quarterly dividend of $0.06 per share on March 27, 2014 to all shareholders of record as of March 13, 2014. Marvell intends to pay its next quarterly dividend of $0.06 per share on July 2, 2014 to all shareholders of record as of June 12, 2014.</w:t>
      </w:r>
    </w:p>
    <w:p>
      <w:pPr>
        <w:spacing w:after="0" w:line="170" w:lineRule="exact"/>
        <w:rPr>
          <w:sz w:val="20"/>
          <w:szCs w:val="20"/>
          <w:color w:val="auto"/>
        </w:rPr>
      </w:pPr>
    </w:p>
    <w:p>
      <w:pPr>
        <w:ind w:right="40"/>
        <w:spacing w:after="0" w:line="264" w:lineRule="auto"/>
        <w:rPr>
          <w:sz w:val="20"/>
          <w:szCs w:val="20"/>
          <w:color w:val="auto"/>
        </w:rPr>
      </w:pPr>
      <w:r>
        <w:rPr>
          <w:rFonts w:ascii="Arial" w:cs="Arial" w:eastAsia="Arial" w:hAnsi="Arial"/>
          <w:sz w:val="18"/>
          <w:szCs w:val="18"/>
          <w:color w:val="auto"/>
        </w:rPr>
        <w:t>The payment of future quarterly cash dividends on Marvell’s common shares is subject to, among other things, the best interests of its shareholders, its results of operations, cash balances and future cash requirements, financial condition, developments in ongoing litigation, statutory requirements of Bermuda law, and other factors that the board of directors may deem relevant.</w:t>
      </w:r>
    </w:p>
    <w:p>
      <w:pPr>
        <w:spacing w:after="0" w:line="2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Conference Call</w:t>
      </w:r>
    </w:p>
    <w:p>
      <w:pPr>
        <w:spacing w:after="0" w:line="121" w:lineRule="exact"/>
        <w:rPr>
          <w:sz w:val="20"/>
          <w:szCs w:val="20"/>
          <w:color w:val="auto"/>
        </w:rPr>
      </w:pPr>
    </w:p>
    <w:p>
      <w:pPr>
        <w:ind w:right="140"/>
        <w:spacing w:after="0" w:line="259" w:lineRule="auto"/>
        <w:rPr>
          <w:sz w:val="20"/>
          <w:szCs w:val="20"/>
          <w:color w:val="auto"/>
        </w:rPr>
      </w:pPr>
      <w:r>
        <w:rPr>
          <w:rFonts w:ascii="Arial" w:cs="Arial" w:eastAsia="Arial" w:hAnsi="Arial"/>
          <w:sz w:val="18"/>
          <w:szCs w:val="18"/>
          <w:color w:val="auto"/>
        </w:rPr>
        <w:t>Marvell will be conducting a conference call on Thursday, May 22, 2014 at 1:45 p.m. Pacific Time to discuss results for the first quarter of fiscal year 2015. Interested parties may join the conference call by dialing 1- 877-415-3184 or 1-857-244-7327, pass-code 48465186. The call will be webcast by Thomson Reuters and can be accessed at the Marvell Investor Relations website at http://investor.marvell.com/ with a replay available following the call until June 21, 2014.</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4" w:right="239" w:bottom="1440" w:gutter="0" w:footer="0" w:header="0"/>
        </w:sectPr>
      </w:pPr>
    </w:p>
    <w:bookmarkStart w:id="9" w:name="page10"/>
    <w:bookmarkEnd w:id="9"/>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Discussion of Non-GAAP Financial Measures</w:t>
      </w:r>
    </w:p>
    <w:p>
      <w:pPr>
        <w:spacing w:after="0" w:line="121" w:lineRule="exact"/>
        <w:rPr>
          <w:sz w:val="20"/>
          <w:szCs w:val="20"/>
          <w:color w:val="auto"/>
        </w:rPr>
      </w:pPr>
    </w:p>
    <w:p>
      <w:pPr>
        <w:ind w:right="20"/>
        <w:spacing w:after="0" w:line="291" w:lineRule="auto"/>
        <w:rPr>
          <w:sz w:val="20"/>
          <w:szCs w:val="20"/>
          <w:color w:val="auto"/>
        </w:rPr>
      </w:pPr>
      <w:r>
        <w:rPr>
          <w:rFonts w:ascii="Arial" w:cs="Arial" w:eastAsia="Arial" w:hAnsi="Arial"/>
          <w:sz w:val="16"/>
          <w:szCs w:val="16"/>
          <w:color w:val="auto"/>
        </w:rPr>
        <w:t>Non-GAAP financial measures exclude the effect of share-based compensation expense, amortization and write-off of acquired intangible assets, acquisition-related costs, restructuring and other exit-related costs, and certain one-time expenses and benefits that are driven primarily by discrete events that management does not consider to be directly related to Marvell’s core operating performance. Non-GAAP net income per share is calculated by dividing non-GAAP net income by non-GAAP weighted average shares outstanding (diluted). For purposes of calculating non-GAAP net income per share, the GAAP weighted average shares outstanding (diluted) is adjusted to exclude the potential benefits of share-based compensation expected to be incurred in future periods but not yet recognized in the financial statements. The expected compensation costs are treated as proceeds assumed to be used to repurchase shares under the GAAP treasury stock method and also include the dilutive/anti-dilutive effects of common stock options and restricted stock units.</w:t>
      </w:r>
    </w:p>
    <w:p>
      <w:pPr>
        <w:spacing w:after="0" w:line="167" w:lineRule="exact"/>
        <w:rPr>
          <w:sz w:val="20"/>
          <w:szCs w:val="20"/>
          <w:color w:val="auto"/>
        </w:rPr>
      </w:pPr>
    </w:p>
    <w:p>
      <w:pPr>
        <w:spacing w:after="0" w:line="289" w:lineRule="auto"/>
        <w:rPr>
          <w:sz w:val="20"/>
          <w:szCs w:val="20"/>
          <w:color w:val="auto"/>
        </w:rPr>
      </w:pPr>
      <w:r>
        <w:rPr>
          <w:rFonts w:ascii="Arial" w:cs="Arial" w:eastAsia="Arial" w:hAnsi="Arial"/>
          <w:sz w:val="16"/>
          <w:szCs w:val="16"/>
          <w:color w:val="auto"/>
        </w:rPr>
        <w:t>Marvell believes that the presentation of non-GAAP financial measures provide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For further information regarding why Marvell believes that these non-GAAP measures provide useful information to investors, the specific manner in which management uses these measures, and some of the limitations associated with the use of these measures, please refer to Marvell’s Current Report on Form 8-K filed today with the SEC. The Form 8-K is available on the SEC’s website at www.sec.gov as well as on the Marvell website in the Investor Relations section at www.marvell.com.</w:t>
      </w:r>
    </w:p>
    <w:p>
      <w:pPr>
        <w:spacing w:after="0" w:line="2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121" w:lineRule="exact"/>
        <w:rPr>
          <w:sz w:val="20"/>
          <w:szCs w:val="20"/>
          <w:color w:val="auto"/>
        </w:rPr>
      </w:pPr>
    </w:p>
    <w:p>
      <w:pPr>
        <w:ind w:right="140"/>
        <w:spacing w:after="0" w:line="286" w:lineRule="auto"/>
        <w:rPr>
          <w:sz w:val="20"/>
          <w:szCs w:val="20"/>
          <w:color w:val="auto"/>
        </w:rPr>
      </w:pPr>
      <w:r>
        <w:rPr>
          <w:rFonts w:ascii="Arial" w:cs="Arial" w:eastAsia="Arial" w:hAnsi="Arial"/>
          <w:sz w:val="17"/>
          <w:szCs w:val="17"/>
          <w:color w:val="auto"/>
        </w:rPr>
        <w:t>This press release contains forward-looking statements that involve risks and uncertainties, including Marvell’s expectations and statements regarding: its financial outlook for the second quarter of fiscal 2015; its level of investment in advanced technologies and the ability of such investment to drive Marvell’s success; its dividend program including the declaration of, timing of, funding of, payment of and quarterly amount of dividends; and</w:t>
      </w:r>
    </w:p>
    <w:p>
      <w:pPr>
        <w:spacing w:after="0" w:line="9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00"/>
          </w:cols>
          <w:pgMar w:left="240" w:top="270" w:right="259" w:bottom="1440" w:gutter="0" w:footer="0" w:header="0"/>
        </w:sectPr>
      </w:pPr>
    </w:p>
    <w:bookmarkStart w:id="10" w:name="page11"/>
    <w:bookmarkEnd w:id="10"/>
    <w:p>
      <w:pPr>
        <w:ind w:right="40"/>
        <w:spacing w:after="0" w:line="28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its use of non-GAAP financial measures as important supplemental information. These statements are not guarantees of results and should not be considered as an indication of future activity or future performance. Actual events or results may differ materially from those described in this press release due to a number of risks and uncertainties, including, among others, Marvell’s reliance on a few customers for a significant portion of its revenue; costs and liabilities relating to current and future litigation; Marvell’s ability to develop and introduce new and enhanced products in a timely and cost effective manner and the adoption of those products in the market; seasonality in sales of consumer devices in which our products are incorporated; Marvell’s ability to compete in products and prices in an intensely competitive industry; uncertainty in the worldwide economic conditions; Marvell’s ability to recruit and retain skilled personnel; Marvell’s ability to generate cash flows; and other risks detailed in Marvell’s SEC filings from time to time. When Marvell files its Quarterly Report on Form 10-Q for the first quarter of fiscal 2015, the financial statements may differ from the results disclosed in this press release because judgments and estimates that management used in preparing the financial results reported in this press release may need to be updated to the date of the filing. For other factors that could cause Marvell’s results to vary from expectations, please see the risk factors identified in the Marvell’s latest Annual Report on Form 10-K for the year ended February 1, 2014 as filed with the SEC, and other factors detailed from time to time in Marvell’s filings with the SEC. Marvell undertakes no obligation to revise or update publicly any forward-looking statements.</w:t>
      </w:r>
    </w:p>
    <w:p>
      <w:pPr>
        <w:spacing w:after="0" w:line="27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140"/>
        <w:spacing w:after="0" w:line="255" w:lineRule="auto"/>
        <w:rPr>
          <w:sz w:val="20"/>
          <w:szCs w:val="20"/>
          <w:color w:val="auto"/>
        </w:rPr>
      </w:pPr>
      <w:r>
        <w:rPr>
          <w:rFonts w:ascii="Arial" w:cs="Arial" w:eastAsia="Arial" w:hAnsi="Arial"/>
          <w:sz w:val="18"/>
          <w:szCs w:val="18"/>
          <w:color w:val="auto"/>
        </w:rPr>
        <w:t>Marvell is a global leader in providing complete silicon solutions and Kinoma</w:t>
      </w:r>
      <w:r>
        <w:rPr>
          <w:rFonts w:ascii="Arial" w:cs="Arial" w:eastAsia="Arial" w:hAnsi="Arial"/>
          <w:sz w:val="15"/>
          <w:szCs w:val="15"/>
          <w:color w:val="auto"/>
        </w:rPr>
        <w:t>®</w:t>
      </w:r>
      <w:r>
        <w:rPr>
          <w:rFonts w:ascii="Arial" w:cs="Arial" w:eastAsia="Arial" w:hAnsi="Arial"/>
          <w:sz w:val="18"/>
          <w:szCs w:val="18"/>
          <w:color w:val="auto"/>
        </w:rPr>
        <w:t xml:space="preserve"> software enabling the “Smart Life and Smart Lifestyle.” From mobile communications to storage, Internet of Things (IoT), cloud infrastructure, digital entertainment and in-home content delivery, Marvell’s diverse product portfolio aligns complete platform designs with industry-leading performance, security, reliability and efficiency. At the core of the world’s most powerful consumer, network and enterprise systems, Marvell empowers partners and their customers to always stand at the forefront of innovation, performance and mass appeal. By providing people around the world with mobility and ease of access to services adding value to their social, private and work lives, Marvell is committed to enhancing the human experience.</w:t>
      </w:r>
    </w:p>
    <w:p>
      <w:pPr>
        <w:spacing w:after="0" w:line="193" w:lineRule="exact"/>
        <w:rPr>
          <w:sz w:val="20"/>
          <w:szCs w:val="20"/>
          <w:color w:val="auto"/>
        </w:rPr>
      </w:pPr>
    </w:p>
    <w:p>
      <w:pPr>
        <w:spacing w:after="0"/>
        <w:rPr>
          <w:sz w:val="20"/>
          <w:szCs w:val="20"/>
          <w:color w:val="auto"/>
        </w:rPr>
      </w:pPr>
      <w:r>
        <w:rPr>
          <w:rFonts w:ascii="Arial" w:cs="Arial" w:eastAsia="Arial" w:hAnsi="Arial"/>
          <w:sz w:val="16"/>
          <w:szCs w:val="16"/>
          <w:color w:val="auto"/>
        </w:rPr>
        <w:t xml:space="preserve">As used in this release, the term “Marvell” refers to Marvell Technology Group Ltd. and its subsidiaries. For more information please visit </w:t>
      </w:r>
      <w:r>
        <w:rPr>
          <w:rFonts w:ascii="Arial" w:cs="Arial" w:eastAsia="Arial" w:hAnsi="Arial"/>
          <w:sz w:val="16"/>
          <w:szCs w:val="16"/>
          <w:u w:val="single" w:color="auto"/>
          <w:color w:val="auto"/>
        </w:rPr>
        <w:t>www.marvell.com</w:t>
      </w:r>
      <w:r>
        <w:rPr>
          <w:rFonts w:ascii="Arial" w:cs="Arial" w:eastAsia="Arial" w:hAnsi="Arial"/>
          <w:sz w:val="16"/>
          <w:szCs w:val="16"/>
          <w:color w:val="auto"/>
        </w:rPr>
        <w:t>.</w:t>
      </w:r>
    </w:p>
    <w:p>
      <w:pPr>
        <w:spacing w:after="0" w:line="356"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5"/>
          <w:szCs w:val="15"/>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158"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00"/>
          </w:cols>
          <w:pgMar w:left="240" w:top="274" w:right="259" w:bottom="1440" w:gutter="0" w:footer="0" w:header="0"/>
        </w:sectPr>
      </w:pPr>
    </w:p>
    <w:bookmarkStart w:id="11" w:name="page12"/>
    <w:bookmarkEnd w:id="11"/>
    <w:p>
      <w:pPr>
        <w:ind w:left="448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117" w:lineRule="exact"/>
        <w:rPr>
          <w:sz w:val="20"/>
          <w:szCs w:val="20"/>
          <w:color w:val="auto"/>
        </w:rPr>
      </w:pPr>
    </w:p>
    <w:p>
      <w:pPr>
        <w:ind w:left="3760"/>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5020" w:type="dxa"/>
            <w:vAlign w:val="bottom"/>
          </w:tcPr>
          <w:p>
            <w:pPr>
              <w:spacing w:after="0"/>
              <w:rPr>
                <w:sz w:val="14"/>
                <w:szCs w:val="14"/>
                <w:color w:val="auto"/>
              </w:rPr>
            </w:pPr>
          </w:p>
        </w:tc>
        <w:tc>
          <w:tcPr>
            <w:tcW w:w="35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1360" w:type="dxa"/>
            <w:vAlign w:val="bottom"/>
            <w:tcBorders>
              <w:bottom w:val="single" w:sz="8" w:color="auto"/>
            </w:tcBorders>
            <w:gridSpan w:val="5"/>
          </w:tcPr>
          <w:p>
            <w:pPr>
              <w:ind w:left="20"/>
              <w:spacing w:after="0"/>
              <w:rPr>
                <w:sz w:val="20"/>
                <w:szCs w:val="20"/>
                <w:color w:val="auto"/>
              </w:rPr>
            </w:pPr>
            <w:r>
              <w:rPr>
                <w:rFonts w:ascii="Arial" w:cs="Arial" w:eastAsia="Arial" w:hAnsi="Arial"/>
                <w:sz w:val="14"/>
                <w:szCs w:val="14"/>
                <w:b w:val="1"/>
                <w:bCs w:val="1"/>
                <w:color w:val="auto"/>
                <w:w w:val="95"/>
              </w:rPr>
              <w:t>Three Months Ended</w:t>
            </w: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5020" w:type="dxa"/>
            <w:vAlign w:val="bottom"/>
          </w:tcPr>
          <w:p>
            <w:pPr>
              <w:spacing w:after="0"/>
              <w:rPr>
                <w:sz w:val="10"/>
                <w:szCs w:val="10"/>
                <w:color w:val="auto"/>
              </w:rPr>
            </w:pPr>
          </w:p>
        </w:tc>
        <w:tc>
          <w:tcPr>
            <w:tcW w:w="35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00" w:type="dxa"/>
            <w:vAlign w:val="bottom"/>
            <w:gridSpan w:val="2"/>
          </w:tcPr>
          <w:p>
            <w:pPr>
              <w:jc w:val="right"/>
              <w:ind w:right="268"/>
              <w:spacing w:after="0" w:line="119" w:lineRule="exact"/>
              <w:rPr>
                <w:sz w:val="20"/>
                <w:szCs w:val="20"/>
                <w:color w:val="auto"/>
              </w:rPr>
            </w:pPr>
            <w:r>
              <w:rPr>
                <w:rFonts w:ascii="Arial" w:cs="Arial" w:eastAsia="Arial" w:hAnsi="Arial"/>
                <w:sz w:val="13"/>
                <w:szCs w:val="13"/>
                <w:b w:val="1"/>
                <w:bCs w:val="1"/>
                <w:color w:val="auto"/>
              </w:rPr>
              <w:t>May 3,</w:t>
            </w:r>
          </w:p>
        </w:tc>
        <w:tc>
          <w:tcPr>
            <w:tcW w:w="120" w:type="dxa"/>
            <w:vAlign w:val="bottom"/>
          </w:tcPr>
          <w:p>
            <w:pPr>
              <w:spacing w:after="0"/>
              <w:rPr>
                <w:sz w:val="10"/>
                <w:szCs w:val="10"/>
                <w:color w:val="auto"/>
              </w:rPr>
            </w:pPr>
          </w:p>
        </w:tc>
        <w:tc>
          <w:tcPr>
            <w:tcW w:w="1040" w:type="dxa"/>
            <w:vAlign w:val="bottom"/>
            <w:gridSpan w:val="3"/>
          </w:tcPr>
          <w:p>
            <w:pPr>
              <w:spacing w:after="0" w:line="119" w:lineRule="exact"/>
              <w:rPr>
                <w:sz w:val="20"/>
                <w:szCs w:val="20"/>
                <w:color w:val="auto"/>
              </w:rPr>
            </w:pPr>
            <w:r>
              <w:rPr>
                <w:rFonts w:ascii="Arial" w:cs="Arial" w:eastAsia="Arial" w:hAnsi="Arial"/>
                <w:sz w:val="13"/>
                <w:szCs w:val="13"/>
                <w:b w:val="1"/>
                <w:bCs w:val="1"/>
                <w:color w:val="auto"/>
              </w:rPr>
              <w:t>February 1,</w:t>
            </w:r>
          </w:p>
        </w:tc>
        <w:tc>
          <w:tcPr>
            <w:tcW w:w="100" w:type="dxa"/>
            <w:vAlign w:val="bottom"/>
          </w:tcPr>
          <w:p>
            <w:pPr>
              <w:spacing w:after="0"/>
              <w:rPr>
                <w:sz w:val="10"/>
                <w:szCs w:val="10"/>
                <w:color w:val="auto"/>
              </w:rPr>
            </w:pPr>
          </w:p>
        </w:tc>
        <w:tc>
          <w:tcPr>
            <w:tcW w:w="600" w:type="dxa"/>
            <w:vAlign w:val="bottom"/>
          </w:tcPr>
          <w:p>
            <w:pPr>
              <w:jc w:val="right"/>
              <w:ind w:right="52"/>
              <w:spacing w:after="0" w:line="119" w:lineRule="exact"/>
              <w:rPr>
                <w:sz w:val="20"/>
                <w:szCs w:val="20"/>
                <w:color w:val="auto"/>
              </w:rPr>
            </w:pPr>
            <w:r>
              <w:rPr>
                <w:rFonts w:ascii="Arial" w:cs="Arial" w:eastAsia="Arial" w:hAnsi="Arial"/>
                <w:sz w:val="13"/>
                <w:szCs w:val="13"/>
                <w:b w:val="1"/>
                <w:bCs w:val="1"/>
                <w:color w:val="auto"/>
              </w:rPr>
              <w:t>May 4,</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5020" w:type="dxa"/>
            <w:vAlign w:val="bottom"/>
            <w:tcBorders>
              <w:bottom w:val="single" w:sz="8" w:color="CCEEFF"/>
            </w:tcBorders>
          </w:tcPr>
          <w:p>
            <w:pPr>
              <w:spacing w:after="0"/>
              <w:rPr>
                <w:sz w:val="14"/>
                <w:szCs w:val="14"/>
                <w:color w:val="auto"/>
              </w:rPr>
            </w:pPr>
          </w:p>
        </w:tc>
        <w:tc>
          <w:tcPr>
            <w:tcW w:w="354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12"/>
              <w:spacing w:after="0"/>
              <w:rPr>
                <w:sz w:val="20"/>
                <w:szCs w:val="20"/>
                <w:color w:val="auto"/>
              </w:rPr>
            </w:pPr>
            <w:r>
              <w:rPr>
                <w:rFonts w:ascii="Arial" w:cs="Arial" w:eastAsia="Arial" w:hAnsi="Arial"/>
                <w:sz w:val="14"/>
                <w:szCs w:val="14"/>
                <w:b w:val="1"/>
                <w:bCs w:val="1"/>
                <w:color w:val="auto"/>
              </w:rPr>
              <w:t>2014</w:t>
            </w:r>
          </w:p>
        </w:tc>
        <w:tc>
          <w:tcPr>
            <w:tcW w:w="20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31"/>
              <w:spacing w:after="0"/>
              <w:rPr>
                <w:sz w:val="20"/>
                <w:szCs w:val="20"/>
                <w:color w:val="auto"/>
              </w:rPr>
            </w:pPr>
            <w:r>
              <w:rPr>
                <w:rFonts w:ascii="Arial" w:cs="Arial" w:eastAsia="Arial" w:hAnsi="Arial"/>
                <w:sz w:val="14"/>
                <w:szCs w:val="14"/>
                <w:b w:val="1"/>
                <w:bCs w:val="1"/>
                <w:color w:val="auto"/>
              </w:rPr>
              <w:t>2014</w:t>
            </w: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12"/>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354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957,830</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931,749</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734,369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020" w:type="dxa"/>
            <w:vAlign w:val="bottom"/>
          </w:tcPr>
          <w:p>
            <w:pPr>
              <w:spacing w:after="0"/>
              <w:rPr>
                <w:sz w:val="20"/>
                <w:szCs w:val="20"/>
                <w:color w:val="auto"/>
              </w:rPr>
            </w:pPr>
            <w:r>
              <w:rPr>
                <w:rFonts w:ascii="Arial" w:cs="Arial" w:eastAsia="Arial" w:hAnsi="Arial"/>
                <w:sz w:val="18"/>
                <w:szCs w:val="18"/>
                <w:color w:val="auto"/>
              </w:rPr>
              <w:t>Cost of goods sold</w:t>
            </w:r>
          </w:p>
        </w:tc>
        <w:tc>
          <w:tcPr>
            <w:tcW w:w="35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493,860</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2"/>
              </w:rPr>
              <w:t>477,252</w:t>
            </w: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335,438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Gross profit</w:t>
            </w:r>
          </w:p>
        </w:tc>
        <w:tc>
          <w:tcPr>
            <w:tcW w:w="3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28"/>
              <w:spacing w:after="0"/>
              <w:rPr>
                <w:sz w:val="20"/>
                <w:szCs w:val="20"/>
                <w:color w:val="auto"/>
              </w:rPr>
            </w:pPr>
            <w:r>
              <w:rPr>
                <w:rFonts w:ascii="Arial" w:cs="Arial" w:eastAsia="Arial" w:hAnsi="Arial"/>
                <w:sz w:val="18"/>
                <w:szCs w:val="18"/>
                <w:color w:val="auto"/>
                <w:w w:val="89"/>
              </w:rPr>
              <w:t>463,970</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92"/>
              </w:rPr>
              <w:t>454,497</w:t>
            </w: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398,931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tcPr>
          <w:p>
            <w:pPr>
              <w:spacing w:after="0"/>
              <w:rPr>
                <w:sz w:val="20"/>
                <w:szCs w:val="20"/>
                <w:color w:val="auto"/>
              </w:rPr>
            </w:pPr>
            <w:r>
              <w:rPr>
                <w:rFonts w:ascii="Arial" w:cs="Arial" w:eastAsia="Arial" w:hAnsi="Arial"/>
                <w:sz w:val="18"/>
                <w:szCs w:val="18"/>
                <w:color w:val="auto"/>
              </w:rPr>
              <w:t>Operating expenses:</w:t>
            </w:r>
          </w:p>
        </w:tc>
        <w:tc>
          <w:tcPr>
            <w:tcW w:w="3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Research and development</w:t>
            </w:r>
          </w:p>
        </w:tc>
        <w:tc>
          <w:tcPr>
            <w:tcW w:w="3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28"/>
              <w:spacing w:after="0"/>
              <w:rPr>
                <w:sz w:val="20"/>
                <w:szCs w:val="20"/>
                <w:color w:val="auto"/>
              </w:rPr>
            </w:pPr>
            <w:r>
              <w:rPr>
                <w:rFonts w:ascii="Arial" w:cs="Arial" w:eastAsia="Arial" w:hAnsi="Arial"/>
                <w:sz w:val="18"/>
                <w:szCs w:val="18"/>
                <w:color w:val="auto"/>
                <w:w w:val="89"/>
              </w:rPr>
              <w:t>295,363</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92"/>
              </w:rPr>
              <w:t>288,900</w:t>
            </w: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279,052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tcPr>
          <w:p>
            <w:pPr>
              <w:ind w:left="340"/>
              <w:spacing w:after="0"/>
              <w:rPr>
                <w:sz w:val="20"/>
                <w:szCs w:val="20"/>
                <w:color w:val="auto"/>
              </w:rPr>
            </w:pPr>
            <w:r>
              <w:rPr>
                <w:rFonts w:ascii="Arial" w:cs="Arial" w:eastAsia="Arial" w:hAnsi="Arial"/>
                <w:sz w:val="18"/>
                <w:szCs w:val="18"/>
                <w:color w:val="auto"/>
              </w:rPr>
              <w:t>Selling and marketing</w:t>
            </w:r>
          </w:p>
        </w:tc>
        <w:tc>
          <w:tcPr>
            <w:tcW w:w="3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0" w:type="dxa"/>
            <w:vAlign w:val="bottom"/>
            <w:gridSpan w:val="2"/>
          </w:tcPr>
          <w:p>
            <w:pPr>
              <w:jc w:val="right"/>
              <w:ind w:right="128"/>
              <w:spacing w:after="0"/>
              <w:rPr>
                <w:sz w:val="20"/>
                <w:szCs w:val="20"/>
                <w:color w:val="auto"/>
              </w:rPr>
            </w:pPr>
            <w:r>
              <w:rPr>
                <w:rFonts w:ascii="Arial" w:cs="Arial" w:eastAsia="Arial" w:hAnsi="Arial"/>
                <w:sz w:val="18"/>
                <w:szCs w:val="18"/>
                <w:color w:val="auto"/>
              </w:rPr>
              <w:t>38,358</w:t>
            </w: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300"/>
              <w:spacing w:after="0"/>
              <w:rPr>
                <w:sz w:val="20"/>
                <w:szCs w:val="20"/>
                <w:color w:val="auto"/>
              </w:rPr>
            </w:pPr>
            <w:r>
              <w:rPr>
                <w:rFonts w:ascii="Arial" w:cs="Arial" w:eastAsia="Arial" w:hAnsi="Arial"/>
                <w:sz w:val="18"/>
                <w:szCs w:val="18"/>
                <w:color w:val="auto"/>
              </w:rPr>
              <w:t>36,665</w:t>
            </w:r>
          </w:p>
        </w:tc>
        <w:tc>
          <w:tcPr>
            <w:tcW w:w="100" w:type="dxa"/>
            <w:vAlign w:val="bottom"/>
          </w:tcPr>
          <w:p>
            <w:pPr>
              <w:spacing w:after="0"/>
              <w:rPr>
                <w:sz w:val="18"/>
                <w:szCs w:val="18"/>
                <w:color w:val="auto"/>
              </w:rPr>
            </w:pP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rPr>
              <w:t>39,989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General and administrative</w:t>
            </w:r>
          </w:p>
        </w:tc>
        <w:tc>
          <w:tcPr>
            <w:tcW w:w="3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28"/>
              <w:spacing w:after="0"/>
              <w:rPr>
                <w:sz w:val="20"/>
                <w:szCs w:val="20"/>
                <w:color w:val="auto"/>
              </w:rPr>
            </w:pPr>
            <w:r>
              <w:rPr>
                <w:rFonts w:ascii="Arial" w:cs="Arial" w:eastAsia="Arial" w:hAnsi="Arial"/>
                <w:sz w:val="18"/>
                <w:szCs w:val="18"/>
                <w:color w:val="auto"/>
              </w:rPr>
              <w:t>30,573</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26,367</w:t>
            </w: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26,323</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020" w:type="dxa"/>
            <w:vAlign w:val="bottom"/>
          </w:tcPr>
          <w:p>
            <w:pPr>
              <w:ind w:left="340"/>
              <w:spacing w:after="0"/>
              <w:rPr>
                <w:sz w:val="20"/>
                <w:szCs w:val="20"/>
                <w:color w:val="auto"/>
              </w:rPr>
            </w:pPr>
            <w:r>
              <w:rPr>
                <w:rFonts w:ascii="Arial" w:cs="Arial" w:eastAsia="Arial" w:hAnsi="Arial"/>
                <w:sz w:val="18"/>
                <w:szCs w:val="18"/>
                <w:color w:val="auto"/>
              </w:rPr>
              <w:t>Amortization and write-off of acquired intangible assets</w:t>
            </w:r>
          </w:p>
        </w:tc>
        <w:tc>
          <w:tcPr>
            <w:tcW w:w="35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6,689</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11,956</w:t>
            </w: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10,686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shd w:val="clear" w:color="auto" w:fill="CCEEFF"/>
          </w:tcPr>
          <w:p>
            <w:pPr>
              <w:ind w:left="700"/>
              <w:spacing w:after="0"/>
              <w:rPr>
                <w:sz w:val="20"/>
                <w:szCs w:val="20"/>
                <w:color w:val="auto"/>
              </w:rPr>
            </w:pPr>
            <w:r>
              <w:rPr>
                <w:rFonts w:ascii="Arial" w:cs="Arial" w:eastAsia="Arial" w:hAnsi="Arial"/>
                <w:sz w:val="18"/>
                <w:szCs w:val="18"/>
                <w:color w:val="auto"/>
              </w:rPr>
              <w:t>Total operating expenses</w:t>
            </w:r>
          </w:p>
        </w:tc>
        <w:tc>
          <w:tcPr>
            <w:tcW w:w="3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28"/>
              <w:spacing w:after="0"/>
              <w:rPr>
                <w:sz w:val="20"/>
                <w:szCs w:val="20"/>
                <w:color w:val="auto"/>
              </w:rPr>
            </w:pPr>
            <w:r>
              <w:rPr>
                <w:rFonts w:ascii="Arial" w:cs="Arial" w:eastAsia="Arial" w:hAnsi="Arial"/>
                <w:sz w:val="18"/>
                <w:szCs w:val="18"/>
                <w:color w:val="auto"/>
                <w:w w:val="89"/>
              </w:rPr>
              <w:t>370,983</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92"/>
              </w:rPr>
              <w:t>363,888</w:t>
            </w: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356,050</w:t>
            </w:r>
          </w:p>
        </w:tc>
        <w:tc>
          <w:tcPr>
            <w:tcW w:w="0" w:type="dxa"/>
            <w:vAlign w:val="bottom"/>
          </w:tcPr>
          <w:p>
            <w:pPr>
              <w:spacing w:after="0"/>
              <w:rPr>
                <w:sz w:val="1"/>
                <w:szCs w:val="1"/>
                <w:color w:val="auto"/>
              </w:rPr>
            </w:pPr>
          </w:p>
        </w:tc>
      </w:tr>
      <w:tr>
        <w:trPr>
          <w:trHeight w:val="223"/>
        </w:trPr>
        <w:tc>
          <w:tcPr>
            <w:tcW w:w="5040" w:type="dxa"/>
            <w:vAlign w:val="bottom"/>
            <w:gridSpan w:val="2"/>
          </w:tcPr>
          <w:p>
            <w:pPr>
              <w:spacing w:after="0"/>
              <w:rPr>
                <w:sz w:val="20"/>
                <w:szCs w:val="20"/>
                <w:color w:val="auto"/>
              </w:rPr>
            </w:pPr>
            <w:r>
              <w:rPr>
                <w:rFonts w:ascii="Arial" w:cs="Arial" w:eastAsia="Arial" w:hAnsi="Arial"/>
                <w:sz w:val="18"/>
                <w:szCs w:val="18"/>
                <w:color w:val="auto"/>
              </w:rPr>
              <w:t>Operating income</w:t>
            </w:r>
          </w:p>
        </w:tc>
        <w:tc>
          <w:tcPr>
            <w:tcW w:w="354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92,987</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90,609</w:t>
            </w:r>
          </w:p>
        </w:tc>
        <w:tc>
          <w:tcPr>
            <w:tcW w:w="30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42,881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3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28"/>
              <w:spacing w:after="0"/>
              <w:rPr>
                <w:sz w:val="20"/>
                <w:szCs w:val="20"/>
                <w:color w:val="auto"/>
              </w:rPr>
            </w:pPr>
            <w:r>
              <w:rPr>
                <w:rFonts w:ascii="Arial" w:cs="Arial" w:eastAsia="Arial" w:hAnsi="Arial"/>
                <w:sz w:val="18"/>
                <w:szCs w:val="18"/>
                <w:color w:val="auto"/>
              </w:rPr>
              <w:t>1,925</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12,617</w:t>
            </w: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3,160</w:t>
            </w:r>
          </w:p>
        </w:tc>
        <w:tc>
          <w:tcPr>
            <w:tcW w:w="0" w:type="dxa"/>
            <w:vAlign w:val="bottom"/>
          </w:tcPr>
          <w:p>
            <w:pPr>
              <w:spacing w:after="0"/>
              <w:rPr>
                <w:sz w:val="1"/>
                <w:szCs w:val="1"/>
                <w:color w:val="auto"/>
              </w:rPr>
            </w:pPr>
          </w:p>
        </w:tc>
      </w:tr>
      <w:tr>
        <w:trPr>
          <w:trHeight w:val="223"/>
        </w:trPr>
        <w:tc>
          <w:tcPr>
            <w:tcW w:w="5040" w:type="dxa"/>
            <w:vAlign w:val="bottom"/>
            <w:gridSpan w:val="2"/>
          </w:tcPr>
          <w:p>
            <w:pPr>
              <w:spacing w:after="0"/>
              <w:rPr>
                <w:sz w:val="20"/>
                <w:szCs w:val="20"/>
                <w:color w:val="auto"/>
              </w:rPr>
            </w:pPr>
            <w:r>
              <w:rPr>
                <w:rFonts w:ascii="Arial" w:cs="Arial" w:eastAsia="Arial" w:hAnsi="Arial"/>
                <w:sz w:val="18"/>
                <w:szCs w:val="18"/>
                <w:color w:val="auto"/>
              </w:rPr>
              <w:t>Income before income taxes</w:t>
            </w:r>
          </w:p>
        </w:tc>
        <w:tc>
          <w:tcPr>
            <w:tcW w:w="354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94,912</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2"/>
              </w:rPr>
              <w:t>103,226</w:t>
            </w:r>
          </w:p>
        </w:tc>
        <w:tc>
          <w:tcPr>
            <w:tcW w:w="30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46,041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3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68"/>
              <w:spacing w:after="0"/>
              <w:rPr>
                <w:sz w:val="20"/>
                <w:szCs w:val="20"/>
                <w:color w:val="auto"/>
              </w:rPr>
            </w:pPr>
            <w:r>
              <w:rPr>
                <w:rFonts w:ascii="Arial" w:cs="Arial" w:eastAsia="Arial" w:hAnsi="Arial"/>
                <w:sz w:val="18"/>
                <w:szCs w:val="18"/>
                <w:color w:val="auto"/>
              </w:rPr>
              <w:t>(4,567)</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6,097</w:t>
            </w: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(7,168)</w:t>
            </w:r>
          </w:p>
        </w:tc>
        <w:tc>
          <w:tcPr>
            <w:tcW w:w="0" w:type="dxa"/>
            <w:vAlign w:val="bottom"/>
          </w:tcPr>
          <w:p>
            <w:pPr>
              <w:spacing w:after="0"/>
              <w:rPr>
                <w:sz w:val="1"/>
                <w:szCs w:val="1"/>
                <w:color w:val="auto"/>
              </w:rPr>
            </w:pPr>
          </w:p>
        </w:tc>
      </w:tr>
      <w:tr>
        <w:trPr>
          <w:trHeight w:val="223"/>
        </w:trPr>
        <w:tc>
          <w:tcPr>
            <w:tcW w:w="5040" w:type="dxa"/>
            <w:vAlign w:val="bottom"/>
            <w:gridSpan w:val="2"/>
          </w:tcPr>
          <w:p>
            <w:pPr>
              <w:spacing w:after="0"/>
              <w:rPr>
                <w:sz w:val="20"/>
                <w:szCs w:val="20"/>
                <w:color w:val="auto"/>
              </w:rPr>
            </w:pPr>
            <w:r>
              <w:rPr>
                <w:rFonts w:ascii="Arial" w:cs="Arial" w:eastAsia="Arial" w:hAnsi="Arial"/>
                <w:sz w:val="18"/>
                <w:szCs w:val="18"/>
                <w:color w:val="auto"/>
              </w:rPr>
              <w:t>Net income</w:t>
            </w:r>
          </w:p>
        </w:tc>
        <w:tc>
          <w:tcPr>
            <w:tcW w:w="3540" w:type="dxa"/>
            <w:vAlign w:val="bottom"/>
          </w:tcPr>
          <w:p>
            <w:pPr>
              <w:spacing w:after="0"/>
              <w:rPr>
                <w:sz w:val="19"/>
                <w:szCs w:val="19"/>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99,479</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97,129</w:t>
            </w:r>
          </w:p>
        </w:tc>
        <w:tc>
          <w:tcPr>
            <w:tcW w:w="30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53,209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20" w:type="dxa"/>
            <w:vAlign w:val="bottom"/>
          </w:tcPr>
          <w:p>
            <w:pPr>
              <w:spacing w:after="0" w:line="20" w:lineRule="exact"/>
              <w:rPr>
                <w:sz w:val="1"/>
                <w:szCs w:val="1"/>
                <w:color w:val="auto"/>
              </w:rPr>
            </w:pPr>
          </w:p>
        </w:tc>
        <w:tc>
          <w:tcPr>
            <w:tcW w:w="354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2"/>
        </w:trPr>
        <w:tc>
          <w:tcPr>
            <w:tcW w:w="20" w:type="dxa"/>
            <w:vAlign w:val="bottom"/>
            <w:vMerge w:val="restart"/>
          </w:tcPr>
          <w:p>
            <w:pPr>
              <w:spacing w:after="0"/>
              <w:rPr>
                <w:sz w:val="8"/>
                <w:szCs w:val="8"/>
                <w:color w:val="auto"/>
              </w:rPr>
            </w:pPr>
          </w:p>
        </w:tc>
        <w:tc>
          <w:tcPr>
            <w:tcW w:w="5020" w:type="dxa"/>
            <w:vAlign w:val="bottom"/>
          </w:tcPr>
          <w:p>
            <w:pPr>
              <w:spacing w:after="0"/>
              <w:rPr>
                <w:sz w:val="8"/>
                <w:szCs w:val="8"/>
                <w:color w:val="auto"/>
              </w:rPr>
            </w:pPr>
          </w:p>
        </w:tc>
        <w:tc>
          <w:tcPr>
            <w:tcW w:w="3540" w:type="dxa"/>
            <w:vAlign w:val="bottom"/>
          </w:tcPr>
          <w:p>
            <w:pPr>
              <w:spacing w:after="0"/>
              <w:rPr>
                <w:sz w:val="8"/>
                <w:szCs w:val="8"/>
                <w:color w:val="auto"/>
              </w:rPr>
            </w:pPr>
          </w:p>
        </w:tc>
        <w:tc>
          <w:tcPr>
            <w:tcW w:w="80" w:type="dxa"/>
            <w:vAlign w:val="bottom"/>
          </w:tcPr>
          <w:p>
            <w:pPr>
              <w:spacing w:after="0"/>
              <w:rPr>
                <w:sz w:val="8"/>
                <w:szCs w:val="8"/>
                <w:color w:val="auto"/>
              </w:rPr>
            </w:pPr>
          </w:p>
        </w:tc>
        <w:tc>
          <w:tcPr>
            <w:tcW w:w="600" w:type="dxa"/>
            <w:vAlign w:val="bottom"/>
          </w:tcPr>
          <w:p>
            <w:pPr>
              <w:spacing w:after="0"/>
              <w:rPr>
                <w:sz w:val="8"/>
                <w:szCs w:val="8"/>
                <w:color w:val="auto"/>
              </w:rPr>
            </w:pPr>
          </w:p>
        </w:tc>
        <w:tc>
          <w:tcPr>
            <w:tcW w:w="20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620" w:type="dxa"/>
            <w:vAlign w:val="bottom"/>
          </w:tcPr>
          <w:p>
            <w:pPr>
              <w:spacing w:after="0"/>
              <w:rPr>
                <w:sz w:val="8"/>
                <w:szCs w:val="8"/>
                <w:color w:val="auto"/>
              </w:rPr>
            </w:pPr>
          </w:p>
        </w:tc>
        <w:tc>
          <w:tcPr>
            <w:tcW w:w="30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per share</w:t>
            </w:r>
          </w:p>
        </w:tc>
        <w:tc>
          <w:tcPr>
            <w:tcW w:w="3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128"/>
              <w:spacing w:after="0"/>
              <w:rPr>
                <w:sz w:val="20"/>
                <w:szCs w:val="20"/>
                <w:color w:val="auto"/>
              </w:rPr>
            </w:pPr>
            <w:r>
              <w:rPr>
                <w:rFonts w:ascii="Arial" w:cs="Arial" w:eastAsia="Arial" w:hAnsi="Arial"/>
                <w:sz w:val="18"/>
                <w:szCs w:val="18"/>
                <w:color w:val="auto"/>
              </w:rPr>
              <w:t>0.20</w:t>
            </w:r>
          </w:p>
        </w:tc>
        <w:tc>
          <w:tcPr>
            <w:tcW w:w="24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w w:val="99"/>
              </w:rPr>
              <w:t>$</w:t>
            </w:r>
          </w:p>
        </w:tc>
        <w:tc>
          <w:tcPr>
            <w:tcW w:w="9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0.20</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0.11</w:t>
            </w:r>
          </w:p>
        </w:tc>
        <w:tc>
          <w:tcPr>
            <w:tcW w:w="0" w:type="dxa"/>
            <w:vAlign w:val="bottom"/>
          </w:tcPr>
          <w:p>
            <w:pPr>
              <w:spacing w:after="0"/>
              <w:rPr>
                <w:sz w:val="1"/>
                <w:szCs w:val="1"/>
                <w:color w:val="auto"/>
              </w:rPr>
            </w:pPr>
          </w:p>
        </w:tc>
      </w:tr>
      <w:tr>
        <w:trPr>
          <w:trHeight w:val="20"/>
        </w:trPr>
        <w:tc>
          <w:tcPr>
            <w:tcW w:w="5040" w:type="dxa"/>
            <w:vAlign w:val="bottom"/>
            <w:gridSpan w:val="2"/>
            <w:vMerge w:val="restart"/>
          </w:tcPr>
          <w:p>
            <w:pPr>
              <w:spacing w:after="0"/>
              <w:rPr>
                <w:sz w:val="20"/>
                <w:szCs w:val="20"/>
                <w:color w:val="auto"/>
              </w:rPr>
            </w:pPr>
            <w:r>
              <w:rPr>
                <w:rFonts w:ascii="Arial" w:cs="Arial" w:eastAsia="Arial" w:hAnsi="Arial"/>
                <w:sz w:val="18"/>
                <w:szCs w:val="18"/>
                <w:color w:val="auto"/>
              </w:rPr>
              <w:t>Diluted net income per share</w:t>
            </w:r>
          </w:p>
        </w:tc>
        <w:tc>
          <w:tcPr>
            <w:tcW w:w="35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040" w:type="dxa"/>
            <w:vAlign w:val="bottom"/>
            <w:gridSpan w:val="2"/>
            <w:vMerge w:val="continue"/>
          </w:tcPr>
          <w:p>
            <w:pPr>
              <w:spacing w:after="0"/>
              <w:rPr>
                <w:sz w:val="18"/>
                <w:szCs w:val="18"/>
                <w:color w:val="auto"/>
              </w:rPr>
            </w:pPr>
          </w:p>
        </w:tc>
        <w:tc>
          <w:tcPr>
            <w:tcW w:w="3540" w:type="dxa"/>
            <w:vAlign w:val="bottom"/>
          </w:tcPr>
          <w:p>
            <w:pPr>
              <w:spacing w:after="0"/>
              <w:rPr>
                <w:sz w:val="18"/>
                <w:szCs w:val="18"/>
                <w:color w:val="auto"/>
              </w:rPr>
            </w:pPr>
          </w:p>
        </w:tc>
        <w:tc>
          <w:tcPr>
            <w:tcW w:w="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0.19</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0.19</w:t>
            </w:r>
          </w:p>
        </w:tc>
        <w:tc>
          <w:tcPr>
            <w:tcW w:w="30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20" w:type="dxa"/>
            <w:vAlign w:val="bottom"/>
          </w:tcPr>
          <w:p>
            <w:pPr>
              <w:spacing w:after="0" w:line="20" w:lineRule="exact"/>
              <w:rPr>
                <w:sz w:val="1"/>
                <w:szCs w:val="1"/>
                <w:color w:val="auto"/>
              </w:rPr>
            </w:pPr>
          </w:p>
        </w:tc>
        <w:tc>
          <w:tcPr>
            <w:tcW w:w="354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2"/>
        </w:trPr>
        <w:tc>
          <w:tcPr>
            <w:tcW w:w="20" w:type="dxa"/>
            <w:vAlign w:val="bottom"/>
            <w:vMerge w:val="restart"/>
          </w:tcPr>
          <w:p>
            <w:pPr>
              <w:spacing w:after="0"/>
              <w:rPr>
                <w:sz w:val="8"/>
                <w:szCs w:val="8"/>
                <w:color w:val="auto"/>
              </w:rPr>
            </w:pPr>
          </w:p>
        </w:tc>
        <w:tc>
          <w:tcPr>
            <w:tcW w:w="5020" w:type="dxa"/>
            <w:vAlign w:val="bottom"/>
          </w:tcPr>
          <w:p>
            <w:pPr>
              <w:spacing w:after="0"/>
              <w:rPr>
                <w:sz w:val="8"/>
                <w:szCs w:val="8"/>
                <w:color w:val="auto"/>
              </w:rPr>
            </w:pPr>
          </w:p>
        </w:tc>
        <w:tc>
          <w:tcPr>
            <w:tcW w:w="3540" w:type="dxa"/>
            <w:vAlign w:val="bottom"/>
          </w:tcPr>
          <w:p>
            <w:pPr>
              <w:spacing w:after="0"/>
              <w:rPr>
                <w:sz w:val="8"/>
                <w:szCs w:val="8"/>
                <w:color w:val="auto"/>
              </w:rPr>
            </w:pPr>
          </w:p>
        </w:tc>
        <w:tc>
          <w:tcPr>
            <w:tcW w:w="80" w:type="dxa"/>
            <w:vAlign w:val="bottom"/>
          </w:tcPr>
          <w:p>
            <w:pPr>
              <w:spacing w:after="0"/>
              <w:rPr>
                <w:sz w:val="8"/>
                <w:szCs w:val="8"/>
                <w:color w:val="auto"/>
              </w:rPr>
            </w:pPr>
          </w:p>
        </w:tc>
        <w:tc>
          <w:tcPr>
            <w:tcW w:w="600" w:type="dxa"/>
            <w:vAlign w:val="bottom"/>
          </w:tcPr>
          <w:p>
            <w:pPr>
              <w:spacing w:after="0"/>
              <w:rPr>
                <w:sz w:val="8"/>
                <w:szCs w:val="8"/>
                <w:color w:val="auto"/>
              </w:rPr>
            </w:pPr>
          </w:p>
        </w:tc>
        <w:tc>
          <w:tcPr>
            <w:tcW w:w="20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620" w:type="dxa"/>
            <w:vAlign w:val="bottom"/>
          </w:tcPr>
          <w:p>
            <w:pPr>
              <w:spacing w:after="0"/>
              <w:rPr>
                <w:sz w:val="8"/>
                <w:szCs w:val="8"/>
                <w:color w:val="auto"/>
              </w:rPr>
            </w:pPr>
          </w:p>
        </w:tc>
        <w:tc>
          <w:tcPr>
            <w:tcW w:w="30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Shares used in computing basic earnings per share</w:t>
            </w:r>
          </w:p>
        </w:tc>
        <w:tc>
          <w:tcPr>
            <w:tcW w:w="3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28"/>
              <w:spacing w:after="0"/>
              <w:rPr>
                <w:sz w:val="20"/>
                <w:szCs w:val="20"/>
                <w:color w:val="auto"/>
              </w:rPr>
            </w:pPr>
            <w:r>
              <w:rPr>
                <w:rFonts w:ascii="Arial" w:cs="Arial" w:eastAsia="Arial" w:hAnsi="Arial"/>
                <w:sz w:val="18"/>
                <w:szCs w:val="18"/>
                <w:color w:val="auto"/>
                <w:w w:val="89"/>
              </w:rPr>
              <w:t>505,105</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92"/>
              </w:rPr>
              <w:t>497,620</w:t>
            </w: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502,180</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5020" w:type="dxa"/>
            <w:vAlign w:val="bottom"/>
          </w:tcPr>
          <w:p>
            <w:pPr>
              <w:spacing w:after="0"/>
              <w:rPr>
                <w:sz w:val="20"/>
                <w:szCs w:val="20"/>
                <w:color w:val="auto"/>
              </w:rPr>
            </w:pPr>
            <w:r>
              <w:rPr>
                <w:rFonts w:ascii="Arial" w:cs="Arial" w:eastAsia="Arial" w:hAnsi="Arial"/>
                <w:sz w:val="18"/>
                <w:szCs w:val="18"/>
                <w:color w:val="auto"/>
              </w:rPr>
              <w:t>Shares used in computing diluted earnings per share</w:t>
            </w:r>
          </w:p>
        </w:tc>
        <w:tc>
          <w:tcPr>
            <w:tcW w:w="35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800" w:type="dxa"/>
            <w:vAlign w:val="bottom"/>
            <w:gridSpan w:val="2"/>
          </w:tcPr>
          <w:p>
            <w:pPr>
              <w:jc w:val="right"/>
              <w:ind w:right="128"/>
              <w:spacing w:after="0"/>
              <w:rPr>
                <w:sz w:val="20"/>
                <w:szCs w:val="20"/>
                <w:color w:val="auto"/>
              </w:rPr>
            </w:pPr>
            <w:r>
              <w:rPr>
                <w:rFonts w:ascii="Arial" w:cs="Arial" w:eastAsia="Arial" w:hAnsi="Arial"/>
                <w:sz w:val="18"/>
                <w:szCs w:val="18"/>
                <w:color w:val="auto"/>
                <w:w w:val="89"/>
              </w:rPr>
              <w:t>520,751</w:t>
            </w:r>
          </w:p>
        </w:tc>
        <w:tc>
          <w:tcPr>
            <w:tcW w:w="1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920" w:type="dxa"/>
            <w:vAlign w:val="bottom"/>
            <w:gridSpan w:val="2"/>
          </w:tcPr>
          <w:p>
            <w:pPr>
              <w:jc w:val="right"/>
              <w:ind w:right="300"/>
              <w:spacing w:after="0"/>
              <w:rPr>
                <w:sz w:val="20"/>
                <w:szCs w:val="20"/>
                <w:color w:val="auto"/>
              </w:rPr>
            </w:pPr>
            <w:r>
              <w:rPr>
                <w:rFonts w:ascii="Arial" w:cs="Arial" w:eastAsia="Arial" w:hAnsi="Arial"/>
                <w:sz w:val="18"/>
                <w:szCs w:val="18"/>
                <w:color w:val="auto"/>
                <w:w w:val="92"/>
              </w:rPr>
              <w:t>510,449</w:t>
            </w:r>
          </w:p>
        </w:tc>
        <w:tc>
          <w:tcPr>
            <w:tcW w:w="100" w:type="dxa"/>
            <w:vAlign w:val="bottom"/>
          </w:tcPr>
          <w:p>
            <w:pPr>
              <w:spacing w:after="0"/>
              <w:rPr>
                <w:sz w:val="20"/>
                <w:szCs w:val="20"/>
                <w:color w:val="auto"/>
              </w:rPr>
            </w:pP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w w:val="89"/>
              </w:rPr>
              <w:t>505,387</w:t>
            </w:r>
          </w:p>
        </w:tc>
        <w:tc>
          <w:tcPr>
            <w:tcW w:w="0" w:type="dxa"/>
            <w:vAlign w:val="bottom"/>
          </w:tcPr>
          <w:p>
            <w:pPr>
              <w:spacing w:after="0"/>
              <w:rPr>
                <w:sz w:val="1"/>
                <w:szCs w:val="1"/>
                <w:color w:val="auto"/>
              </w:rPr>
            </w:pPr>
          </w:p>
        </w:tc>
      </w:tr>
      <w:tr>
        <w:trPr>
          <w:trHeight w:val="350"/>
        </w:trPr>
        <w:tc>
          <w:tcPr>
            <w:tcW w:w="20" w:type="dxa"/>
            <w:vAlign w:val="bottom"/>
          </w:tcPr>
          <w:p>
            <w:pPr>
              <w:spacing w:after="0"/>
              <w:rPr>
                <w:sz w:val="24"/>
                <w:szCs w:val="24"/>
                <w:color w:val="auto"/>
              </w:rPr>
            </w:pPr>
          </w:p>
        </w:tc>
        <w:tc>
          <w:tcPr>
            <w:tcW w:w="5020" w:type="dxa"/>
            <w:vAlign w:val="bottom"/>
          </w:tcPr>
          <w:p>
            <w:pPr>
              <w:spacing w:after="0"/>
              <w:rPr>
                <w:sz w:val="24"/>
                <w:szCs w:val="24"/>
                <w:color w:val="auto"/>
              </w:rPr>
            </w:pPr>
          </w:p>
        </w:tc>
        <w:tc>
          <w:tcPr>
            <w:tcW w:w="3540" w:type="dxa"/>
            <w:vAlign w:val="bottom"/>
          </w:tcPr>
          <w:p>
            <w:pPr>
              <w:jc w:val="right"/>
              <w:ind w:right="2730"/>
              <w:spacing w:after="0"/>
              <w:rPr>
                <w:sz w:val="20"/>
                <w:szCs w:val="20"/>
                <w:color w:val="auto"/>
              </w:rPr>
            </w:pPr>
            <w:r>
              <w:rPr>
                <w:rFonts w:ascii="Arial" w:cs="Arial" w:eastAsia="Arial" w:hAnsi="Arial"/>
                <w:sz w:val="18"/>
                <w:szCs w:val="18"/>
                <w:color w:val="auto"/>
              </w:rPr>
              <w:t>6</w:t>
            </w:r>
          </w:p>
        </w:tc>
        <w:tc>
          <w:tcPr>
            <w:tcW w:w="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0" w:right="239" w:bottom="1440" w:gutter="0" w:footer="0" w:header="0"/>
        </w:sectPr>
      </w:pPr>
    </w:p>
    <w:bookmarkStart w:id="12" w:name="page13"/>
    <w:bookmarkEnd w:id="12"/>
    <w:p>
      <w:pPr>
        <w:ind w:left="448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117" w:lineRule="exact"/>
        <w:rPr>
          <w:sz w:val="20"/>
          <w:szCs w:val="20"/>
          <w:color w:val="auto"/>
        </w:rPr>
      </w:pPr>
    </w:p>
    <w:p>
      <w:pPr>
        <w:ind w:left="4160"/>
        <w:spacing w:after="0"/>
        <w:rPr>
          <w:sz w:val="20"/>
          <w:szCs w:val="20"/>
          <w:color w:val="auto"/>
        </w:rPr>
      </w:pPr>
      <w:r>
        <w:rPr>
          <w:rFonts w:ascii="Arial" w:cs="Arial" w:eastAsia="Arial" w:hAnsi="Arial"/>
          <w:sz w:val="18"/>
          <w:szCs w:val="18"/>
          <w:b w:val="1"/>
          <w:bCs w:val="1"/>
          <w:color w:val="auto"/>
        </w:rPr>
        <w:t>Condensed Consolidated Balance Sheets</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820" w:type="dxa"/>
            <w:vAlign w:val="bottom"/>
          </w:tcPr>
          <w:p>
            <w:pPr>
              <w:spacing w:after="0"/>
              <w:rPr>
                <w:sz w:val="14"/>
                <w:szCs w:val="14"/>
                <w:color w:val="auto"/>
              </w:rPr>
            </w:pPr>
          </w:p>
        </w:tc>
        <w:tc>
          <w:tcPr>
            <w:tcW w:w="45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gridSpan w:val="2"/>
          </w:tcPr>
          <w:p>
            <w:pPr>
              <w:ind w:left="100"/>
              <w:spacing w:after="0"/>
              <w:rPr>
                <w:sz w:val="20"/>
                <w:szCs w:val="20"/>
                <w:color w:val="auto"/>
              </w:rPr>
            </w:pPr>
            <w:r>
              <w:rPr>
                <w:rFonts w:ascii="Arial" w:cs="Arial" w:eastAsia="Arial" w:hAnsi="Arial"/>
                <w:sz w:val="14"/>
                <w:szCs w:val="14"/>
                <w:b w:val="1"/>
                <w:bCs w:val="1"/>
                <w:color w:val="auto"/>
              </w:rPr>
              <w:t>May 3,</w:t>
            </w:r>
          </w:p>
        </w:tc>
        <w:tc>
          <w:tcPr>
            <w:tcW w:w="160" w:type="dxa"/>
            <w:vAlign w:val="bottom"/>
          </w:tcPr>
          <w:p>
            <w:pPr>
              <w:spacing w:after="0"/>
              <w:rPr>
                <w:sz w:val="14"/>
                <w:szCs w:val="14"/>
                <w:color w:val="auto"/>
              </w:rPr>
            </w:pPr>
          </w:p>
        </w:tc>
        <w:tc>
          <w:tcPr>
            <w:tcW w:w="920" w:type="dxa"/>
            <w:vAlign w:val="bottom"/>
            <w:gridSpan w:val="3"/>
          </w:tcPr>
          <w:p>
            <w:pPr>
              <w:jc w:val="right"/>
              <w:ind w:right="140"/>
              <w:spacing w:after="0"/>
              <w:rPr>
                <w:sz w:val="20"/>
                <w:szCs w:val="20"/>
                <w:color w:val="auto"/>
              </w:rPr>
            </w:pPr>
            <w:r>
              <w:rPr>
                <w:rFonts w:ascii="Arial" w:cs="Arial" w:eastAsia="Arial" w:hAnsi="Arial"/>
                <w:sz w:val="14"/>
                <w:szCs w:val="14"/>
                <w:b w:val="1"/>
                <w:bCs w:val="1"/>
                <w:color w:val="auto"/>
              </w:rPr>
              <w:t>February 1,</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4820" w:type="dxa"/>
            <w:vAlign w:val="bottom"/>
            <w:tcBorders>
              <w:bottom w:val="single" w:sz="8" w:color="CCEEFF"/>
            </w:tcBorders>
          </w:tcPr>
          <w:p>
            <w:pPr>
              <w:spacing w:after="0"/>
              <w:rPr>
                <w:sz w:val="14"/>
                <w:szCs w:val="14"/>
                <w:color w:val="auto"/>
              </w:rPr>
            </w:pPr>
          </w:p>
        </w:tc>
        <w:tc>
          <w:tcPr>
            <w:tcW w:w="45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right"/>
              <w:ind w:right="191"/>
              <w:spacing w:after="0"/>
              <w:rPr>
                <w:sz w:val="20"/>
                <w:szCs w:val="20"/>
                <w:color w:val="auto"/>
              </w:rPr>
            </w:pPr>
            <w:r>
              <w:rPr>
                <w:rFonts w:ascii="Arial" w:cs="Arial" w:eastAsia="Arial" w:hAnsi="Arial"/>
                <w:sz w:val="14"/>
                <w:szCs w:val="14"/>
                <w:b w:val="1"/>
                <w:bCs w:val="1"/>
                <w:color w:val="auto"/>
              </w:rPr>
              <w:t>2014</w:t>
            </w:r>
          </w:p>
        </w:tc>
        <w:tc>
          <w:tcPr>
            <w:tcW w:w="140" w:type="dxa"/>
            <w:vAlign w:val="bottom"/>
            <w:tcBorders>
              <w:bottom w:val="single" w:sz="8" w:color="CCEEFF"/>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71"/>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82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Assets</w:t>
            </w:r>
          </w:p>
        </w:tc>
        <w:tc>
          <w:tcPr>
            <w:tcW w:w="45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spacing w:after="0"/>
              <w:rPr>
                <w:sz w:val="20"/>
                <w:szCs w:val="20"/>
                <w:color w:val="auto"/>
              </w:rPr>
            </w:pPr>
            <w:r>
              <w:rPr>
                <w:rFonts w:ascii="Arial" w:cs="Arial" w:eastAsia="Arial" w:hAnsi="Arial"/>
                <w:sz w:val="18"/>
                <w:szCs w:val="18"/>
                <w:color w:val="auto"/>
              </w:rPr>
              <w:t>Current assets:</w:t>
            </w:r>
          </w:p>
        </w:tc>
        <w:tc>
          <w:tcPr>
            <w:tcW w:w="4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Cash, cash equivalents and short-term investments</w:t>
            </w:r>
          </w:p>
        </w:tc>
        <w:tc>
          <w:tcPr>
            <w:tcW w:w="4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89"/>
              </w:rPr>
              <w:t>2,146,445</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1,969,405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ind w:left="340"/>
              <w:spacing w:after="0"/>
              <w:rPr>
                <w:sz w:val="20"/>
                <w:szCs w:val="20"/>
                <w:color w:val="auto"/>
              </w:rPr>
            </w:pPr>
            <w:r>
              <w:rPr>
                <w:rFonts w:ascii="Arial" w:cs="Arial" w:eastAsia="Arial" w:hAnsi="Arial"/>
                <w:sz w:val="18"/>
                <w:szCs w:val="18"/>
                <w:color w:val="auto"/>
              </w:rPr>
              <w:t>Accounts receivable, net</w:t>
            </w:r>
          </w:p>
        </w:tc>
        <w:tc>
          <w:tcPr>
            <w:tcW w:w="4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40"/>
              <w:spacing w:after="0"/>
              <w:rPr>
                <w:sz w:val="20"/>
                <w:szCs w:val="20"/>
                <w:color w:val="auto"/>
              </w:rPr>
            </w:pPr>
            <w:r>
              <w:rPr>
                <w:rFonts w:ascii="Arial" w:cs="Arial" w:eastAsia="Arial" w:hAnsi="Arial"/>
                <w:sz w:val="18"/>
                <w:szCs w:val="18"/>
                <w:color w:val="auto"/>
              </w:rPr>
              <w:t>517,074</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453,496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Inventories</w:t>
            </w:r>
          </w:p>
        </w:tc>
        <w:tc>
          <w:tcPr>
            <w:tcW w:w="4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350,649</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347,861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820" w:type="dxa"/>
            <w:vAlign w:val="bottom"/>
          </w:tcPr>
          <w:p>
            <w:pPr>
              <w:ind w:left="340"/>
              <w:spacing w:after="0"/>
              <w:rPr>
                <w:sz w:val="20"/>
                <w:szCs w:val="20"/>
                <w:color w:val="auto"/>
              </w:rPr>
            </w:pPr>
            <w:r>
              <w:rPr>
                <w:rFonts w:ascii="Arial" w:cs="Arial" w:eastAsia="Arial" w:hAnsi="Arial"/>
                <w:sz w:val="18"/>
                <w:szCs w:val="18"/>
                <w:color w:val="auto"/>
              </w:rPr>
              <w:t>Prepaid expenses and other current assets</w:t>
            </w:r>
          </w:p>
        </w:tc>
        <w:tc>
          <w:tcPr>
            <w:tcW w:w="45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72,815</w:t>
            </w: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68,458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ind w:left="700"/>
              <w:spacing w:after="0"/>
              <w:rPr>
                <w:sz w:val="20"/>
                <w:szCs w:val="20"/>
                <w:color w:val="auto"/>
              </w:rPr>
            </w:pPr>
            <w:r>
              <w:rPr>
                <w:rFonts w:ascii="Arial" w:cs="Arial" w:eastAsia="Arial" w:hAnsi="Arial"/>
                <w:sz w:val="18"/>
                <w:szCs w:val="18"/>
                <w:color w:val="auto"/>
              </w:rPr>
              <w:t>Total current assets</w:t>
            </w:r>
          </w:p>
        </w:tc>
        <w:tc>
          <w:tcPr>
            <w:tcW w:w="452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3,086,983</w:t>
            </w: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2,839,220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4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40"/>
              <w:spacing w:after="0"/>
              <w:rPr>
                <w:sz w:val="20"/>
                <w:szCs w:val="20"/>
                <w:color w:val="auto"/>
              </w:rPr>
            </w:pPr>
            <w:r>
              <w:rPr>
                <w:rFonts w:ascii="Arial" w:cs="Arial" w:eastAsia="Arial" w:hAnsi="Arial"/>
                <w:sz w:val="18"/>
                <w:szCs w:val="18"/>
                <w:color w:val="auto"/>
              </w:rPr>
              <w:t>349,321</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356,165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4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13,456</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16,279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spacing w:after="0"/>
              <w:rPr>
                <w:sz w:val="20"/>
                <w:szCs w:val="20"/>
                <w:color w:val="auto"/>
              </w:rPr>
            </w:pPr>
            <w:r>
              <w:rPr>
                <w:rFonts w:ascii="Arial" w:cs="Arial" w:eastAsia="Arial" w:hAnsi="Arial"/>
                <w:sz w:val="18"/>
                <w:szCs w:val="18"/>
                <w:color w:val="auto"/>
              </w:rPr>
              <w:t>Goodwill and acquired intangible assets, net</w:t>
            </w:r>
          </w:p>
        </w:tc>
        <w:tc>
          <w:tcPr>
            <w:tcW w:w="4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40"/>
              <w:spacing w:after="0"/>
              <w:rPr>
                <w:sz w:val="20"/>
                <w:szCs w:val="20"/>
                <w:color w:val="auto"/>
              </w:rPr>
            </w:pPr>
            <w:r>
              <w:rPr>
                <w:rFonts w:ascii="Arial" w:cs="Arial" w:eastAsia="Arial" w:hAnsi="Arial"/>
                <w:sz w:val="18"/>
                <w:szCs w:val="18"/>
                <w:color w:val="auto"/>
                <w:w w:val="89"/>
              </w:rPr>
              <w:t>2,071,806</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2,078,980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4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161,406</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160,366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820" w:type="dxa"/>
            <w:vAlign w:val="bottom"/>
          </w:tcPr>
          <w:p>
            <w:pPr>
              <w:ind w:left="700"/>
              <w:spacing w:after="0"/>
              <w:rPr>
                <w:sz w:val="20"/>
                <w:szCs w:val="20"/>
                <w:color w:val="auto"/>
              </w:rPr>
            </w:pPr>
            <w:r>
              <w:rPr>
                <w:rFonts w:ascii="Arial" w:cs="Arial" w:eastAsia="Arial" w:hAnsi="Arial"/>
                <w:sz w:val="18"/>
                <w:szCs w:val="18"/>
                <w:color w:val="auto"/>
              </w:rPr>
              <w:t>Total assets</w:t>
            </w:r>
          </w:p>
        </w:tc>
        <w:tc>
          <w:tcPr>
            <w:tcW w:w="45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5,682,972</w:t>
            </w: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5,451,010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20" w:type="dxa"/>
            <w:vAlign w:val="bottom"/>
          </w:tcPr>
          <w:p>
            <w:pPr>
              <w:spacing w:after="0" w:line="20" w:lineRule="exact"/>
              <w:rPr>
                <w:sz w:val="1"/>
                <w:szCs w:val="1"/>
                <w:color w:val="auto"/>
              </w:rPr>
            </w:pPr>
          </w:p>
        </w:tc>
        <w:tc>
          <w:tcPr>
            <w:tcW w:w="45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2"/>
        </w:trPr>
        <w:tc>
          <w:tcPr>
            <w:tcW w:w="20" w:type="dxa"/>
            <w:vAlign w:val="bottom"/>
            <w:vMerge w:val="restart"/>
          </w:tcPr>
          <w:p>
            <w:pPr>
              <w:spacing w:after="0"/>
              <w:rPr>
                <w:sz w:val="8"/>
                <w:szCs w:val="8"/>
                <w:color w:val="auto"/>
              </w:rPr>
            </w:pPr>
          </w:p>
        </w:tc>
        <w:tc>
          <w:tcPr>
            <w:tcW w:w="4820" w:type="dxa"/>
            <w:vAlign w:val="bottom"/>
          </w:tcPr>
          <w:p>
            <w:pPr>
              <w:spacing w:after="0"/>
              <w:rPr>
                <w:sz w:val="8"/>
                <w:szCs w:val="8"/>
                <w:color w:val="auto"/>
              </w:rPr>
            </w:pPr>
          </w:p>
        </w:tc>
        <w:tc>
          <w:tcPr>
            <w:tcW w:w="4520" w:type="dxa"/>
            <w:vAlign w:val="bottom"/>
          </w:tcPr>
          <w:p>
            <w:pPr>
              <w:spacing w:after="0"/>
              <w:rPr>
                <w:sz w:val="8"/>
                <w:szCs w:val="8"/>
                <w:color w:val="auto"/>
              </w:rPr>
            </w:pPr>
          </w:p>
        </w:tc>
        <w:tc>
          <w:tcPr>
            <w:tcW w:w="100" w:type="dxa"/>
            <w:vAlign w:val="bottom"/>
          </w:tcPr>
          <w:p>
            <w:pPr>
              <w:spacing w:after="0"/>
              <w:rPr>
                <w:sz w:val="8"/>
                <w:szCs w:val="8"/>
                <w:color w:val="auto"/>
              </w:rPr>
            </w:pPr>
          </w:p>
        </w:tc>
        <w:tc>
          <w:tcPr>
            <w:tcW w:w="740" w:type="dxa"/>
            <w:vAlign w:val="bottom"/>
          </w:tcPr>
          <w:p>
            <w:pPr>
              <w:spacing w:after="0"/>
              <w:rPr>
                <w:sz w:val="8"/>
                <w:szCs w:val="8"/>
                <w:color w:val="auto"/>
              </w:rPr>
            </w:pPr>
          </w:p>
        </w:tc>
        <w:tc>
          <w:tcPr>
            <w:tcW w:w="140" w:type="dxa"/>
            <w:vAlign w:val="bottom"/>
          </w:tcPr>
          <w:p>
            <w:pPr>
              <w:spacing w:after="0"/>
              <w:rPr>
                <w:sz w:val="8"/>
                <w:szCs w:val="8"/>
                <w:color w:val="auto"/>
              </w:rPr>
            </w:pPr>
          </w:p>
        </w:tc>
        <w:tc>
          <w:tcPr>
            <w:tcW w:w="160" w:type="dxa"/>
            <w:vAlign w:val="bottom"/>
          </w:tcPr>
          <w:p>
            <w:pPr>
              <w:spacing w:after="0"/>
              <w:rPr>
                <w:sz w:val="8"/>
                <w:szCs w:val="8"/>
                <w:color w:val="auto"/>
              </w:rPr>
            </w:pPr>
          </w:p>
        </w:tc>
        <w:tc>
          <w:tcPr>
            <w:tcW w:w="100" w:type="dxa"/>
            <w:vAlign w:val="bottom"/>
          </w:tcPr>
          <w:p>
            <w:pPr>
              <w:spacing w:after="0"/>
              <w:rPr>
                <w:sz w:val="8"/>
                <w:szCs w:val="8"/>
                <w:color w:val="auto"/>
              </w:rPr>
            </w:pPr>
          </w:p>
        </w:tc>
        <w:tc>
          <w:tcPr>
            <w:tcW w:w="7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8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4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spacing w:after="0"/>
              <w:rPr>
                <w:sz w:val="20"/>
                <w:szCs w:val="20"/>
                <w:color w:val="auto"/>
              </w:rPr>
            </w:pPr>
            <w:r>
              <w:rPr>
                <w:rFonts w:ascii="Arial" w:cs="Arial" w:eastAsia="Arial" w:hAnsi="Arial"/>
                <w:sz w:val="18"/>
                <w:szCs w:val="18"/>
                <w:color w:val="auto"/>
              </w:rPr>
              <w:t>Current liabilities:</w:t>
            </w:r>
          </w:p>
        </w:tc>
        <w:tc>
          <w:tcPr>
            <w:tcW w:w="4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Accounts payable</w:t>
            </w:r>
          </w:p>
        </w:tc>
        <w:tc>
          <w:tcPr>
            <w:tcW w:w="4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409,005</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316,389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ind w:left="340"/>
              <w:spacing w:after="0"/>
              <w:rPr>
                <w:sz w:val="20"/>
                <w:szCs w:val="20"/>
                <w:color w:val="auto"/>
              </w:rPr>
            </w:pPr>
            <w:r>
              <w:rPr>
                <w:rFonts w:ascii="Arial" w:cs="Arial" w:eastAsia="Arial" w:hAnsi="Arial"/>
                <w:sz w:val="18"/>
                <w:szCs w:val="18"/>
                <w:color w:val="auto"/>
              </w:rPr>
              <w:t>Accrued liabilities</w:t>
            </w:r>
          </w:p>
        </w:tc>
        <w:tc>
          <w:tcPr>
            <w:tcW w:w="4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40"/>
              <w:spacing w:after="0"/>
              <w:rPr>
                <w:sz w:val="20"/>
                <w:szCs w:val="20"/>
                <w:color w:val="auto"/>
              </w:rPr>
            </w:pPr>
            <w:r>
              <w:rPr>
                <w:rFonts w:ascii="Arial" w:cs="Arial" w:eastAsia="Arial" w:hAnsi="Arial"/>
                <w:sz w:val="18"/>
                <w:szCs w:val="18"/>
                <w:color w:val="auto"/>
              </w:rPr>
              <w:t>288,076</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273,170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Deferred income</w:t>
            </w:r>
          </w:p>
        </w:tc>
        <w:tc>
          <w:tcPr>
            <w:tcW w:w="4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92,679</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61,747</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820" w:type="dxa"/>
            <w:vAlign w:val="bottom"/>
          </w:tcPr>
          <w:p>
            <w:pPr>
              <w:ind w:left="700"/>
              <w:spacing w:after="0"/>
              <w:rPr>
                <w:sz w:val="20"/>
                <w:szCs w:val="20"/>
                <w:color w:val="auto"/>
              </w:rPr>
            </w:pPr>
            <w:r>
              <w:rPr>
                <w:rFonts w:ascii="Arial" w:cs="Arial" w:eastAsia="Arial" w:hAnsi="Arial"/>
                <w:sz w:val="18"/>
                <w:szCs w:val="18"/>
                <w:color w:val="auto"/>
              </w:rPr>
              <w:t>Total current liabilities</w:t>
            </w:r>
          </w:p>
        </w:tc>
        <w:tc>
          <w:tcPr>
            <w:tcW w:w="45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789,760</w:t>
            </w: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651,306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liabilities</w:t>
            </w:r>
          </w:p>
        </w:tc>
        <w:tc>
          <w:tcPr>
            <w:tcW w:w="4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123,725</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123,794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820" w:type="dxa"/>
            <w:vAlign w:val="bottom"/>
          </w:tcPr>
          <w:p>
            <w:pPr>
              <w:ind w:left="700"/>
              <w:spacing w:after="0"/>
              <w:rPr>
                <w:sz w:val="20"/>
                <w:szCs w:val="20"/>
                <w:color w:val="auto"/>
              </w:rPr>
            </w:pPr>
            <w:r>
              <w:rPr>
                <w:rFonts w:ascii="Arial" w:cs="Arial" w:eastAsia="Arial" w:hAnsi="Arial"/>
                <w:sz w:val="18"/>
                <w:szCs w:val="18"/>
                <w:color w:val="auto"/>
              </w:rPr>
              <w:t>Total liabilities</w:t>
            </w:r>
          </w:p>
        </w:tc>
        <w:tc>
          <w:tcPr>
            <w:tcW w:w="452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19"/>
                <w:szCs w:val="19"/>
                <w:color w:val="auto"/>
              </w:rPr>
            </w:pP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913,485</w:t>
            </w: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19"/>
                <w:szCs w:val="19"/>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775,100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5"/>
        </w:trPr>
        <w:tc>
          <w:tcPr>
            <w:tcW w:w="20" w:type="dxa"/>
            <w:vAlign w:val="bottom"/>
            <w:vMerge w:val="restart"/>
          </w:tcPr>
          <w:p>
            <w:pPr>
              <w:spacing w:after="0"/>
              <w:rPr>
                <w:sz w:val="10"/>
                <w:szCs w:val="10"/>
                <w:color w:val="auto"/>
              </w:rPr>
            </w:pPr>
          </w:p>
        </w:tc>
        <w:tc>
          <w:tcPr>
            <w:tcW w:w="4820" w:type="dxa"/>
            <w:vAlign w:val="bottom"/>
          </w:tcPr>
          <w:p>
            <w:pPr>
              <w:spacing w:after="0"/>
              <w:rPr>
                <w:sz w:val="10"/>
                <w:szCs w:val="10"/>
                <w:color w:val="auto"/>
              </w:rPr>
            </w:pPr>
          </w:p>
        </w:tc>
        <w:tc>
          <w:tcPr>
            <w:tcW w:w="45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82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4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ind w:left="340"/>
              <w:spacing w:after="0"/>
              <w:rPr>
                <w:sz w:val="20"/>
                <w:szCs w:val="20"/>
                <w:color w:val="auto"/>
              </w:rPr>
            </w:pPr>
            <w:r>
              <w:rPr>
                <w:rFonts w:ascii="Arial" w:cs="Arial" w:eastAsia="Arial" w:hAnsi="Arial"/>
                <w:sz w:val="18"/>
                <w:szCs w:val="18"/>
                <w:color w:val="auto"/>
              </w:rPr>
              <w:t>Common stock</w:t>
            </w:r>
          </w:p>
        </w:tc>
        <w:tc>
          <w:tcPr>
            <w:tcW w:w="4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40"/>
              <w:spacing w:after="0"/>
              <w:rPr>
                <w:sz w:val="20"/>
                <w:szCs w:val="20"/>
                <w:color w:val="auto"/>
              </w:rPr>
            </w:pPr>
            <w:r>
              <w:rPr>
                <w:rFonts w:ascii="Arial" w:cs="Arial" w:eastAsia="Arial" w:hAnsi="Arial"/>
                <w:sz w:val="18"/>
                <w:szCs w:val="18"/>
                <w:color w:val="auto"/>
              </w:rPr>
              <w:t>1,016</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1,005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Additional paid-in capital</w:t>
            </w:r>
          </w:p>
        </w:tc>
        <w:tc>
          <w:tcPr>
            <w:tcW w:w="4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89"/>
              </w:rPr>
              <w:t>2,966,097</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2,941,650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ind w:left="340"/>
              <w:spacing w:after="0"/>
              <w:rPr>
                <w:sz w:val="20"/>
                <w:szCs w:val="20"/>
                <w:color w:val="auto"/>
              </w:rPr>
            </w:pPr>
            <w:r>
              <w:rPr>
                <w:rFonts w:ascii="Arial" w:cs="Arial" w:eastAsia="Arial" w:hAnsi="Arial"/>
                <w:sz w:val="18"/>
                <w:szCs w:val="18"/>
                <w:color w:val="auto"/>
              </w:rPr>
              <w:t>Accumulated other comprehensive income</w:t>
            </w:r>
          </w:p>
        </w:tc>
        <w:tc>
          <w:tcPr>
            <w:tcW w:w="4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40"/>
              <w:spacing w:after="0"/>
              <w:rPr>
                <w:sz w:val="20"/>
                <w:szCs w:val="20"/>
                <w:color w:val="auto"/>
              </w:rPr>
            </w:pPr>
            <w:r>
              <w:rPr>
                <w:rFonts w:ascii="Arial" w:cs="Arial" w:eastAsia="Arial" w:hAnsi="Arial"/>
                <w:sz w:val="18"/>
                <w:szCs w:val="18"/>
                <w:color w:val="auto"/>
              </w:rPr>
              <w:t>409</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597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Retained earnings</w:t>
            </w:r>
          </w:p>
        </w:tc>
        <w:tc>
          <w:tcPr>
            <w:tcW w:w="4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89"/>
              </w:rPr>
              <w:t>1,801,965</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1,732,658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820" w:type="dxa"/>
            <w:vAlign w:val="bottom"/>
          </w:tcPr>
          <w:p>
            <w:pPr>
              <w:ind w:left="700"/>
              <w:spacing w:after="0"/>
              <w:rPr>
                <w:sz w:val="20"/>
                <w:szCs w:val="20"/>
                <w:color w:val="auto"/>
              </w:rPr>
            </w:pPr>
            <w:r>
              <w:rPr>
                <w:rFonts w:ascii="Arial" w:cs="Arial" w:eastAsia="Arial" w:hAnsi="Arial"/>
                <w:sz w:val="18"/>
                <w:szCs w:val="18"/>
                <w:color w:val="auto"/>
              </w:rPr>
              <w:t>Total shareholders’ equity</w:t>
            </w:r>
          </w:p>
        </w:tc>
        <w:tc>
          <w:tcPr>
            <w:tcW w:w="452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4,769,487</w:t>
            </w: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4,675,910</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ind w:left="700"/>
              <w:spacing w:after="0"/>
              <w:rPr>
                <w:sz w:val="20"/>
                <w:szCs w:val="20"/>
                <w:color w:val="auto"/>
              </w:rPr>
            </w:pPr>
            <w:r>
              <w:rPr>
                <w:rFonts w:ascii="Arial" w:cs="Arial" w:eastAsia="Arial" w:hAnsi="Arial"/>
                <w:sz w:val="18"/>
                <w:szCs w:val="18"/>
                <w:color w:val="auto"/>
              </w:rPr>
              <w:t>Total liabilities and shareholders’ equity</w:t>
            </w:r>
          </w:p>
        </w:tc>
        <w:tc>
          <w:tcPr>
            <w:tcW w:w="46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89"/>
              </w:rPr>
              <w:t>5,682,972</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5,451,010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20" w:type="dxa"/>
            <w:vAlign w:val="bottom"/>
          </w:tcPr>
          <w:p>
            <w:pPr>
              <w:spacing w:after="0" w:line="20" w:lineRule="exact"/>
              <w:rPr>
                <w:sz w:val="1"/>
                <w:szCs w:val="1"/>
                <w:color w:val="auto"/>
              </w:rPr>
            </w:pPr>
          </w:p>
        </w:tc>
        <w:tc>
          <w:tcPr>
            <w:tcW w:w="4520" w:type="dxa"/>
            <w:vAlign w:val="bottom"/>
            <w:vMerge w:val="restart"/>
          </w:tcPr>
          <w:p>
            <w:pPr>
              <w:jc w:val="right"/>
              <w:ind w:right="3510"/>
              <w:spacing w:after="0"/>
              <w:rPr>
                <w:sz w:val="20"/>
                <w:szCs w:val="20"/>
                <w:color w:val="auto"/>
              </w:rPr>
            </w:pPr>
            <w:r>
              <w:rPr>
                <w:rFonts w:ascii="Arial" w:cs="Arial" w:eastAsia="Arial" w:hAnsi="Arial"/>
                <w:sz w:val="18"/>
                <w:szCs w:val="18"/>
                <w:color w:val="auto"/>
              </w:rPr>
              <w:t>7</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20" w:type="dxa"/>
            <w:vAlign w:val="bottom"/>
          </w:tcPr>
          <w:p>
            <w:pPr>
              <w:spacing w:after="0"/>
              <w:rPr>
                <w:sz w:val="24"/>
                <w:szCs w:val="24"/>
                <w:color w:val="auto"/>
              </w:rPr>
            </w:pPr>
          </w:p>
        </w:tc>
        <w:tc>
          <w:tcPr>
            <w:tcW w:w="4820" w:type="dxa"/>
            <w:vAlign w:val="bottom"/>
          </w:tcPr>
          <w:p>
            <w:pPr>
              <w:spacing w:after="0"/>
              <w:rPr>
                <w:sz w:val="24"/>
                <w:szCs w:val="24"/>
                <w:color w:val="auto"/>
              </w:rPr>
            </w:pPr>
          </w:p>
        </w:tc>
        <w:tc>
          <w:tcPr>
            <w:tcW w:w="452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0" w:right="239" w:bottom="1440" w:gutter="0" w:footer="0" w:header="0"/>
        </w:sectPr>
      </w:pPr>
    </w:p>
    <w:bookmarkStart w:id="13" w:name="page14"/>
    <w:bookmarkEnd w:id="13"/>
    <w:p>
      <w:pPr>
        <w:ind w:left="448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117" w:lineRule="exact"/>
        <w:rPr>
          <w:sz w:val="20"/>
          <w:szCs w:val="20"/>
          <w:color w:val="auto"/>
        </w:rPr>
      </w:pPr>
    </w:p>
    <w:p>
      <w:pPr>
        <w:ind w:left="3760"/>
        <w:spacing w:after="0"/>
        <w:rPr>
          <w:sz w:val="20"/>
          <w:szCs w:val="20"/>
          <w:color w:val="auto"/>
        </w:rPr>
      </w:pPr>
      <w:r>
        <w:rPr>
          <w:rFonts w:ascii="Arial" w:cs="Arial" w:eastAsia="Arial" w:hAnsi="Arial"/>
          <w:sz w:val="18"/>
          <w:szCs w:val="18"/>
          <w:b w:val="1"/>
          <w:bCs w:val="1"/>
          <w:color w:val="auto"/>
        </w:rPr>
        <w:t>Condensed Consolidated Statements of Cash Flows</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9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00" w:type="dxa"/>
            <w:vAlign w:val="bottom"/>
            <w:gridSpan w:val="5"/>
          </w:tcPr>
          <w:p>
            <w:pPr>
              <w:jc w:val="right"/>
              <w:ind w:right="320"/>
              <w:spacing w:after="0"/>
              <w:rPr>
                <w:sz w:val="20"/>
                <w:szCs w:val="20"/>
                <w:color w:val="auto"/>
              </w:rPr>
            </w:pPr>
            <w:r>
              <w:rPr>
                <w:rFonts w:ascii="Arial" w:cs="Arial" w:eastAsia="Arial" w:hAnsi="Arial"/>
                <w:sz w:val="14"/>
                <w:szCs w:val="14"/>
                <w:b w:val="1"/>
                <w:bCs w:val="1"/>
                <w:color w:val="auto"/>
              </w:rPr>
              <w:t>Three Months Ended</w:t>
            </w:r>
          </w:p>
        </w:tc>
      </w:tr>
      <w:tr>
        <w:trPr>
          <w:trHeight w:val="119"/>
        </w:trPr>
        <w:tc>
          <w:tcPr>
            <w:tcW w:w="20" w:type="dxa"/>
            <w:vAlign w:val="bottom"/>
          </w:tcPr>
          <w:p>
            <w:pPr>
              <w:spacing w:after="0"/>
              <w:rPr>
                <w:sz w:val="10"/>
                <w:szCs w:val="10"/>
                <w:color w:val="auto"/>
              </w:rPr>
            </w:pPr>
          </w:p>
        </w:tc>
        <w:tc>
          <w:tcPr>
            <w:tcW w:w="9400" w:type="dxa"/>
            <w:vAlign w:val="bottom"/>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1040" w:type="dxa"/>
            <w:vAlign w:val="bottom"/>
            <w:tcBorders>
              <w:top w:val="single" w:sz="8" w:color="auto"/>
            </w:tcBorders>
            <w:gridSpan w:val="2"/>
          </w:tcPr>
          <w:p>
            <w:pPr>
              <w:jc w:val="right"/>
              <w:ind w:right="520"/>
              <w:spacing w:after="0" w:line="119" w:lineRule="exact"/>
              <w:rPr>
                <w:sz w:val="20"/>
                <w:szCs w:val="20"/>
                <w:color w:val="auto"/>
              </w:rPr>
            </w:pPr>
            <w:r>
              <w:rPr>
                <w:rFonts w:ascii="Arial" w:cs="Arial" w:eastAsia="Arial" w:hAnsi="Arial"/>
                <w:sz w:val="13"/>
                <w:szCs w:val="13"/>
                <w:b w:val="1"/>
                <w:bCs w:val="1"/>
                <w:color w:val="auto"/>
              </w:rPr>
              <w:t>May 3,</w:t>
            </w:r>
          </w:p>
        </w:tc>
        <w:tc>
          <w:tcPr>
            <w:tcW w:w="100" w:type="dxa"/>
            <w:vAlign w:val="bottom"/>
            <w:tcBorders>
              <w:top w:val="single" w:sz="8" w:color="auto"/>
            </w:tcBorders>
          </w:tcPr>
          <w:p>
            <w:pPr>
              <w:spacing w:after="0"/>
              <w:rPr>
                <w:sz w:val="10"/>
                <w:szCs w:val="10"/>
                <w:color w:val="auto"/>
              </w:rPr>
            </w:pPr>
          </w:p>
        </w:tc>
        <w:tc>
          <w:tcPr>
            <w:tcW w:w="660" w:type="dxa"/>
            <w:vAlign w:val="bottom"/>
            <w:tcBorders>
              <w:top w:val="single" w:sz="8" w:color="auto"/>
            </w:tcBorders>
          </w:tcPr>
          <w:p>
            <w:pPr>
              <w:jc w:val="right"/>
              <w:ind w:right="71"/>
              <w:spacing w:after="0" w:line="119" w:lineRule="exact"/>
              <w:rPr>
                <w:sz w:val="20"/>
                <w:szCs w:val="20"/>
                <w:color w:val="auto"/>
              </w:rPr>
            </w:pPr>
            <w:r>
              <w:rPr>
                <w:rFonts w:ascii="Arial" w:cs="Arial" w:eastAsia="Arial" w:hAnsi="Arial"/>
                <w:sz w:val="13"/>
                <w:szCs w:val="13"/>
                <w:b w:val="1"/>
                <w:bCs w:val="1"/>
                <w:color w:val="auto"/>
              </w:rPr>
              <w:t>May 4,</w:t>
            </w:r>
          </w:p>
        </w:tc>
        <w:tc>
          <w:tcPr>
            <w:tcW w:w="100" w:type="dxa"/>
            <w:vAlign w:val="bottom"/>
          </w:tcPr>
          <w:p>
            <w:pPr>
              <w:spacing w:after="0"/>
              <w:rPr>
                <w:sz w:val="10"/>
                <w:szCs w:val="10"/>
                <w:color w:val="auto"/>
              </w:rPr>
            </w:pPr>
          </w:p>
        </w:tc>
      </w:tr>
      <w:tr>
        <w:trPr>
          <w:trHeight w:val="171"/>
        </w:trPr>
        <w:tc>
          <w:tcPr>
            <w:tcW w:w="20" w:type="dxa"/>
            <w:vAlign w:val="bottom"/>
          </w:tcPr>
          <w:p>
            <w:pPr>
              <w:spacing w:after="0"/>
              <w:rPr>
                <w:sz w:val="14"/>
                <w:szCs w:val="14"/>
                <w:color w:val="auto"/>
              </w:rPr>
            </w:pPr>
          </w:p>
        </w:tc>
        <w:tc>
          <w:tcPr>
            <w:tcW w:w="94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72"/>
              <w:spacing w:after="0"/>
              <w:rPr>
                <w:sz w:val="20"/>
                <w:szCs w:val="20"/>
                <w:color w:val="auto"/>
              </w:rPr>
            </w:pPr>
            <w:r>
              <w:rPr>
                <w:rFonts w:ascii="Arial" w:cs="Arial" w:eastAsia="Arial" w:hAnsi="Arial"/>
                <w:sz w:val="14"/>
                <w:szCs w:val="14"/>
                <w:b w:val="1"/>
                <w:bCs w:val="1"/>
                <w:color w:val="auto"/>
              </w:rPr>
              <w:t>2014</w:t>
            </w:r>
          </w:p>
        </w:tc>
        <w:tc>
          <w:tcPr>
            <w:tcW w:w="3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right"/>
              <w:ind w:right="151"/>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r>
      <w:tr>
        <w:trPr>
          <w:trHeight w:val="196"/>
        </w:trPr>
        <w:tc>
          <w:tcPr>
            <w:tcW w:w="20" w:type="dxa"/>
            <w:vAlign w:val="bottom"/>
          </w:tcPr>
          <w:p>
            <w:pPr>
              <w:spacing w:after="0"/>
              <w:rPr>
                <w:sz w:val="17"/>
                <w:szCs w:val="17"/>
                <w:color w:val="auto"/>
              </w:rPr>
            </w:pPr>
          </w:p>
        </w:tc>
        <w:tc>
          <w:tcPr>
            <w:tcW w:w="940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Cash flows from operating activities:</w:t>
            </w: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rPr>
              <w:t>Net income</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99,479</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gridSpan w:val="2"/>
          </w:tcPr>
          <w:p>
            <w:pPr>
              <w:jc w:val="right"/>
              <w:ind w:right="20"/>
              <w:spacing w:after="0"/>
              <w:rPr>
                <w:sz w:val="20"/>
                <w:szCs w:val="20"/>
                <w:color w:val="auto"/>
              </w:rPr>
            </w:pPr>
            <w:r>
              <w:rPr>
                <w:rFonts w:ascii="Arial" w:cs="Arial" w:eastAsia="Arial" w:hAnsi="Arial"/>
                <w:sz w:val="18"/>
                <w:szCs w:val="18"/>
                <w:color w:val="auto"/>
              </w:rPr>
              <w:t>53,209</w:t>
            </w:r>
          </w:p>
        </w:tc>
      </w:tr>
      <w:tr>
        <w:trPr>
          <w:trHeight w:val="216"/>
        </w:trPr>
        <w:tc>
          <w:tcPr>
            <w:tcW w:w="20" w:type="dxa"/>
            <w:vAlign w:val="bottom"/>
          </w:tcPr>
          <w:p>
            <w:pPr>
              <w:spacing w:after="0"/>
              <w:rPr>
                <w:sz w:val="18"/>
                <w:szCs w:val="18"/>
                <w:color w:val="auto"/>
              </w:rPr>
            </w:pPr>
          </w:p>
        </w:tc>
        <w:tc>
          <w:tcPr>
            <w:tcW w:w="940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400" w:type="dxa"/>
            <w:vAlign w:val="bottom"/>
          </w:tcPr>
          <w:p>
            <w:pPr>
              <w:ind w:left="340"/>
              <w:spacing w:after="0"/>
              <w:rPr>
                <w:sz w:val="20"/>
                <w:szCs w:val="20"/>
                <w:color w:val="auto"/>
              </w:rPr>
            </w:pPr>
            <w:r>
              <w:rPr>
                <w:rFonts w:ascii="Arial" w:cs="Arial" w:eastAsia="Arial" w:hAnsi="Arial"/>
                <w:sz w:val="18"/>
                <w:szCs w:val="18"/>
                <w:color w:val="auto"/>
              </w:rPr>
              <w:t>Depreciation and amortization</w:t>
            </w:r>
          </w:p>
        </w:tc>
        <w:tc>
          <w:tcPr>
            <w:tcW w:w="10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27,006</w:t>
            </w:r>
          </w:p>
        </w:tc>
        <w:tc>
          <w:tcPr>
            <w:tcW w:w="100" w:type="dxa"/>
            <w:vAlign w:val="bottom"/>
          </w:tcPr>
          <w:p>
            <w:pPr>
              <w:spacing w:after="0"/>
              <w:rPr>
                <w:sz w:val="18"/>
                <w:szCs w:val="18"/>
                <w:color w:val="auto"/>
              </w:rPr>
            </w:pPr>
          </w:p>
        </w:tc>
        <w:tc>
          <w:tcPr>
            <w:tcW w:w="760" w:type="dxa"/>
            <w:vAlign w:val="bottom"/>
            <w:gridSpan w:val="2"/>
          </w:tcPr>
          <w:p>
            <w:pPr>
              <w:jc w:val="right"/>
              <w:ind w:right="20"/>
              <w:spacing w:after="0"/>
              <w:rPr>
                <w:sz w:val="20"/>
                <w:szCs w:val="20"/>
                <w:color w:val="auto"/>
              </w:rPr>
            </w:pPr>
            <w:r>
              <w:rPr>
                <w:rFonts w:ascii="Arial" w:cs="Arial" w:eastAsia="Arial" w:hAnsi="Arial"/>
                <w:sz w:val="18"/>
                <w:szCs w:val="18"/>
                <w:color w:val="auto"/>
              </w:rPr>
              <w:t>24,966</w:t>
            </w:r>
          </w:p>
        </w:tc>
      </w:tr>
      <w:tr>
        <w:trPr>
          <w:trHeight w:val="216"/>
        </w:trPr>
        <w:tc>
          <w:tcPr>
            <w:tcW w:w="20" w:type="dxa"/>
            <w:vAlign w:val="bottom"/>
          </w:tcPr>
          <w:p>
            <w:pPr>
              <w:spacing w:after="0"/>
              <w:rPr>
                <w:sz w:val="18"/>
                <w:szCs w:val="18"/>
                <w:color w:val="auto"/>
              </w:rPr>
            </w:pPr>
          </w:p>
        </w:tc>
        <w:tc>
          <w:tcPr>
            <w:tcW w:w="94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Share-based compensation</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29,969</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33,513</w:t>
            </w:r>
          </w:p>
        </w:tc>
      </w:tr>
      <w:tr>
        <w:trPr>
          <w:trHeight w:val="216"/>
        </w:trPr>
        <w:tc>
          <w:tcPr>
            <w:tcW w:w="20" w:type="dxa"/>
            <w:vAlign w:val="bottom"/>
          </w:tcPr>
          <w:p>
            <w:pPr>
              <w:spacing w:after="0"/>
              <w:rPr>
                <w:sz w:val="18"/>
                <w:szCs w:val="18"/>
                <w:color w:val="auto"/>
              </w:rPr>
            </w:pPr>
          </w:p>
        </w:tc>
        <w:tc>
          <w:tcPr>
            <w:tcW w:w="9400" w:type="dxa"/>
            <w:vAlign w:val="bottom"/>
          </w:tcPr>
          <w:p>
            <w:pPr>
              <w:ind w:left="340"/>
              <w:spacing w:after="0"/>
              <w:rPr>
                <w:sz w:val="20"/>
                <w:szCs w:val="20"/>
                <w:color w:val="auto"/>
              </w:rPr>
            </w:pPr>
            <w:r>
              <w:rPr>
                <w:rFonts w:ascii="Arial" w:cs="Arial" w:eastAsia="Arial" w:hAnsi="Arial"/>
                <w:sz w:val="18"/>
                <w:szCs w:val="18"/>
                <w:color w:val="auto"/>
              </w:rPr>
              <w:t>Amortization and write-off of acquired intangible assets</w:t>
            </w: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7,174</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20"/>
              <w:spacing w:after="0"/>
              <w:rPr>
                <w:sz w:val="20"/>
                <w:szCs w:val="20"/>
                <w:color w:val="auto"/>
              </w:rPr>
            </w:pPr>
            <w:r>
              <w:rPr>
                <w:rFonts w:ascii="Arial" w:cs="Arial" w:eastAsia="Arial" w:hAnsi="Arial"/>
                <w:sz w:val="18"/>
                <w:szCs w:val="18"/>
                <w:color w:val="auto"/>
              </w:rPr>
              <w:t>10,686</w:t>
            </w:r>
          </w:p>
        </w:tc>
      </w:tr>
      <w:tr>
        <w:trPr>
          <w:trHeight w:val="216"/>
        </w:trPr>
        <w:tc>
          <w:tcPr>
            <w:tcW w:w="20" w:type="dxa"/>
            <w:vAlign w:val="bottom"/>
          </w:tcPr>
          <w:p>
            <w:pPr>
              <w:spacing w:after="0"/>
              <w:rPr>
                <w:sz w:val="18"/>
                <w:szCs w:val="18"/>
                <w:color w:val="auto"/>
              </w:rPr>
            </w:pPr>
          </w:p>
        </w:tc>
        <w:tc>
          <w:tcPr>
            <w:tcW w:w="94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Other expense, net</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1,470</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2,523</w:t>
            </w:r>
          </w:p>
        </w:tc>
      </w:tr>
      <w:tr>
        <w:trPr>
          <w:trHeight w:val="216"/>
        </w:trPr>
        <w:tc>
          <w:tcPr>
            <w:tcW w:w="20" w:type="dxa"/>
            <w:vAlign w:val="bottom"/>
          </w:tcPr>
          <w:p>
            <w:pPr>
              <w:spacing w:after="0"/>
              <w:rPr>
                <w:sz w:val="18"/>
                <w:szCs w:val="18"/>
                <w:color w:val="auto"/>
              </w:rPr>
            </w:pPr>
          </w:p>
        </w:tc>
        <w:tc>
          <w:tcPr>
            <w:tcW w:w="9400" w:type="dxa"/>
            <w:vAlign w:val="bottom"/>
          </w:tcPr>
          <w:p>
            <w:pPr>
              <w:ind w:left="340"/>
              <w:spacing w:after="0"/>
              <w:rPr>
                <w:sz w:val="20"/>
                <w:szCs w:val="20"/>
                <w:color w:val="auto"/>
              </w:rPr>
            </w:pPr>
            <w:r>
              <w:rPr>
                <w:rFonts w:ascii="Arial" w:cs="Arial" w:eastAsia="Arial" w:hAnsi="Arial"/>
                <w:sz w:val="18"/>
                <w:szCs w:val="18"/>
                <w:color w:val="auto"/>
              </w:rPr>
              <w:t>Excess tax benefits from share-based compensation</w:t>
            </w:r>
          </w:p>
        </w:tc>
        <w:tc>
          <w:tcPr>
            <w:tcW w:w="100" w:type="dxa"/>
            <w:vAlign w:val="bottom"/>
          </w:tcPr>
          <w:p>
            <w:pPr>
              <w:spacing w:after="0"/>
              <w:rPr>
                <w:sz w:val="18"/>
                <w:szCs w:val="18"/>
                <w:color w:val="auto"/>
              </w:rPr>
            </w:pPr>
          </w:p>
        </w:tc>
        <w:tc>
          <w:tcPr>
            <w:tcW w:w="1040" w:type="dxa"/>
            <w:vAlign w:val="bottom"/>
            <w:gridSpan w:val="2"/>
          </w:tcPr>
          <w:p>
            <w:pPr>
              <w:jc w:val="right"/>
              <w:ind w:right="260"/>
              <w:spacing w:after="0"/>
              <w:rPr>
                <w:sz w:val="20"/>
                <w:szCs w:val="20"/>
                <w:color w:val="auto"/>
              </w:rPr>
            </w:pPr>
            <w:r>
              <w:rPr>
                <w:rFonts w:ascii="Arial" w:cs="Arial" w:eastAsia="Arial" w:hAnsi="Arial"/>
                <w:sz w:val="18"/>
                <w:szCs w:val="18"/>
                <w:color w:val="auto"/>
              </w:rPr>
              <w:t>(44)</w:t>
            </w:r>
          </w:p>
        </w:tc>
        <w:tc>
          <w:tcPr>
            <w:tcW w:w="100" w:type="dxa"/>
            <w:vAlign w:val="bottom"/>
          </w:tcPr>
          <w:p>
            <w:pPr>
              <w:spacing w:after="0"/>
              <w:rPr>
                <w:sz w:val="18"/>
                <w:szCs w:val="18"/>
                <w:color w:val="auto"/>
              </w:rPr>
            </w:pP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(7)</w:t>
            </w:r>
          </w:p>
        </w:tc>
      </w:tr>
      <w:tr>
        <w:trPr>
          <w:trHeight w:val="216"/>
        </w:trPr>
        <w:tc>
          <w:tcPr>
            <w:tcW w:w="20" w:type="dxa"/>
            <w:vAlign w:val="bottom"/>
          </w:tcPr>
          <w:p>
            <w:pPr>
              <w:spacing w:after="0"/>
              <w:rPr>
                <w:sz w:val="18"/>
                <w:szCs w:val="18"/>
                <w:color w:val="auto"/>
              </w:rPr>
            </w:pPr>
          </w:p>
        </w:tc>
        <w:tc>
          <w:tcPr>
            <w:tcW w:w="94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Changes in assets and liabilities:</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400" w:type="dxa"/>
            <w:vAlign w:val="bottom"/>
          </w:tcPr>
          <w:p>
            <w:pPr>
              <w:ind w:left="700"/>
              <w:spacing w:after="0"/>
              <w:rPr>
                <w:sz w:val="20"/>
                <w:szCs w:val="20"/>
                <w:color w:val="auto"/>
              </w:rPr>
            </w:pPr>
            <w:r>
              <w:rPr>
                <w:rFonts w:ascii="Arial" w:cs="Arial" w:eastAsia="Arial" w:hAnsi="Arial"/>
                <w:sz w:val="18"/>
                <w:szCs w:val="18"/>
                <w:color w:val="auto"/>
              </w:rPr>
              <w:t>Accounts receivable</w:t>
            </w:r>
          </w:p>
        </w:tc>
        <w:tc>
          <w:tcPr>
            <w:tcW w:w="100" w:type="dxa"/>
            <w:vAlign w:val="bottom"/>
          </w:tcPr>
          <w:p>
            <w:pPr>
              <w:spacing w:after="0"/>
              <w:rPr>
                <w:sz w:val="18"/>
                <w:szCs w:val="18"/>
                <w:color w:val="auto"/>
              </w:rPr>
            </w:pPr>
          </w:p>
        </w:tc>
        <w:tc>
          <w:tcPr>
            <w:tcW w:w="1040" w:type="dxa"/>
            <w:vAlign w:val="bottom"/>
            <w:gridSpan w:val="2"/>
          </w:tcPr>
          <w:p>
            <w:pPr>
              <w:jc w:val="right"/>
              <w:ind w:right="260"/>
              <w:spacing w:after="0"/>
              <w:rPr>
                <w:sz w:val="20"/>
                <w:szCs w:val="20"/>
                <w:color w:val="auto"/>
              </w:rPr>
            </w:pPr>
            <w:r>
              <w:rPr>
                <w:rFonts w:ascii="Arial" w:cs="Arial" w:eastAsia="Arial" w:hAnsi="Arial"/>
                <w:sz w:val="18"/>
                <w:szCs w:val="18"/>
                <w:color w:val="auto"/>
              </w:rPr>
              <w:t>(63,578)</w:t>
            </w:r>
          </w:p>
        </w:tc>
        <w:tc>
          <w:tcPr>
            <w:tcW w:w="100" w:type="dxa"/>
            <w:vAlign w:val="bottom"/>
          </w:tcPr>
          <w:p>
            <w:pPr>
              <w:spacing w:after="0"/>
              <w:rPr>
                <w:sz w:val="18"/>
                <w:szCs w:val="18"/>
                <w:color w:val="auto"/>
              </w:rPr>
            </w:pP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(40,112)</w:t>
            </w:r>
          </w:p>
        </w:tc>
      </w:tr>
      <w:tr>
        <w:trPr>
          <w:trHeight w:val="216"/>
        </w:trPr>
        <w:tc>
          <w:tcPr>
            <w:tcW w:w="20" w:type="dxa"/>
            <w:vAlign w:val="bottom"/>
          </w:tcPr>
          <w:p>
            <w:pPr>
              <w:spacing w:after="0"/>
              <w:rPr>
                <w:sz w:val="18"/>
                <w:szCs w:val="18"/>
                <w:color w:val="auto"/>
              </w:rPr>
            </w:pPr>
          </w:p>
        </w:tc>
        <w:tc>
          <w:tcPr>
            <w:tcW w:w="9400" w:type="dxa"/>
            <w:vAlign w:val="bottom"/>
            <w:shd w:val="clear" w:color="auto" w:fill="CCEEFF"/>
          </w:tcPr>
          <w:p>
            <w:pPr>
              <w:ind w:left="700"/>
              <w:spacing w:after="0"/>
              <w:rPr>
                <w:sz w:val="20"/>
                <w:szCs w:val="20"/>
                <w:color w:val="auto"/>
              </w:rPr>
            </w:pPr>
            <w:r>
              <w:rPr>
                <w:rFonts w:ascii="Arial" w:cs="Arial" w:eastAsia="Arial" w:hAnsi="Arial"/>
                <w:sz w:val="18"/>
                <w:szCs w:val="18"/>
                <w:color w:val="auto"/>
              </w:rPr>
              <w:t>Inventories</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(3,105)</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(20,123)</w:t>
            </w:r>
          </w:p>
        </w:tc>
      </w:tr>
      <w:tr>
        <w:trPr>
          <w:trHeight w:val="216"/>
        </w:trPr>
        <w:tc>
          <w:tcPr>
            <w:tcW w:w="20" w:type="dxa"/>
            <w:vAlign w:val="bottom"/>
          </w:tcPr>
          <w:p>
            <w:pPr>
              <w:spacing w:after="0"/>
              <w:rPr>
                <w:sz w:val="18"/>
                <w:szCs w:val="18"/>
                <w:color w:val="auto"/>
              </w:rPr>
            </w:pPr>
          </w:p>
        </w:tc>
        <w:tc>
          <w:tcPr>
            <w:tcW w:w="9400" w:type="dxa"/>
            <w:vAlign w:val="bottom"/>
          </w:tcPr>
          <w:p>
            <w:pPr>
              <w:ind w:left="700"/>
              <w:spacing w:after="0"/>
              <w:rPr>
                <w:sz w:val="20"/>
                <w:szCs w:val="20"/>
                <w:color w:val="auto"/>
              </w:rPr>
            </w:pPr>
            <w:r>
              <w:rPr>
                <w:rFonts w:ascii="Arial" w:cs="Arial" w:eastAsia="Arial" w:hAnsi="Arial"/>
                <w:sz w:val="18"/>
                <w:szCs w:val="18"/>
                <w:color w:val="auto"/>
              </w:rPr>
              <w:t>Prepaid expenses and other assets</w:t>
            </w:r>
          </w:p>
        </w:tc>
        <w:tc>
          <w:tcPr>
            <w:tcW w:w="100" w:type="dxa"/>
            <w:vAlign w:val="bottom"/>
          </w:tcPr>
          <w:p>
            <w:pPr>
              <w:spacing w:after="0"/>
              <w:rPr>
                <w:sz w:val="18"/>
                <w:szCs w:val="18"/>
                <w:color w:val="auto"/>
              </w:rPr>
            </w:pPr>
          </w:p>
        </w:tc>
        <w:tc>
          <w:tcPr>
            <w:tcW w:w="1040" w:type="dxa"/>
            <w:vAlign w:val="bottom"/>
            <w:gridSpan w:val="2"/>
          </w:tcPr>
          <w:p>
            <w:pPr>
              <w:jc w:val="right"/>
              <w:ind w:right="260"/>
              <w:spacing w:after="0"/>
              <w:rPr>
                <w:sz w:val="20"/>
                <w:szCs w:val="20"/>
                <w:color w:val="auto"/>
              </w:rPr>
            </w:pPr>
            <w:r>
              <w:rPr>
                <w:rFonts w:ascii="Arial" w:cs="Arial" w:eastAsia="Arial" w:hAnsi="Arial"/>
                <w:sz w:val="18"/>
                <w:szCs w:val="18"/>
                <w:color w:val="auto"/>
              </w:rPr>
              <w:t>(2,161)</w:t>
            </w:r>
          </w:p>
        </w:tc>
        <w:tc>
          <w:tcPr>
            <w:tcW w:w="100" w:type="dxa"/>
            <w:vAlign w:val="bottom"/>
          </w:tcPr>
          <w:p>
            <w:pPr>
              <w:spacing w:after="0"/>
              <w:rPr>
                <w:sz w:val="18"/>
                <w:szCs w:val="18"/>
                <w:color w:val="auto"/>
              </w:rPr>
            </w:pPr>
          </w:p>
        </w:tc>
        <w:tc>
          <w:tcPr>
            <w:tcW w:w="760" w:type="dxa"/>
            <w:vAlign w:val="bottom"/>
            <w:gridSpan w:val="2"/>
          </w:tcPr>
          <w:p>
            <w:pPr>
              <w:jc w:val="right"/>
              <w:ind w:right="20"/>
              <w:spacing w:after="0"/>
              <w:rPr>
                <w:sz w:val="20"/>
                <w:szCs w:val="20"/>
                <w:color w:val="auto"/>
              </w:rPr>
            </w:pPr>
            <w:r>
              <w:rPr>
                <w:rFonts w:ascii="Arial" w:cs="Arial" w:eastAsia="Arial" w:hAnsi="Arial"/>
                <w:sz w:val="18"/>
                <w:szCs w:val="18"/>
                <w:color w:val="auto"/>
              </w:rPr>
              <w:t>6,802</w:t>
            </w:r>
          </w:p>
        </w:tc>
      </w:tr>
      <w:tr>
        <w:trPr>
          <w:trHeight w:val="216"/>
        </w:trPr>
        <w:tc>
          <w:tcPr>
            <w:tcW w:w="20" w:type="dxa"/>
            <w:vAlign w:val="bottom"/>
          </w:tcPr>
          <w:p>
            <w:pPr>
              <w:spacing w:after="0"/>
              <w:rPr>
                <w:sz w:val="18"/>
                <w:szCs w:val="18"/>
                <w:color w:val="auto"/>
              </w:rPr>
            </w:pPr>
          </w:p>
        </w:tc>
        <w:tc>
          <w:tcPr>
            <w:tcW w:w="9400" w:type="dxa"/>
            <w:vAlign w:val="bottom"/>
            <w:shd w:val="clear" w:color="auto" w:fill="CCEEFF"/>
          </w:tcPr>
          <w:p>
            <w:pPr>
              <w:ind w:left="700"/>
              <w:spacing w:after="0"/>
              <w:rPr>
                <w:sz w:val="20"/>
                <w:szCs w:val="20"/>
                <w:color w:val="auto"/>
              </w:rPr>
            </w:pPr>
            <w:r>
              <w:rPr>
                <w:rFonts w:ascii="Arial" w:cs="Arial" w:eastAsia="Arial" w:hAnsi="Arial"/>
                <w:sz w:val="18"/>
                <w:szCs w:val="18"/>
                <w:color w:val="auto"/>
              </w:rPr>
              <w:t>Accounts payable</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85,128</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28,936</w:t>
            </w:r>
          </w:p>
        </w:tc>
      </w:tr>
      <w:tr>
        <w:trPr>
          <w:trHeight w:val="216"/>
        </w:trPr>
        <w:tc>
          <w:tcPr>
            <w:tcW w:w="20" w:type="dxa"/>
            <w:vAlign w:val="bottom"/>
          </w:tcPr>
          <w:p>
            <w:pPr>
              <w:spacing w:after="0"/>
              <w:rPr>
                <w:sz w:val="18"/>
                <w:szCs w:val="18"/>
                <w:color w:val="auto"/>
              </w:rPr>
            </w:pPr>
          </w:p>
        </w:tc>
        <w:tc>
          <w:tcPr>
            <w:tcW w:w="9400" w:type="dxa"/>
            <w:vAlign w:val="bottom"/>
          </w:tcPr>
          <w:p>
            <w:pPr>
              <w:ind w:left="700"/>
              <w:spacing w:after="0"/>
              <w:rPr>
                <w:sz w:val="20"/>
                <w:szCs w:val="20"/>
                <w:color w:val="auto"/>
              </w:rPr>
            </w:pPr>
            <w:r>
              <w:rPr>
                <w:rFonts w:ascii="Arial" w:cs="Arial" w:eastAsia="Arial" w:hAnsi="Arial"/>
                <w:sz w:val="18"/>
                <w:szCs w:val="18"/>
                <w:color w:val="auto"/>
              </w:rPr>
              <w:t>Accrued liabilities and other non-current liabilities</w:t>
            </w:r>
          </w:p>
        </w:tc>
        <w:tc>
          <w:tcPr>
            <w:tcW w:w="100" w:type="dxa"/>
            <w:vAlign w:val="bottom"/>
          </w:tcPr>
          <w:p>
            <w:pPr>
              <w:spacing w:after="0"/>
              <w:rPr>
                <w:sz w:val="18"/>
                <w:szCs w:val="18"/>
                <w:color w:val="auto"/>
              </w:rPr>
            </w:pPr>
          </w:p>
        </w:tc>
        <w:tc>
          <w:tcPr>
            <w:tcW w:w="1040" w:type="dxa"/>
            <w:vAlign w:val="bottom"/>
            <w:gridSpan w:val="2"/>
          </w:tcPr>
          <w:p>
            <w:pPr>
              <w:jc w:val="right"/>
              <w:ind w:right="260"/>
              <w:spacing w:after="0"/>
              <w:rPr>
                <w:sz w:val="20"/>
                <w:szCs w:val="20"/>
                <w:color w:val="auto"/>
              </w:rPr>
            </w:pPr>
            <w:r>
              <w:rPr>
                <w:rFonts w:ascii="Arial" w:cs="Arial" w:eastAsia="Arial" w:hAnsi="Arial"/>
                <w:sz w:val="18"/>
                <w:szCs w:val="18"/>
                <w:color w:val="auto"/>
              </w:rPr>
              <w:t>(7,134)</w:t>
            </w:r>
          </w:p>
        </w:tc>
        <w:tc>
          <w:tcPr>
            <w:tcW w:w="100" w:type="dxa"/>
            <w:vAlign w:val="bottom"/>
          </w:tcPr>
          <w:p>
            <w:pPr>
              <w:spacing w:after="0"/>
              <w:rPr>
                <w:sz w:val="18"/>
                <w:szCs w:val="18"/>
                <w:color w:val="auto"/>
              </w:rPr>
            </w:pP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(20,081)</w:t>
            </w:r>
          </w:p>
        </w:tc>
      </w:tr>
      <w:tr>
        <w:trPr>
          <w:trHeight w:val="216"/>
        </w:trPr>
        <w:tc>
          <w:tcPr>
            <w:tcW w:w="20" w:type="dxa"/>
            <w:vAlign w:val="bottom"/>
          </w:tcPr>
          <w:p>
            <w:pPr>
              <w:spacing w:after="0"/>
              <w:rPr>
                <w:sz w:val="18"/>
                <w:szCs w:val="18"/>
                <w:color w:val="auto"/>
              </w:rPr>
            </w:pPr>
          </w:p>
        </w:tc>
        <w:tc>
          <w:tcPr>
            <w:tcW w:w="9400" w:type="dxa"/>
            <w:vAlign w:val="bottom"/>
            <w:shd w:val="clear" w:color="auto" w:fill="CCEEFF"/>
          </w:tcPr>
          <w:p>
            <w:pPr>
              <w:ind w:left="700"/>
              <w:spacing w:after="0"/>
              <w:rPr>
                <w:sz w:val="20"/>
                <w:szCs w:val="20"/>
                <w:color w:val="auto"/>
              </w:rPr>
            </w:pPr>
            <w:r>
              <w:rPr>
                <w:rFonts w:ascii="Arial" w:cs="Arial" w:eastAsia="Arial" w:hAnsi="Arial"/>
                <w:sz w:val="18"/>
                <w:szCs w:val="18"/>
                <w:color w:val="auto"/>
              </w:rPr>
              <w:t>Accrued employee compensation</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30,001</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4,423</w:t>
            </w:r>
          </w:p>
        </w:tc>
      </w:tr>
      <w:tr>
        <w:trPr>
          <w:trHeight w:val="223"/>
        </w:trPr>
        <w:tc>
          <w:tcPr>
            <w:tcW w:w="20" w:type="dxa"/>
            <w:vAlign w:val="bottom"/>
          </w:tcPr>
          <w:p>
            <w:pPr>
              <w:spacing w:after="0"/>
              <w:rPr>
                <w:sz w:val="19"/>
                <w:szCs w:val="19"/>
                <w:color w:val="auto"/>
              </w:rPr>
            </w:pPr>
          </w:p>
        </w:tc>
        <w:tc>
          <w:tcPr>
            <w:tcW w:w="9400" w:type="dxa"/>
            <w:vAlign w:val="bottom"/>
          </w:tcPr>
          <w:p>
            <w:pPr>
              <w:ind w:left="700"/>
              <w:spacing w:after="0"/>
              <w:rPr>
                <w:sz w:val="20"/>
                <w:szCs w:val="20"/>
                <w:color w:val="auto"/>
              </w:rPr>
            </w:pPr>
            <w:r>
              <w:rPr>
                <w:rFonts w:ascii="Arial" w:cs="Arial" w:eastAsia="Arial" w:hAnsi="Arial"/>
                <w:sz w:val="18"/>
                <w:szCs w:val="18"/>
                <w:color w:val="auto"/>
              </w:rPr>
              <w:t>Deferred income</w:t>
            </w:r>
          </w:p>
        </w:tc>
        <w:tc>
          <w:tcPr>
            <w:tcW w:w="100" w:type="dxa"/>
            <w:vAlign w:val="bottom"/>
          </w:tcPr>
          <w:p>
            <w:pPr>
              <w:spacing w:after="0"/>
              <w:rPr>
                <w:sz w:val="19"/>
                <w:szCs w:val="19"/>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30,932</w:t>
            </w:r>
          </w:p>
        </w:tc>
        <w:tc>
          <w:tcPr>
            <w:tcW w:w="100" w:type="dxa"/>
            <w:vAlign w:val="bottom"/>
          </w:tcPr>
          <w:p>
            <w:pPr>
              <w:spacing w:after="0"/>
              <w:rPr>
                <w:sz w:val="19"/>
                <w:szCs w:val="19"/>
                <w:color w:val="auto"/>
              </w:rPr>
            </w:pP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(880)</w:t>
            </w:r>
          </w:p>
        </w:tc>
      </w:tr>
      <w:tr>
        <w:trPr>
          <w:trHeight w:val="216"/>
        </w:trPr>
        <w:tc>
          <w:tcPr>
            <w:tcW w:w="20" w:type="dxa"/>
            <w:vAlign w:val="bottom"/>
          </w:tcPr>
          <w:p>
            <w:pPr>
              <w:spacing w:after="0"/>
              <w:rPr>
                <w:sz w:val="18"/>
                <w:szCs w:val="18"/>
                <w:color w:val="auto"/>
              </w:rPr>
            </w:pPr>
          </w:p>
        </w:tc>
        <w:tc>
          <w:tcPr>
            <w:tcW w:w="9400" w:type="dxa"/>
            <w:vAlign w:val="bottom"/>
            <w:shd w:val="clear" w:color="auto" w:fill="CCEEFF"/>
          </w:tcPr>
          <w:p>
            <w:pPr>
              <w:ind w:left="1060"/>
              <w:spacing w:after="0"/>
              <w:rPr>
                <w:sz w:val="20"/>
                <w:szCs w:val="20"/>
                <w:color w:val="auto"/>
              </w:rPr>
            </w:pPr>
            <w:r>
              <w:rPr>
                <w:rFonts w:ascii="Arial" w:cs="Arial" w:eastAsia="Arial" w:hAnsi="Arial"/>
                <w:sz w:val="18"/>
                <w:szCs w:val="18"/>
                <w:color w:val="auto"/>
              </w:rPr>
              <w:t>Net cash provided by operating activities</w:t>
            </w:r>
          </w:p>
        </w:tc>
        <w:tc>
          <w:tcPr>
            <w:tcW w:w="10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235,137</w:t>
            </w:r>
          </w:p>
        </w:tc>
        <w:tc>
          <w:tcPr>
            <w:tcW w:w="32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83,855</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rPr>
              <w:t>Cash flows from investing activities:</w:t>
            </w: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4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Purchases of available-for-sale securities</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8"/>
              </w:rPr>
              <w:t>(181,889)</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0"/>
              </w:rPr>
              <w:t>(306,838)</w:t>
            </w:r>
          </w:p>
        </w:tc>
      </w:tr>
      <w:tr>
        <w:trPr>
          <w:trHeight w:val="216"/>
        </w:trPr>
        <w:tc>
          <w:tcPr>
            <w:tcW w:w="20" w:type="dxa"/>
            <w:vAlign w:val="bottom"/>
          </w:tcPr>
          <w:p>
            <w:pPr>
              <w:spacing w:after="0"/>
              <w:rPr>
                <w:sz w:val="18"/>
                <w:szCs w:val="18"/>
                <w:color w:val="auto"/>
              </w:rPr>
            </w:pPr>
          </w:p>
        </w:tc>
        <w:tc>
          <w:tcPr>
            <w:tcW w:w="9400" w:type="dxa"/>
            <w:vAlign w:val="bottom"/>
          </w:tcPr>
          <w:p>
            <w:pPr>
              <w:ind w:left="340"/>
              <w:spacing w:after="0"/>
              <w:rPr>
                <w:sz w:val="20"/>
                <w:szCs w:val="20"/>
                <w:color w:val="auto"/>
              </w:rPr>
            </w:pPr>
            <w:r>
              <w:rPr>
                <w:rFonts w:ascii="Arial" w:cs="Arial" w:eastAsia="Arial" w:hAnsi="Arial"/>
                <w:sz w:val="18"/>
                <w:szCs w:val="18"/>
                <w:color w:val="auto"/>
              </w:rPr>
              <w:t>Sales and maturities of available-for-sale securities</w:t>
            </w:r>
          </w:p>
        </w:tc>
        <w:tc>
          <w:tcPr>
            <w:tcW w:w="10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182,311</w:t>
            </w:r>
          </w:p>
        </w:tc>
        <w:tc>
          <w:tcPr>
            <w:tcW w:w="100" w:type="dxa"/>
            <w:vAlign w:val="bottom"/>
          </w:tcPr>
          <w:p>
            <w:pPr>
              <w:spacing w:after="0"/>
              <w:rPr>
                <w:sz w:val="18"/>
                <w:szCs w:val="18"/>
                <w:color w:val="auto"/>
              </w:rPr>
            </w:pPr>
          </w:p>
        </w:tc>
        <w:tc>
          <w:tcPr>
            <w:tcW w:w="760" w:type="dxa"/>
            <w:vAlign w:val="bottom"/>
            <w:gridSpan w:val="2"/>
          </w:tcPr>
          <w:p>
            <w:pPr>
              <w:jc w:val="right"/>
              <w:ind w:right="20"/>
              <w:spacing w:after="0"/>
              <w:rPr>
                <w:sz w:val="20"/>
                <w:szCs w:val="20"/>
                <w:color w:val="auto"/>
              </w:rPr>
            </w:pPr>
            <w:r>
              <w:rPr>
                <w:rFonts w:ascii="Arial" w:cs="Arial" w:eastAsia="Arial" w:hAnsi="Arial"/>
                <w:sz w:val="18"/>
                <w:szCs w:val="18"/>
                <w:color w:val="auto"/>
                <w:w w:val="98"/>
              </w:rPr>
              <w:t>335,771</w:t>
            </w:r>
          </w:p>
        </w:tc>
      </w:tr>
      <w:tr>
        <w:trPr>
          <w:trHeight w:val="216"/>
        </w:trPr>
        <w:tc>
          <w:tcPr>
            <w:tcW w:w="20" w:type="dxa"/>
            <w:vAlign w:val="bottom"/>
          </w:tcPr>
          <w:p>
            <w:pPr>
              <w:spacing w:after="0"/>
              <w:rPr>
                <w:sz w:val="18"/>
                <w:szCs w:val="18"/>
                <w:color w:val="auto"/>
              </w:rPr>
            </w:pPr>
          </w:p>
        </w:tc>
        <w:tc>
          <w:tcPr>
            <w:tcW w:w="94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Investments in privately-held companies</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(441)</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r>
      <w:tr>
        <w:trPr>
          <w:trHeight w:val="216"/>
        </w:trPr>
        <w:tc>
          <w:tcPr>
            <w:tcW w:w="20" w:type="dxa"/>
            <w:vAlign w:val="bottom"/>
          </w:tcPr>
          <w:p>
            <w:pPr>
              <w:spacing w:after="0"/>
              <w:rPr>
                <w:sz w:val="18"/>
                <w:szCs w:val="18"/>
                <w:color w:val="auto"/>
              </w:rPr>
            </w:pPr>
          </w:p>
        </w:tc>
        <w:tc>
          <w:tcPr>
            <w:tcW w:w="9400" w:type="dxa"/>
            <w:vAlign w:val="bottom"/>
          </w:tcPr>
          <w:p>
            <w:pPr>
              <w:ind w:left="340"/>
              <w:spacing w:after="0"/>
              <w:rPr>
                <w:sz w:val="20"/>
                <w:szCs w:val="20"/>
                <w:color w:val="auto"/>
              </w:rPr>
            </w:pPr>
            <w:r>
              <w:rPr>
                <w:rFonts w:ascii="Arial" w:cs="Arial" w:eastAsia="Arial" w:hAnsi="Arial"/>
                <w:sz w:val="18"/>
                <w:szCs w:val="18"/>
                <w:color w:val="auto"/>
              </w:rPr>
              <w:t>Cash paid for acquisitions, net</w:t>
            </w:r>
          </w:p>
        </w:tc>
        <w:tc>
          <w:tcPr>
            <w:tcW w:w="100" w:type="dxa"/>
            <w:vAlign w:val="bottom"/>
          </w:tcPr>
          <w:p>
            <w:pPr>
              <w:spacing w:after="0"/>
              <w:rPr>
                <w:sz w:val="18"/>
                <w:szCs w:val="18"/>
                <w:color w:val="auto"/>
              </w:rPr>
            </w:pP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(2,551)</w:t>
            </w:r>
          </w:p>
        </w:tc>
      </w:tr>
      <w:tr>
        <w:trPr>
          <w:trHeight w:val="216"/>
        </w:trPr>
        <w:tc>
          <w:tcPr>
            <w:tcW w:w="20" w:type="dxa"/>
            <w:vAlign w:val="bottom"/>
          </w:tcPr>
          <w:p>
            <w:pPr>
              <w:spacing w:after="0"/>
              <w:rPr>
                <w:sz w:val="18"/>
                <w:szCs w:val="18"/>
                <w:color w:val="auto"/>
              </w:rPr>
            </w:pPr>
          </w:p>
        </w:tc>
        <w:tc>
          <w:tcPr>
            <w:tcW w:w="94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Purchases of technology licenses</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(8,111)</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(5,860)</w:t>
            </w:r>
          </w:p>
        </w:tc>
      </w:tr>
      <w:tr>
        <w:trPr>
          <w:trHeight w:val="216"/>
        </w:trPr>
        <w:tc>
          <w:tcPr>
            <w:tcW w:w="20" w:type="dxa"/>
            <w:vAlign w:val="bottom"/>
          </w:tcPr>
          <w:p>
            <w:pPr>
              <w:spacing w:after="0"/>
              <w:rPr>
                <w:sz w:val="18"/>
                <w:szCs w:val="18"/>
                <w:color w:val="auto"/>
              </w:rPr>
            </w:pPr>
          </w:p>
        </w:tc>
        <w:tc>
          <w:tcPr>
            <w:tcW w:w="9400" w:type="dxa"/>
            <w:vAlign w:val="bottom"/>
          </w:tcPr>
          <w:p>
            <w:pPr>
              <w:ind w:left="340"/>
              <w:spacing w:after="0"/>
              <w:rPr>
                <w:sz w:val="20"/>
                <w:szCs w:val="20"/>
                <w:color w:val="auto"/>
              </w:rPr>
            </w:pPr>
            <w:r>
              <w:rPr>
                <w:rFonts w:ascii="Arial" w:cs="Arial" w:eastAsia="Arial" w:hAnsi="Arial"/>
                <w:sz w:val="18"/>
                <w:szCs w:val="18"/>
                <w:color w:val="auto"/>
              </w:rPr>
              <w:t>Purchases of property and equipment</w:t>
            </w:r>
          </w:p>
        </w:tc>
        <w:tc>
          <w:tcPr>
            <w:tcW w:w="100" w:type="dxa"/>
            <w:vAlign w:val="bottom"/>
          </w:tcPr>
          <w:p>
            <w:pPr>
              <w:spacing w:after="0"/>
              <w:rPr>
                <w:sz w:val="18"/>
                <w:szCs w:val="18"/>
                <w:color w:val="auto"/>
              </w:rPr>
            </w:pPr>
          </w:p>
        </w:tc>
        <w:tc>
          <w:tcPr>
            <w:tcW w:w="1040" w:type="dxa"/>
            <w:vAlign w:val="bottom"/>
            <w:gridSpan w:val="2"/>
          </w:tcPr>
          <w:p>
            <w:pPr>
              <w:jc w:val="right"/>
              <w:ind w:right="260"/>
              <w:spacing w:after="0"/>
              <w:rPr>
                <w:sz w:val="20"/>
                <w:szCs w:val="20"/>
                <w:color w:val="auto"/>
              </w:rPr>
            </w:pPr>
            <w:r>
              <w:rPr>
                <w:rFonts w:ascii="Arial" w:cs="Arial" w:eastAsia="Arial" w:hAnsi="Arial"/>
                <w:sz w:val="18"/>
                <w:szCs w:val="18"/>
                <w:color w:val="auto"/>
              </w:rPr>
              <w:t>(16,131)</w:t>
            </w:r>
          </w:p>
        </w:tc>
        <w:tc>
          <w:tcPr>
            <w:tcW w:w="100" w:type="dxa"/>
            <w:vAlign w:val="bottom"/>
          </w:tcPr>
          <w:p>
            <w:pPr>
              <w:spacing w:after="0"/>
              <w:rPr>
                <w:sz w:val="18"/>
                <w:szCs w:val="18"/>
                <w:color w:val="auto"/>
              </w:rPr>
            </w:pP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(20,080)</w:t>
            </w:r>
          </w:p>
        </w:tc>
      </w:tr>
      <w:tr>
        <w:trPr>
          <w:trHeight w:val="27"/>
        </w:trPr>
        <w:tc>
          <w:tcPr>
            <w:tcW w:w="20" w:type="dxa"/>
            <w:vAlign w:val="bottom"/>
          </w:tcPr>
          <w:p>
            <w:pPr>
              <w:spacing w:after="0"/>
              <w:rPr>
                <w:sz w:val="2"/>
                <w:szCs w:val="2"/>
                <w:color w:val="auto"/>
              </w:rPr>
            </w:pPr>
          </w:p>
        </w:tc>
        <w:tc>
          <w:tcPr>
            <w:tcW w:w="9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20" w:type="dxa"/>
            <w:vAlign w:val="bottom"/>
          </w:tcPr>
          <w:p>
            <w:pPr>
              <w:spacing w:after="0"/>
              <w:rPr>
                <w:sz w:val="18"/>
                <w:szCs w:val="18"/>
                <w:color w:val="auto"/>
              </w:rPr>
            </w:pPr>
          </w:p>
        </w:tc>
        <w:tc>
          <w:tcPr>
            <w:tcW w:w="9400" w:type="dxa"/>
            <w:vAlign w:val="bottom"/>
            <w:shd w:val="clear" w:color="auto" w:fill="CCEEFF"/>
          </w:tcPr>
          <w:p>
            <w:pPr>
              <w:ind w:left="1060"/>
              <w:spacing w:after="0"/>
              <w:rPr>
                <w:sz w:val="20"/>
                <w:szCs w:val="20"/>
                <w:color w:val="auto"/>
              </w:rPr>
            </w:pPr>
            <w:r>
              <w:rPr>
                <w:rFonts w:ascii="Arial" w:cs="Arial" w:eastAsia="Arial" w:hAnsi="Arial"/>
                <w:sz w:val="18"/>
                <w:szCs w:val="18"/>
                <w:color w:val="auto"/>
              </w:rPr>
              <w:t>Net cash (used in) provided by investing activities</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(24,261)</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442</w:t>
            </w:r>
          </w:p>
        </w:tc>
      </w:tr>
      <w:tr>
        <w:trPr>
          <w:trHeight w:val="216"/>
        </w:trPr>
        <w:tc>
          <w:tcPr>
            <w:tcW w:w="20" w:type="dxa"/>
            <w:vAlign w:val="bottom"/>
          </w:tcPr>
          <w:p>
            <w:pPr>
              <w:spacing w:after="0"/>
              <w:rPr>
                <w:sz w:val="18"/>
                <w:szCs w:val="18"/>
                <w:color w:val="auto"/>
              </w:rPr>
            </w:pPr>
          </w:p>
        </w:tc>
        <w:tc>
          <w:tcPr>
            <w:tcW w:w="9400" w:type="dxa"/>
            <w:vAlign w:val="bottom"/>
          </w:tcPr>
          <w:p>
            <w:pPr>
              <w:spacing w:after="0"/>
              <w:rPr>
                <w:sz w:val="20"/>
                <w:szCs w:val="20"/>
                <w:color w:val="auto"/>
              </w:rPr>
            </w:pPr>
            <w:r>
              <w:rPr>
                <w:rFonts w:ascii="Arial" w:cs="Arial" w:eastAsia="Arial" w:hAnsi="Arial"/>
                <w:sz w:val="18"/>
                <w:szCs w:val="18"/>
                <w:color w:val="auto"/>
              </w:rPr>
              <w:t>Cash flows from financing activities:</w:t>
            </w: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4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Repurchase of common stock </w:t>
            </w:r>
            <w:r>
              <w:rPr>
                <w:rFonts w:ascii="Arial" w:cs="Arial" w:eastAsia="Arial" w:hAnsi="Arial"/>
                <w:sz w:val="18"/>
                <w:szCs w:val="18"/>
                <w:i w:val="1"/>
                <w:iCs w:val="1"/>
                <w:color w:val="auto"/>
              </w:rPr>
              <w:t>(a)</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0"/>
              </w:rPr>
              <w:t>(216,694)</w:t>
            </w:r>
          </w:p>
        </w:tc>
      </w:tr>
      <w:tr>
        <w:trPr>
          <w:trHeight w:val="216"/>
        </w:trPr>
        <w:tc>
          <w:tcPr>
            <w:tcW w:w="20" w:type="dxa"/>
            <w:vAlign w:val="bottom"/>
          </w:tcPr>
          <w:p>
            <w:pPr>
              <w:spacing w:after="0"/>
              <w:rPr>
                <w:sz w:val="18"/>
                <w:szCs w:val="18"/>
                <w:color w:val="auto"/>
              </w:rPr>
            </w:pPr>
          </w:p>
        </w:tc>
        <w:tc>
          <w:tcPr>
            <w:tcW w:w="9400" w:type="dxa"/>
            <w:vAlign w:val="bottom"/>
          </w:tcPr>
          <w:p>
            <w:pPr>
              <w:ind w:left="340"/>
              <w:spacing w:after="0"/>
              <w:rPr>
                <w:sz w:val="20"/>
                <w:szCs w:val="20"/>
                <w:color w:val="auto"/>
              </w:rPr>
            </w:pPr>
            <w:r>
              <w:rPr>
                <w:rFonts w:ascii="Arial" w:cs="Arial" w:eastAsia="Arial" w:hAnsi="Arial"/>
                <w:sz w:val="18"/>
                <w:szCs w:val="18"/>
                <w:color w:val="auto"/>
              </w:rPr>
              <w:t>Proceeds from employee stock plans</w:t>
            </w:r>
          </w:p>
        </w:tc>
        <w:tc>
          <w:tcPr>
            <w:tcW w:w="10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19,092</w:t>
            </w:r>
          </w:p>
        </w:tc>
        <w:tc>
          <w:tcPr>
            <w:tcW w:w="100" w:type="dxa"/>
            <w:vAlign w:val="bottom"/>
          </w:tcPr>
          <w:p>
            <w:pPr>
              <w:spacing w:after="0"/>
              <w:rPr>
                <w:sz w:val="18"/>
                <w:szCs w:val="18"/>
                <w:color w:val="auto"/>
              </w:rPr>
            </w:pPr>
          </w:p>
        </w:tc>
        <w:tc>
          <w:tcPr>
            <w:tcW w:w="760" w:type="dxa"/>
            <w:vAlign w:val="bottom"/>
            <w:gridSpan w:val="2"/>
          </w:tcPr>
          <w:p>
            <w:pPr>
              <w:jc w:val="right"/>
              <w:ind w:right="20"/>
              <w:spacing w:after="0"/>
              <w:rPr>
                <w:sz w:val="20"/>
                <w:szCs w:val="20"/>
                <w:color w:val="auto"/>
              </w:rPr>
            </w:pPr>
            <w:r>
              <w:rPr>
                <w:rFonts w:ascii="Arial" w:cs="Arial" w:eastAsia="Arial" w:hAnsi="Arial"/>
                <w:sz w:val="18"/>
                <w:szCs w:val="18"/>
                <w:color w:val="auto"/>
              </w:rPr>
              <w:t>19,805</w:t>
            </w:r>
          </w:p>
        </w:tc>
      </w:tr>
      <w:tr>
        <w:trPr>
          <w:trHeight w:val="216"/>
        </w:trPr>
        <w:tc>
          <w:tcPr>
            <w:tcW w:w="20" w:type="dxa"/>
            <w:vAlign w:val="bottom"/>
          </w:tcPr>
          <w:p>
            <w:pPr>
              <w:spacing w:after="0"/>
              <w:rPr>
                <w:sz w:val="18"/>
                <w:szCs w:val="18"/>
                <w:color w:val="auto"/>
              </w:rPr>
            </w:pPr>
          </w:p>
        </w:tc>
        <w:tc>
          <w:tcPr>
            <w:tcW w:w="94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Minimum tax withholding paid on behalf of employees for net share settlement</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(24,286)</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(9,378)</w:t>
            </w:r>
          </w:p>
        </w:tc>
      </w:tr>
      <w:tr>
        <w:trPr>
          <w:trHeight w:val="216"/>
        </w:trPr>
        <w:tc>
          <w:tcPr>
            <w:tcW w:w="20" w:type="dxa"/>
            <w:vAlign w:val="bottom"/>
          </w:tcPr>
          <w:p>
            <w:pPr>
              <w:spacing w:after="0"/>
              <w:rPr>
                <w:sz w:val="18"/>
                <w:szCs w:val="18"/>
                <w:color w:val="auto"/>
              </w:rPr>
            </w:pPr>
          </w:p>
        </w:tc>
        <w:tc>
          <w:tcPr>
            <w:tcW w:w="9400" w:type="dxa"/>
            <w:vAlign w:val="bottom"/>
          </w:tcPr>
          <w:p>
            <w:pPr>
              <w:ind w:left="340"/>
              <w:spacing w:after="0"/>
              <w:rPr>
                <w:sz w:val="20"/>
                <w:szCs w:val="20"/>
                <w:color w:val="auto"/>
              </w:rPr>
            </w:pPr>
            <w:r>
              <w:rPr>
                <w:rFonts w:ascii="Arial" w:cs="Arial" w:eastAsia="Arial" w:hAnsi="Arial"/>
                <w:sz w:val="18"/>
                <w:szCs w:val="18"/>
                <w:color w:val="auto"/>
              </w:rPr>
              <w:t>Dividend payments to shareholders</w:t>
            </w:r>
          </w:p>
        </w:tc>
        <w:tc>
          <w:tcPr>
            <w:tcW w:w="100" w:type="dxa"/>
            <w:vAlign w:val="bottom"/>
          </w:tcPr>
          <w:p>
            <w:pPr>
              <w:spacing w:after="0"/>
              <w:rPr>
                <w:sz w:val="18"/>
                <w:szCs w:val="18"/>
                <w:color w:val="auto"/>
              </w:rPr>
            </w:pPr>
          </w:p>
        </w:tc>
        <w:tc>
          <w:tcPr>
            <w:tcW w:w="1040" w:type="dxa"/>
            <w:vAlign w:val="bottom"/>
            <w:gridSpan w:val="2"/>
          </w:tcPr>
          <w:p>
            <w:pPr>
              <w:jc w:val="right"/>
              <w:ind w:right="260"/>
              <w:spacing w:after="0"/>
              <w:rPr>
                <w:sz w:val="20"/>
                <w:szCs w:val="20"/>
                <w:color w:val="auto"/>
              </w:rPr>
            </w:pPr>
            <w:r>
              <w:rPr>
                <w:rFonts w:ascii="Arial" w:cs="Arial" w:eastAsia="Arial" w:hAnsi="Arial"/>
                <w:sz w:val="18"/>
                <w:szCs w:val="18"/>
                <w:color w:val="auto"/>
              </w:rPr>
              <w:t>(30,172)</w:t>
            </w:r>
          </w:p>
        </w:tc>
        <w:tc>
          <w:tcPr>
            <w:tcW w:w="100" w:type="dxa"/>
            <w:vAlign w:val="bottom"/>
          </w:tcPr>
          <w:p>
            <w:pPr>
              <w:spacing w:after="0"/>
              <w:rPr>
                <w:sz w:val="18"/>
                <w:szCs w:val="18"/>
                <w:color w:val="auto"/>
              </w:rPr>
            </w:pP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(30,253)</w:t>
            </w:r>
          </w:p>
        </w:tc>
      </w:tr>
      <w:tr>
        <w:trPr>
          <w:trHeight w:val="216"/>
        </w:trPr>
        <w:tc>
          <w:tcPr>
            <w:tcW w:w="20" w:type="dxa"/>
            <w:vAlign w:val="bottom"/>
          </w:tcPr>
          <w:p>
            <w:pPr>
              <w:spacing w:after="0"/>
              <w:rPr>
                <w:sz w:val="18"/>
                <w:szCs w:val="18"/>
                <w:color w:val="auto"/>
              </w:rPr>
            </w:pPr>
          </w:p>
        </w:tc>
        <w:tc>
          <w:tcPr>
            <w:tcW w:w="94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Payments on technology license obligations</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(5,317)</w:t>
            </w:r>
          </w:p>
        </w:tc>
      </w:tr>
      <w:tr>
        <w:trPr>
          <w:trHeight w:val="223"/>
        </w:trPr>
        <w:tc>
          <w:tcPr>
            <w:tcW w:w="20" w:type="dxa"/>
            <w:vAlign w:val="bottom"/>
          </w:tcPr>
          <w:p>
            <w:pPr>
              <w:spacing w:after="0"/>
              <w:rPr>
                <w:sz w:val="19"/>
                <w:szCs w:val="19"/>
                <w:color w:val="auto"/>
              </w:rPr>
            </w:pPr>
          </w:p>
        </w:tc>
        <w:tc>
          <w:tcPr>
            <w:tcW w:w="9400" w:type="dxa"/>
            <w:vAlign w:val="bottom"/>
          </w:tcPr>
          <w:p>
            <w:pPr>
              <w:ind w:left="340"/>
              <w:spacing w:after="0"/>
              <w:rPr>
                <w:sz w:val="20"/>
                <w:szCs w:val="20"/>
                <w:color w:val="auto"/>
              </w:rPr>
            </w:pPr>
            <w:r>
              <w:rPr>
                <w:rFonts w:ascii="Arial" w:cs="Arial" w:eastAsia="Arial" w:hAnsi="Arial"/>
                <w:sz w:val="18"/>
                <w:szCs w:val="18"/>
                <w:color w:val="auto"/>
              </w:rPr>
              <w:t>Excess tax benefits from share-based compensation</w:t>
            </w: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44</w:t>
            </w:r>
          </w:p>
        </w:tc>
        <w:tc>
          <w:tcPr>
            <w:tcW w:w="3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9400" w:type="dxa"/>
            <w:vAlign w:val="bottom"/>
            <w:shd w:val="clear" w:color="auto" w:fill="CCEEFF"/>
          </w:tcPr>
          <w:p>
            <w:pPr>
              <w:ind w:left="1060"/>
              <w:spacing w:after="0"/>
              <w:rPr>
                <w:sz w:val="20"/>
                <w:szCs w:val="20"/>
                <w:color w:val="auto"/>
              </w:rPr>
            </w:pPr>
            <w:r>
              <w:rPr>
                <w:rFonts w:ascii="Arial" w:cs="Arial" w:eastAsia="Arial" w:hAnsi="Arial"/>
                <w:sz w:val="18"/>
                <w:szCs w:val="18"/>
                <w:color w:val="auto"/>
              </w:rPr>
              <w:t>Net cash used in financing activities</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(35,322)</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0"/>
              </w:rPr>
              <w:t>(241,830)</w:t>
            </w:r>
          </w:p>
        </w:tc>
      </w:tr>
      <w:tr>
        <w:trPr>
          <w:trHeight w:val="230"/>
        </w:trPr>
        <w:tc>
          <w:tcPr>
            <w:tcW w:w="9420" w:type="dxa"/>
            <w:vAlign w:val="bottom"/>
            <w:gridSpan w:val="2"/>
          </w:tcPr>
          <w:p>
            <w:pPr>
              <w:spacing w:after="0"/>
              <w:rPr>
                <w:sz w:val="20"/>
                <w:szCs w:val="20"/>
                <w:color w:val="auto"/>
              </w:rPr>
            </w:pPr>
            <w:r>
              <w:rPr>
                <w:rFonts w:ascii="Arial" w:cs="Arial" w:eastAsia="Arial" w:hAnsi="Arial"/>
                <w:sz w:val="18"/>
                <w:szCs w:val="18"/>
                <w:color w:val="auto"/>
              </w:rPr>
              <w:t>Net increase (decrease) in cash and cash equivalents</w:t>
            </w:r>
          </w:p>
        </w:tc>
        <w:tc>
          <w:tcPr>
            <w:tcW w:w="10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175,554</w:t>
            </w:r>
          </w:p>
        </w:tc>
        <w:tc>
          <w:tcPr>
            <w:tcW w:w="32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0"/>
              </w:rPr>
              <w:t>(157,533</w:t>
            </w:r>
          </w:p>
        </w:tc>
        <w:tc>
          <w:tcPr>
            <w:tcW w:w="100" w:type="dxa"/>
            <w:vAlign w:val="bottom"/>
          </w:tcPr>
          <w:p>
            <w:pPr>
              <w:jc w:val="right"/>
              <w:spacing w:after="0"/>
              <w:rPr>
                <w:sz w:val="20"/>
                <w:szCs w:val="20"/>
                <w:color w:val="auto"/>
              </w:rPr>
            </w:pPr>
            <w:r>
              <w:rPr>
                <w:rFonts w:ascii="Arial" w:cs="Arial" w:eastAsia="Arial" w:hAnsi="Arial"/>
                <w:sz w:val="16"/>
                <w:szCs w:val="16"/>
                <w:color w:val="auto"/>
                <w:w w:val="74"/>
              </w:rPr>
              <w:t>)</w:t>
            </w:r>
          </w:p>
        </w:tc>
      </w:tr>
      <w:tr>
        <w:trPr>
          <w:trHeight w:val="216"/>
        </w:trPr>
        <w:tc>
          <w:tcPr>
            <w:tcW w:w="20" w:type="dxa"/>
            <w:vAlign w:val="bottom"/>
          </w:tcPr>
          <w:p>
            <w:pPr>
              <w:spacing w:after="0"/>
              <w:rPr>
                <w:sz w:val="18"/>
                <w:szCs w:val="18"/>
                <w:color w:val="auto"/>
              </w:rPr>
            </w:pPr>
          </w:p>
        </w:tc>
        <w:tc>
          <w:tcPr>
            <w:tcW w:w="940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965,750</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8"/>
              </w:rPr>
              <w:t>751,953</w:t>
            </w:r>
          </w:p>
        </w:tc>
      </w:tr>
      <w:tr>
        <w:trPr>
          <w:trHeight w:val="223"/>
        </w:trPr>
        <w:tc>
          <w:tcPr>
            <w:tcW w:w="9420" w:type="dxa"/>
            <w:vAlign w:val="bottom"/>
            <w:gridSpan w:val="2"/>
          </w:tcPr>
          <w:p>
            <w:pPr>
              <w:spacing w:after="0"/>
              <w:rPr>
                <w:sz w:val="20"/>
                <w:szCs w:val="20"/>
                <w:color w:val="auto"/>
              </w:rPr>
            </w:pPr>
            <w:r>
              <w:rPr>
                <w:rFonts w:ascii="Arial" w:cs="Arial" w:eastAsia="Arial" w:hAnsi="Arial"/>
                <w:sz w:val="18"/>
                <w:szCs w:val="18"/>
                <w:color w:val="auto"/>
              </w:rPr>
              <w:t>Cash and cash equivalents at end of period</w:t>
            </w: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1,141,304</w:t>
            </w:r>
          </w:p>
        </w:tc>
        <w:tc>
          <w:tcPr>
            <w:tcW w:w="3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8"/>
              </w:rPr>
              <w:t>594,420</w:t>
            </w:r>
          </w:p>
        </w:tc>
        <w:tc>
          <w:tcPr>
            <w:tcW w:w="100" w:type="dxa"/>
            <w:vAlign w:val="bottom"/>
          </w:tcPr>
          <w:p>
            <w:pPr>
              <w:spacing w:after="0"/>
              <w:rPr>
                <w:sz w:val="19"/>
                <w:szCs w:val="19"/>
                <w:color w:val="auto"/>
              </w:rPr>
            </w:pPr>
          </w:p>
        </w:tc>
      </w:tr>
      <w:tr>
        <w:trPr>
          <w:trHeight w:val="20"/>
        </w:trPr>
        <w:tc>
          <w:tcPr>
            <w:tcW w:w="20" w:type="dxa"/>
            <w:vAlign w:val="bottom"/>
          </w:tcPr>
          <w:p>
            <w:pPr>
              <w:spacing w:after="0" w:line="20" w:lineRule="exact"/>
              <w:rPr>
                <w:sz w:val="1"/>
                <w:szCs w:val="1"/>
                <w:color w:val="auto"/>
              </w:rPr>
            </w:pPr>
          </w:p>
        </w:tc>
        <w:tc>
          <w:tcPr>
            <w:tcW w:w="94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2" w:lineRule="exact"/>
        <w:rPr>
          <w:sz w:val="20"/>
          <w:szCs w:val="20"/>
          <w:color w:val="auto"/>
        </w:rPr>
      </w:pPr>
    </w:p>
    <w:p>
      <w:pPr>
        <w:ind w:left="900" w:right="340" w:hanging="446"/>
        <w:spacing w:after="0" w:line="277" w:lineRule="auto"/>
        <w:tabs>
          <w:tab w:leader="none" w:pos="900" w:val="left"/>
        </w:tabs>
        <w:numPr>
          <w:ilvl w:val="0"/>
          <w:numId w:val="9"/>
        </w:numPr>
        <w:rPr>
          <w:rFonts w:ascii="Arial" w:cs="Arial" w:eastAsia="Arial" w:hAnsi="Arial"/>
          <w:sz w:val="18"/>
          <w:szCs w:val="18"/>
          <w:i w:val="1"/>
          <w:iCs w:val="1"/>
          <w:color w:val="auto"/>
        </w:rPr>
      </w:pPr>
      <w:r>
        <w:rPr>
          <w:rFonts w:ascii="Arial" w:cs="Arial" w:eastAsia="Arial" w:hAnsi="Arial"/>
          <w:sz w:val="18"/>
          <w:szCs w:val="18"/>
          <w:color w:val="auto"/>
        </w:rPr>
        <w:t>Marvell records all repurchases as well as investment purchases and sales, based on trade date in accordance with U.S. GAAP. There were no repurchases of common stock in the three months ended May 3, 2014.</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420"/>
          </w:cols>
          <w:pgMar w:left="240" w:top="270" w:right="239" w:bottom="1440" w:gutter="0" w:footer="0" w:header="0"/>
        </w:sectPr>
      </w:pPr>
    </w:p>
    <w:bookmarkStart w:id="14" w:name="page15"/>
    <w:bookmarkEnd w:id="14"/>
    <w:p>
      <w:pPr>
        <w:ind w:left="448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117" w:lineRule="exact"/>
        <w:rPr>
          <w:sz w:val="20"/>
          <w:szCs w:val="20"/>
          <w:color w:val="auto"/>
        </w:rPr>
      </w:pPr>
    </w:p>
    <w:p>
      <w:pPr>
        <w:ind w:left="4080"/>
        <w:spacing w:after="0"/>
        <w:rPr>
          <w:sz w:val="20"/>
          <w:szCs w:val="20"/>
          <w:color w:val="auto"/>
        </w:rPr>
      </w:pPr>
      <w:r>
        <w:rPr>
          <w:rFonts w:ascii="Arial" w:cs="Arial" w:eastAsia="Arial" w:hAnsi="Arial"/>
          <w:sz w:val="18"/>
          <w:szCs w:val="18"/>
          <w:b w:val="1"/>
          <w:bCs w:val="1"/>
          <w:color w:val="auto"/>
        </w:rPr>
        <w:t>Reconciliations from GAAP to Non-GAAP</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80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460" w:type="dxa"/>
            <w:vAlign w:val="bottom"/>
            <w:tcBorders>
              <w:bottom w:val="single" w:sz="8" w:color="auto"/>
            </w:tcBorders>
            <w:gridSpan w:val="4"/>
          </w:tcPr>
          <w:p>
            <w:pPr>
              <w:jc w:val="right"/>
              <w:ind w:right="120"/>
              <w:spacing w:after="0"/>
              <w:rPr>
                <w:sz w:val="20"/>
                <w:szCs w:val="20"/>
                <w:color w:val="auto"/>
              </w:rPr>
            </w:pPr>
            <w:r>
              <w:rPr>
                <w:rFonts w:ascii="Arial" w:cs="Arial" w:eastAsia="Arial" w:hAnsi="Arial"/>
                <w:sz w:val="14"/>
                <w:szCs w:val="14"/>
                <w:b w:val="1"/>
                <w:bCs w:val="1"/>
                <w:color w:val="auto"/>
                <w:w w:val="95"/>
              </w:rPr>
              <w:t>Three Months Ended</w:t>
            </w:r>
          </w:p>
        </w:tc>
        <w:tc>
          <w:tcPr>
            <w:tcW w:w="1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806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80" w:type="dxa"/>
            <w:vAlign w:val="bottom"/>
            <w:gridSpan w:val="2"/>
          </w:tcPr>
          <w:p>
            <w:pPr>
              <w:jc w:val="right"/>
              <w:ind w:right="320"/>
              <w:spacing w:after="0" w:line="119" w:lineRule="exact"/>
              <w:rPr>
                <w:sz w:val="20"/>
                <w:szCs w:val="20"/>
                <w:color w:val="auto"/>
              </w:rPr>
            </w:pPr>
            <w:r>
              <w:rPr>
                <w:rFonts w:ascii="Arial" w:cs="Arial" w:eastAsia="Arial" w:hAnsi="Arial"/>
                <w:sz w:val="13"/>
                <w:szCs w:val="13"/>
                <w:b w:val="1"/>
                <w:bCs w:val="1"/>
                <w:color w:val="auto"/>
              </w:rPr>
              <w:t>May 3,</w:t>
            </w:r>
          </w:p>
        </w:tc>
        <w:tc>
          <w:tcPr>
            <w:tcW w:w="320" w:type="dxa"/>
            <w:vAlign w:val="bottom"/>
          </w:tcPr>
          <w:p>
            <w:pPr>
              <w:spacing w:after="0"/>
              <w:rPr>
                <w:sz w:val="10"/>
                <w:szCs w:val="10"/>
                <w:color w:val="auto"/>
              </w:rPr>
            </w:pPr>
          </w:p>
        </w:tc>
        <w:tc>
          <w:tcPr>
            <w:tcW w:w="1140" w:type="dxa"/>
            <w:vAlign w:val="bottom"/>
            <w:gridSpan w:val="3"/>
          </w:tcPr>
          <w:p>
            <w:pPr>
              <w:spacing w:after="0" w:line="119" w:lineRule="exact"/>
              <w:rPr>
                <w:sz w:val="20"/>
                <w:szCs w:val="20"/>
                <w:color w:val="auto"/>
              </w:rPr>
            </w:pPr>
            <w:r>
              <w:rPr>
                <w:rFonts w:ascii="Arial" w:cs="Arial" w:eastAsia="Arial" w:hAnsi="Arial"/>
                <w:sz w:val="13"/>
                <w:szCs w:val="13"/>
                <w:b w:val="1"/>
                <w:bCs w:val="1"/>
                <w:color w:val="auto"/>
              </w:rPr>
              <w:t>February 1,</w:t>
            </w:r>
          </w:p>
        </w:tc>
        <w:tc>
          <w:tcPr>
            <w:tcW w:w="1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00" w:type="dxa"/>
            <w:vAlign w:val="bottom"/>
          </w:tcPr>
          <w:p>
            <w:pPr>
              <w:jc w:val="right"/>
              <w:ind w:right="51"/>
              <w:spacing w:after="0" w:line="119" w:lineRule="exact"/>
              <w:rPr>
                <w:sz w:val="20"/>
                <w:szCs w:val="20"/>
                <w:color w:val="auto"/>
              </w:rPr>
            </w:pPr>
            <w:r>
              <w:rPr>
                <w:rFonts w:ascii="Arial" w:cs="Arial" w:eastAsia="Arial" w:hAnsi="Arial"/>
                <w:sz w:val="13"/>
                <w:szCs w:val="13"/>
                <w:b w:val="1"/>
                <w:bCs w:val="1"/>
                <w:color w:val="auto"/>
              </w:rPr>
              <w:t>May 4,</w:t>
            </w:r>
          </w:p>
        </w:tc>
        <w:tc>
          <w:tcPr>
            <w:tcW w:w="2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80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11"/>
              <w:spacing w:after="0"/>
              <w:rPr>
                <w:sz w:val="20"/>
                <w:szCs w:val="20"/>
                <w:color w:val="auto"/>
              </w:rPr>
            </w:pPr>
            <w:r>
              <w:rPr>
                <w:rFonts w:ascii="Arial" w:cs="Arial" w:eastAsia="Arial" w:hAnsi="Arial"/>
                <w:sz w:val="14"/>
                <w:szCs w:val="14"/>
                <w:b w:val="1"/>
                <w:bCs w:val="1"/>
                <w:color w:val="auto"/>
              </w:rPr>
              <w:t>2014</w:t>
            </w:r>
          </w:p>
        </w:tc>
        <w:tc>
          <w:tcPr>
            <w:tcW w:w="180" w:type="dxa"/>
            <w:vAlign w:val="bottom"/>
            <w:tcBorders>
              <w:bottom w:val="single" w:sz="8" w:color="CCEEFF"/>
            </w:tcBorders>
          </w:tcPr>
          <w:p>
            <w:pPr>
              <w:spacing w:after="0"/>
              <w:rPr>
                <w:sz w:val="14"/>
                <w:szCs w:val="14"/>
                <w:color w:val="auto"/>
              </w:rPr>
            </w:pPr>
          </w:p>
        </w:tc>
        <w:tc>
          <w:tcPr>
            <w:tcW w:w="3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30"/>
              <w:spacing w:after="0"/>
              <w:rPr>
                <w:sz w:val="20"/>
                <w:szCs w:val="20"/>
                <w:color w:val="auto"/>
              </w:rPr>
            </w:pPr>
            <w:r>
              <w:rPr>
                <w:rFonts w:ascii="Arial" w:cs="Arial" w:eastAsia="Arial" w:hAnsi="Arial"/>
                <w:sz w:val="14"/>
                <w:szCs w:val="14"/>
                <w:b w:val="1"/>
                <w:bCs w:val="1"/>
                <w:color w:val="auto"/>
              </w:rPr>
              <w:t>2014</w:t>
            </w:r>
          </w:p>
        </w:tc>
        <w:tc>
          <w:tcPr>
            <w:tcW w:w="40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11"/>
              <w:spacing w:after="0"/>
              <w:rPr>
                <w:sz w:val="20"/>
                <w:szCs w:val="20"/>
                <w:color w:val="auto"/>
              </w:rPr>
            </w:pPr>
            <w:r>
              <w:rPr>
                <w:rFonts w:ascii="Arial" w:cs="Arial" w:eastAsia="Arial" w:hAnsi="Arial"/>
                <w:sz w:val="14"/>
                <w:szCs w:val="14"/>
                <w:b w:val="1"/>
                <w:bCs w:val="1"/>
                <w:color w:val="auto"/>
              </w:rPr>
              <w:t>2013</w:t>
            </w:r>
          </w:p>
        </w:tc>
        <w:tc>
          <w:tcPr>
            <w:tcW w:w="2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8060" w:type="dxa"/>
            <w:vAlign w:val="bottom"/>
            <w:shd w:val="clear" w:color="auto" w:fill="CCEEFF"/>
          </w:tcPr>
          <w:p>
            <w:pPr>
              <w:spacing w:after="0"/>
              <w:rPr>
                <w:sz w:val="20"/>
                <w:szCs w:val="20"/>
                <w:color w:val="auto"/>
              </w:rPr>
            </w:pPr>
            <w:r>
              <w:rPr>
                <w:rFonts w:ascii="Arial" w:cs="Arial" w:eastAsia="Arial" w:hAnsi="Arial"/>
                <w:sz w:val="18"/>
                <w:szCs w:val="18"/>
                <w:color w:val="auto"/>
              </w:rPr>
              <w:t>GAAP net income</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99,479</w:t>
            </w:r>
          </w:p>
        </w:tc>
        <w:tc>
          <w:tcPr>
            <w:tcW w:w="1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97,129</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53,209</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tcPr>
          <w:p>
            <w:pPr>
              <w:spacing w:after="0"/>
              <w:rPr>
                <w:sz w:val="20"/>
                <w:szCs w:val="20"/>
                <w:color w:val="auto"/>
              </w:rPr>
            </w:pPr>
            <w:r>
              <w:rPr>
                <w:rFonts w:ascii="Arial" w:cs="Arial" w:eastAsia="Arial" w:hAnsi="Arial"/>
                <w:sz w:val="18"/>
                <w:szCs w:val="18"/>
                <w:color w:val="auto"/>
              </w:rPr>
              <w:t>Share-based compensation</w:t>
            </w:r>
          </w:p>
        </w:tc>
        <w:tc>
          <w:tcPr>
            <w:tcW w:w="100" w:type="dxa"/>
            <w:vAlign w:val="bottom"/>
          </w:tcPr>
          <w:p>
            <w:pPr>
              <w:spacing w:after="0"/>
              <w:rPr>
                <w:sz w:val="18"/>
                <w:szCs w:val="18"/>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8"/>
                <w:szCs w:val="18"/>
                <w:color w:val="auto"/>
              </w:rPr>
              <w:t>29,969</w:t>
            </w: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gridSpan w:val="2"/>
          </w:tcPr>
          <w:p>
            <w:pPr>
              <w:jc w:val="right"/>
              <w:ind w:right="400"/>
              <w:spacing w:after="0"/>
              <w:rPr>
                <w:sz w:val="20"/>
                <w:szCs w:val="20"/>
                <w:color w:val="auto"/>
              </w:rPr>
            </w:pPr>
            <w:r>
              <w:rPr>
                <w:rFonts w:ascii="Arial" w:cs="Arial" w:eastAsia="Arial" w:hAnsi="Arial"/>
                <w:sz w:val="18"/>
                <w:szCs w:val="18"/>
                <w:color w:val="auto"/>
              </w:rPr>
              <w:t>38,068</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8"/>
                <w:szCs w:val="18"/>
                <w:color w:val="auto"/>
              </w:rPr>
              <w:t>33,513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shd w:val="clear" w:color="auto" w:fill="CCEEFF"/>
          </w:tcPr>
          <w:p>
            <w:pPr>
              <w:spacing w:after="0"/>
              <w:rPr>
                <w:sz w:val="20"/>
                <w:szCs w:val="20"/>
                <w:color w:val="auto"/>
              </w:rPr>
            </w:pPr>
            <w:r>
              <w:rPr>
                <w:rFonts w:ascii="Arial" w:cs="Arial" w:eastAsia="Arial" w:hAnsi="Arial"/>
                <w:sz w:val="18"/>
                <w:szCs w:val="18"/>
                <w:color w:val="auto"/>
              </w:rPr>
              <w:t>Amortization and write-off of acquired intangible assets</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7,614</w:t>
            </w: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12,184</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10,686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tcPr>
          <w:p>
            <w:pPr>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100" w:type="dxa"/>
            <w:vAlign w:val="bottom"/>
          </w:tcPr>
          <w:p>
            <w:pPr>
              <w:spacing w:after="0"/>
              <w:rPr>
                <w:sz w:val="18"/>
                <w:szCs w:val="18"/>
                <w:color w:val="auto"/>
              </w:rPr>
            </w:pPr>
          </w:p>
        </w:tc>
        <w:tc>
          <w:tcPr>
            <w:tcW w:w="78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gridSpan w:val="2"/>
          </w:tcPr>
          <w:p>
            <w:pPr>
              <w:jc w:val="right"/>
              <w:ind w:right="400"/>
              <w:spacing w:after="0"/>
              <w:rPr>
                <w:sz w:val="20"/>
                <w:szCs w:val="20"/>
                <w:color w:val="auto"/>
              </w:rPr>
            </w:pPr>
            <w:r>
              <w:rPr>
                <w:rFonts w:ascii="Arial" w:cs="Arial" w:eastAsia="Arial" w:hAnsi="Arial"/>
                <w:sz w:val="18"/>
                <w:szCs w:val="18"/>
                <w:color w:val="auto"/>
              </w:rPr>
              <w:t>121</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8"/>
                <w:szCs w:val="18"/>
                <w:color w:val="auto"/>
              </w:rPr>
              <w:t>465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shd w:val="clear" w:color="auto" w:fill="CCEEFF"/>
          </w:tcPr>
          <w:p>
            <w:pPr>
              <w:spacing w:after="0"/>
              <w:rPr>
                <w:sz w:val="20"/>
                <w:szCs w:val="20"/>
                <w:color w:val="auto"/>
              </w:rPr>
            </w:pPr>
            <w:r>
              <w:rPr>
                <w:rFonts w:ascii="Arial" w:cs="Arial" w:eastAsia="Arial" w:hAnsi="Arial"/>
                <w:sz w:val="18"/>
                <w:szCs w:val="18"/>
                <w:color w:val="auto"/>
              </w:rPr>
              <w:t xml:space="preserve">Restructuring and other exit-related costs </w:t>
            </w:r>
            <w:r>
              <w:rPr>
                <w:rFonts w:ascii="Arial" w:cs="Arial" w:eastAsia="Arial" w:hAnsi="Arial"/>
                <w:sz w:val="18"/>
                <w:szCs w:val="18"/>
                <w:i w:val="1"/>
                <w:iCs w:val="1"/>
                <w:color w:val="auto"/>
              </w:rPr>
              <w:t>(b)</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5,088</w:t>
            </w: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947</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228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tcPr>
          <w:p>
            <w:pPr>
              <w:spacing w:after="0"/>
              <w:rPr>
                <w:sz w:val="20"/>
                <w:szCs w:val="20"/>
                <w:color w:val="auto"/>
              </w:rPr>
            </w:pPr>
            <w:r>
              <w:rPr>
                <w:rFonts w:ascii="Arial" w:cs="Arial" w:eastAsia="Arial" w:hAnsi="Arial"/>
                <w:sz w:val="18"/>
                <w:szCs w:val="18"/>
                <w:color w:val="auto"/>
              </w:rPr>
              <w:t xml:space="preserve">Legal/Tax related matters </w:t>
            </w:r>
            <w:r>
              <w:rPr>
                <w:rFonts w:ascii="Arial" w:cs="Arial" w:eastAsia="Arial" w:hAnsi="Arial"/>
                <w:sz w:val="18"/>
                <w:szCs w:val="18"/>
                <w:i w:val="1"/>
                <w:iCs w:val="1"/>
                <w:color w:val="auto"/>
              </w:rPr>
              <w:t>(c)</w:t>
            </w:r>
          </w:p>
        </w:tc>
        <w:tc>
          <w:tcPr>
            <w:tcW w:w="100" w:type="dxa"/>
            <w:vAlign w:val="bottom"/>
          </w:tcPr>
          <w:p>
            <w:pPr>
              <w:spacing w:after="0"/>
              <w:rPr>
                <w:sz w:val="18"/>
                <w:szCs w:val="18"/>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8"/>
                <w:szCs w:val="18"/>
                <w:color w:val="auto"/>
              </w:rPr>
              <w:t>2,000</w:t>
            </w: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9,500</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shd w:val="clear" w:color="auto" w:fill="CCEEFF"/>
          </w:tcPr>
          <w:p>
            <w:pPr>
              <w:spacing w:after="0"/>
              <w:rPr>
                <w:sz w:val="20"/>
                <w:szCs w:val="20"/>
                <w:color w:val="auto"/>
              </w:rPr>
            </w:pPr>
            <w:r>
              <w:rPr>
                <w:rFonts w:ascii="Arial" w:cs="Arial" w:eastAsia="Arial" w:hAnsi="Arial"/>
                <w:sz w:val="18"/>
                <w:szCs w:val="18"/>
                <w:color w:val="auto"/>
              </w:rPr>
              <w:t>Gain on sale</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(6,975)</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8080" w:type="dxa"/>
            <w:vAlign w:val="bottom"/>
            <w:gridSpan w:val="2"/>
          </w:tcPr>
          <w:p>
            <w:pPr>
              <w:spacing w:after="0"/>
              <w:rPr>
                <w:sz w:val="20"/>
                <w:szCs w:val="20"/>
                <w:color w:val="auto"/>
              </w:rPr>
            </w:pPr>
            <w:r>
              <w:rPr>
                <w:rFonts w:ascii="Arial" w:cs="Arial" w:eastAsia="Arial" w:hAnsi="Arial"/>
                <w:sz w:val="18"/>
                <w:szCs w:val="18"/>
                <w:color w:val="auto"/>
              </w:rPr>
              <w:t>Non-GAAP net income</w:t>
            </w: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144,150</w:t>
            </w:r>
          </w:p>
        </w:tc>
        <w:tc>
          <w:tcPr>
            <w:tcW w:w="1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150,974</w:t>
            </w:r>
          </w:p>
        </w:tc>
        <w:tc>
          <w:tcPr>
            <w:tcW w:w="4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98,101</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0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2"/>
        </w:trPr>
        <w:tc>
          <w:tcPr>
            <w:tcW w:w="20" w:type="dxa"/>
            <w:vAlign w:val="bottom"/>
            <w:vMerge w:val="restart"/>
          </w:tcPr>
          <w:p>
            <w:pPr>
              <w:spacing w:after="0"/>
              <w:rPr>
                <w:sz w:val="8"/>
                <w:szCs w:val="8"/>
                <w:color w:val="auto"/>
              </w:rPr>
            </w:pPr>
          </w:p>
        </w:tc>
        <w:tc>
          <w:tcPr>
            <w:tcW w:w="806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0" w:type="dxa"/>
            <w:vAlign w:val="bottom"/>
          </w:tcPr>
          <w:p>
            <w:pPr>
              <w:spacing w:after="0"/>
              <w:rPr>
                <w:sz w:val="8"/>
                <w:szCs w:val="8"/>
                <w:color w:val="auto"/>
              </w:rPr>
            </w:pPr>
          </w:p>
        </w:tc>
        <w:tc>
          <w:tcPr>
            <w:tcW w:w="180" w:type="dxa"/>
            <w:vAlign w:val="bottom"/>
          </w:tcPr>
          <w:p>
            <w:pPr>
              <w:spacing w:after="0"/>
              <w:rPr>
                <w:sz w:val="8"/>
                <w:szCs w:val="8"/>
                <w:color w:val="auto"/>
              </w:rPr>
            </w:pPr>
          </w:p>
        </w:tc>
        <w:tc>
          <w:tcPr>
            <w:tcW w:w="320" w:type="dxa"/>
            <w:vAlign w:val="bottom"/>
          </w:tcPr>
          <w:p>
            <w:pPr>
              <w:spacing w:after="0"/>
              <w:rPr>
                <w:sz w:val="8"/>
                <w:szCs w:val="8"/>
                <w:color w:val="auto"/>
              </w:rPr>
            </w:pPr>
          </w:p>
        </w:tc>
        <w:tc>
          <w:tcPr>
            <w:tcW w:w="120" w:type="dxa"/>
            <w:vAlign w:val="bottom"/>
          </w:tcPr>
          <w:p>
            <w:pPr>
              <w:spacing w:after="0"/>
              <w:rPr>
                <w:sz w:val="8"/>
                <w:szCs w:val="8"/>
                <w:color w:val="auto"/>
              </w:rPr>
            </w:pPr>
          </w:p>
        </w:tc>
        <w:tc>
          <w:tcPr>
            <w:tcW w:w="620" w:type="dxa"/>
            <w:vAlign w:val="bottom"/>
          </w:tcPr>
          <w:p>
            <w:pPr>
              <w:spacing w:after="0"/>
              <w:rPr>
                <w:sz w:val="8"/>
                <w:szCs w:val="8"/>
                <w:color w:val="auto"/>
              </w:rPr>
            </w:pPr>
          </w:p>
        </w:tc>
        <w:tc>
          <w:tcPr>
            <w:tcW w:w="400" w:type="dxa"/>
            <w:vAlign w:val="bottom"/>
          </w:tcPr>
          <w:p>
            <w:pPr>
              <w:spacing w:after="0"/>
              <w:rPr>
                <w:sz w:val="8"/>
                <w:szCs w:val="8"/>
                <w:color w:val="auto"/>
              </w:rPr>
            </w:pPr>
          </w:p>
        </w:tc>
        <w:tc>
          <w:tcPr>
            <w:tcW w:w="10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8060" w:type="dxa"/>
            <w:vAlign w:val="bottom"/>
            <w:shd w:val="clear" w:color="auto" w:fill="CCEEFF"/>
          </w:tcPr>
          <w:p>
            <w:pPr>
              <w:spacing w:after="0"/>
              <w:rPr>
                <w:sz w:val="20"/>
                <w:szCs w:val="20"/>
                <w:color w:val="auto"/>
              </w:rPr>
            </w:pPr>
            <w:r>
              <w:rPr>
                <w:rFonts w:ascii="Arial" w:cs="Arial" w:eastAsia="Arial" w:hAnsi="Arial"/>
                <w:sz w:val="18"/>
                <w:szCs w:val="18"/>
                <w:color w:val="auto"/>
              </w:rPr>
              <w:t>GAAP weighted average shares—diluted</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9"/>
              </w:rPr>
              <w:t>520,751</w:t>
            </w: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510,449</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9"/>
              </w:rPr>
              <w:t>505,387</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8060" w:type="dxa"/>
            <w:vAlign w:val="bottom"/>
          </w:tcPr>
          <w:p>
            <w:pPr>
              <w:ind w:left="340"/>
              <w:spacing w:after="0"/>
              <w:rPr>
                <w:sz w:val="20"/>
                <w:szCs w:val="20"/>
                <w:color w:val="auto"/>
              </w:rPr>
            </w:pPr>
            <w:r>
              <w:rPr>
                <w:rFonts w:ascii="Arial" w:cs="Arial" w:eastAsia="Arial" w:hAnsi="Arial"/>
                <w:sz w:val="18"/>
                <w:szCs w:val="18"/>
                <w:color w:val="auto"/>
              </w:rPr>
              <w:t>Non-GAAP adjustment</w:t>
            </w:r>
          </w:p>
        </w:tc>
        <w:tc>
          <w:tcPr>
            <w:tcW w:w="10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9,625</w:t>
            </w:r>
          </w:p>
        </w:tc>
        <w:tc>
          <w:tcPr>
            <w:tcW w:w="1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12,932</w:t>
            </w:r>
          </w:p>
        </w:tc>
        <w:tc>
          <w:tcPr>
            <w:tcW w:w="4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17,094</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shd w:val="clear" w:color="auto" w:fill="CCEEFF"/>
          </w:tcPr>
          <w:p>
            <w:pPr>
              <w:spacing w:after="0"/>
              <w:rPr>
                <w:sz w:val="20"/>
                <w:szCs w:val="20"/>
                <w:color w:val="auto"/>
              </w:rPr>
            </w:pPr>
            <w:r>
              <w:rPr>
                <w:rFonts w:ascii="Arial" w:cs="Arial" w:eastAsia="Arial" w:hAnsi="Arial"/>
                <w:sz w:val="18"/>
                <w:szCs w:val="18"/>
                <w:color w:val="auto"/>
              </w:rPr>
              <w:t xml:space="preserve">Non-GAAP weighted average shares diluted </w:t>
            </w:r>
            <w:r>
              <w:rPr>
                <w:rFonts w:ascii="Arial" w:cs="Arial" w:eastAsia="Arial" w:hAnsi="Arial"/>
                <w:sz w:val="18"/>
                <w:szCs w:val="18"/>
                <w:i w:val="1"/>
                <w:iCs w:val="1"/>
                <w:color w:val="auto"/>
              </w:rPr>
              <w:t>(d)</w:t>
            </w:r>
          </w:p>
        </w:tc>
        <w:tc>
          <w:tcPr>
            <w:tcW w:w="10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530,376</w:t>
            </w:r>
          </w:p>
        </w:tc>
        <w:tc>
          <w:tcPr>
            <w:tcW w:w="1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523,381</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522,481</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8080" w:type="dxa"/>
            <w:vAlign w:val="bottom"/>
            <w:gridSpan w:val="2"/>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8"/>
        </w:trPr>
        <w:tc>
          <w:tcPr>
            <w:tcW w:w="8080" w:type="dxa"/>
            <w:vAlign w:val="bottom"/>
            <w:gridSpan w:val="2"/>
          </w:tcPr>
          <w:p>
            <w:pPr>
              <w:spacing w:after="0"/>
              <w:rPr>
                <w:sz w:val="20"/>
                <w:szCs w:val="20"/>
                <w:color w:val="auto"/>
              </w:rPr>
            </w:pPr>
            <w:r>
              <w:rPr>
                <w:rFonts w:ascii="Arial" w:cs="Arial" w:eastAsia="Arial" w:hAnsi="Arial"/>
                <w:sz w:val="18"/>
                <w:szCs w:val="18"/>
                <w:color w:val="auto"/>
              </w:rPr>
              <w:t>GAAP diluted net income per share</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tcPr>
          <w:p>
            <w:pPr>
              <w:jc w:val="right"/>
              <w:ind w:right="180"/>
              <w:spacing w:after="0"/>
              <w:rPr>
                <w:sz w:val="20"/>
                <w:szCs w:val="20"/>
                <w:color w:val="auto"/>
              </w:rPr>
            </w:pPr>
            <w:r>
              <w:rPr>
                <w:rFonts w:ascii="Arial" w:cs="Arial" w:eastAsia="Arial" w:hAnsi="Arial"/>
                <w:sz w:val="18"/>
                <w:szCs w:val="18"/>
                <w:color w:val="auto"/>
              </w:rPr>
              <w:t>0.19</w:t>
            </w:r>
          </w:p>
        </w:tc>
        <w:tc>
          <w:tcPr>
            <w:tcW w:w="440" w:type="dxa"/>
            <w:vAlign w:val="bottom"/>
            <w:gridSpan w:val="2"/>
          </w:tcPr>
          <w:p>
            <w:pPr>
              <w:ind w:left="320"/>
              <w:spacing w:after="0"/>
              <w:rPr>
                <w:sz w:val="20"/>
                <w:szCs w:val="20"/>
                <w:color w:val="auto"/>
              </w:rPr>
            </w:pPr>
            <w:r>
              <w:rPr>
                <w:rFonts w:ascii="Arial" w:cs="Arial" w:eastAsia="Arial" w:hAnsi="Arial"/>
                <w:sz w:val="18"/>
                <w:szCs w:val="18"/>
                <w:color w:val="auto"/>
                <w:w w:val="99"/>
              </w:rPr>
              <w:t>$</w:t>
            </w:r>
          </w:p>
        </w:tc>
        <w:tc>
          <w:tcPr>
            <w:tcW w:w="1020" w:type="dxa"/>
            <w:vAlign w:val="bottom"/>
            <w:gridSpan w:val="2"/>
          </w:tcPr>
          <w:p>
            <w:pPr>
              <w:jc w:val="right"/>
              <w:ind w:right="400"/>
              <w:spacing w:after="0"/>
              <w:rPr>
                <w:sz w:val="20"/>
                <w:szCs w:val="20"/>
                <w:color w:val="auto"/>
              </w:rPr>
            </w:pPr>
            <w:r>
              <w:rPr>
                <w:rFonts w:ascii="Arial" w:cs="Arial" w:eastAsia="Arial" w:hAnsi="Arial"/>
                <w:sz w:val="18"/>
                <w:szCs w:val="18"/>
                <w:color w:val="auto"/>
              </w:rPr>
              <w:t>0.19</w:t>
            </w: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tcPr>
          <w:p>
            <w:pPr>
              <w:jc w:val="right"/>
              <w:ind w:right="200"/>
              <w:spacing w:after="0"/>
              <w:rPr>
                <w:sz w:val="20"/>
                <w:szCs w:val="20"/>
                <w:color w:val="auto"/>
              </w:rPr>
            </w:pPr>
            <w:r>
              <w:rPr>
                <w:rFonts w:ascii="Arial" w:cs="Arial" w:eastAsia="Arial" w:hAnsi="Arial"/>
                <w:sz w:val="18"/>
                <w:szCs w:val="18"/>
                <w:color w:val="auto"/>
              </w:rPr>
              <w:t>0.11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0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8060" w:type="dxa"/>
            <w:vAlign w:val="bottom"/>
            <w:shd w:val="clear" w:color="auto" w:fill="CCEEFF"/>
          </w:tcPr>
          <w:p>
            <w:pPr>
              <w:spacing w:after="0"/>
              <w:rPr>
                <w:sz w:val="20"/>
                <w:szCs w:val="20"/>
                <w:color w:val="auto"/>
              </w:rPr>
            </w:pPr>
            <w:r>
              <w:rPr>
                <w:rFonts w:ascii="Arial" w:cs="Arial" w:eastAsia="Arial" w:hAnsi="Arial"/>
                <w:sz w:val="18"/>
                <w:szCs w:val="18"/>
                <w:color w:val="auto"/>
              </w:rPr>
              <w:t>Non-GAAP diluted net income per share</w:t>
            </w: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0.27</w:t>
            </w:r>
          </w:p>
        </w:tc>
        <w:tc>
          <w:tcPr>
            <w:tcW w:w="1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0.29</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0.19</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8080" w:type="dxa"/>
            <w:vAlign w:val="bottom"/>
            <w:gridSpan w:val="2"/>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8"/>
        </w:trPr>
        <w:tc>
          <w:tcPr>
            <w:tcW w:w="8080" w:type="dxa"/>
            <w:vAlign w:val="bottom"/>
            <w:gridSpan w:val="2"/>
          </w:tcPr>
          <w:p>
            <w:pPr>
              <w:spacing w:after="0"/>
              <w:rPr>
                <w:sz w:val="20"/>
                <w:szCs w:val="20"/>
                <w:color w:val="auto"/>
              </w:rPr>
            </w:pPr>
            <w:r>
              <w:rPr>
                <w:rFonts w:ascii="Arial" w:cs="Arial" w:eastAsia="Arial" w:hAnsi="Arial"/>
                <w:sz w:val="18"/>
                <w:szCs w:val="18"/>
                <w:color w:val="auto"/>
              </w:rPr>
              <w:t>GAAP gross profit:</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tcPr>
          <w:p>
            <w:pPr>
              <w:jc w:val="right"/>
              <w:ind w:right="180"/>
              <w:spacing w:after="0"/>
              <w:rPr>
                <w:sz w:val="20"/>
                <w:szCs w:val="20"/>
                <w:color w:val="auto"/>
              </w:rPr>
            </w:pPr>
            <w:r>
              <w:rPr>
                <w:rFonts w:ascii="Arial" w:cs="Arial" w:eastAsia="Arial" w:hAnsi="Arial"/>
                <w:sz w:val="18"/>
                <w:szCs w:val="18"/>
                <w:color w:val="auto"/>
                <w:w w:val="89"/>
              </w:rPr>
              <w:t>463,970</w:t>
            </w:r>
          </w:p>
        </w:tc>
        <w:tc>
          <w:tcPr>
            <w:tcW w:w="440" w:type="dxa"/>
            <w:vAlign w:val="bottom"/>
            <w:gridSpan w:val="2"/>
          </w:tcPr>
          <w:p>
            <w:pPr>
              <w:ind w:left="320"/>
              <w:spacing w:after="0"/>
              <w:rPr>
                <w:sz w:val="20"/>
                <w:szCs w:val="20"/>
                <w:color w:val="auto"/>
              </w:rPr>
            </w:pPr>
            <w:r>
              <w:rPr>
                <w:rFonts w:ascii="Arial" w:cs="Arial" w:eastAsia="Arial" w:hAnsi="Arial"/>
                <w:sz w:val="18"/>
                <w:szCs w:val="18"/>
                <w:color w:val="auto"/>
                <w:w w:val="99"/>
              </w:rPr>
              <w:t>$</w:t>
            </w:r>
          </w:p>
        </w:tc>
        <w:tc>
          <w:tcPr>
            <w:tcW w:w="620" w:type="dxa"/>
            <w:vAlign w:val="bottom"/>
          </w:tcPr>
          <w:p>
            <w:pPr>
              <w:jc w:val="right"/>
              <w:spacing w:after="0"/>
              <w:rPr>
                <w:sz w:val="20"/>
                <w:szCs w:val="20"/>
                <w:color w:val="auto"/>
              </w:rPr>
            </w:pPr>
            <w:r>
              <w:rPr>
                <w:rFonts w:ascii="Arial" w:cs="Arial" w:eastAsia="Arial" w:hAnsi="Arial"/>
                <w:sz w:val="18"/>
                <w:szCs w:val="18"/>
                <w:color w:val="auto"/>
                <w:w w:val="92"/>
              </w:rPr>
              <w:t>454,497</w:t>
            </w:r>
          </w:p>
        </w:tc>
        <w:tc>
          <w:tcPr>
            <w:tcW w:w="400" w:type="dxa"/>
            <w:vAlign w:val="bottom"/>
          </w:tcPr>
          <w:p>
            <w:pPr>
              <w:spacing w:after="0"/>
              <w:rPr>
                <w:sz w:val="24"/>
                <w:szCs w:val="24"/>
                <w:color w:val="auto"/>
              </w:rPr>
            </w:pP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tcPr>
          <w:p>
            <w:pPr>
              <w:jc w:val="right"/>
              <w:ind w:right="200"/>
              <w:spacing w:after="0"/>
              <w:rPr>
                <w:sz w:val="20"/>
                <w:szCs w:val="20"/>
                <w:color w:val="auto"/>
              </w:rPr>
            </w:pPr>
            <w:r>
              <w:rPr>
                <w:rFonts w:ascii="Arial" w:cs="Arial" w:eastAsia="Arial" w:hAnsi="Arial"/>
                <w:sz w:val="18"/>
                <w:szCs w:val="18"/>
                <w:color w:val="auto"/>
                <w:w w:val="89"/>
              </w:rPr>
              <w:t>398,931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Share-based compensation</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2,299</w:t>
            </w: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2,597</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1,867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tcPr>
          <w:p>
            <w:pPr>
              <w:ind w:left="340"/>
              <w:spacing w:after="0"/>
              <w:rPr>
                <w:sz w:val="20"/>
                <w:szCs w:val="20"/>
                <w:color w:val="auto"/>
              </w:rPr>
            </w:pPr>
            <w:r>
              <w:rPr>
                <w:rFonts w:ascii="Arial" w:cs="Arial" w:eastAsia="Arial" w:hAnsi="Arial"/>
                <w:sz w:val="18"/>
                <w:szCs w:val="18"/>
                <w:color w:val="auto"/>
              </w:rPr>
              <w:t>Amortization of acquired intangible assets</w:t>
            </w:r>
          </w:p>
        </w:tc>
        <w:tc>
          <w:tcPr>
            <w:tcW w:w="100" w:type="dxa"/>
            <w:vAlign w:val="bottom"/>
          </w:tcPr>
          <w:p>
            <w:pPr>
              <w:spacing w:after="0"/>
              <w:rPr>
                <w:sz w:val="18"/>
                <w:szCs w:val="18"/>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8"/>
                <w:szCs w:val="18"/>
                <w:color w:val="auto"/>
              </w:rPr>
              <w:t>925</w:t>
            </w: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gridSpan w:val="2"/>
          </w:tcPr>
          <w:p>
            <w:pPr>
              <w:jc w:val="right"/>
              <w:ind w:right="400"/>
              <w:spacing w:after="0"/>
              <w:rPr>
                <w:sz w:val="20"/>
                <w:szCs w:val="20"/>
                <w:color w:val="auto"/>
              </w:rPr>
            </w:pPr>
            <w:r>
              <w:rPr>
                <w:rFonts w:ascii="Arial" w:cs="Arial" w:eastAsia="Arial" w:hAnsi="Arial"/>
                <w:sz w:val="18"/>
                <w:szCs w:val="18"/>
                <w:color w:val="auto"/>
              </w:rPr>
              <w:t>228</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Legal/Tax related matters </w:t>
            </w:r>
            <w:r>
              <w:rPr>
                <w:rFonts w:ascii="Arial" w:cs="Arial" w:eastAsia="Arial" w:hAnsi="Arial"/>
                <w:sz w:val="18"/>
                <w:szCs w:val="18"/>
                <w:i w:val="1"/>
                <w:iCs w:val="1"/>
                <w:color w:val="auto"/>
              </w:rPr>
              <w:t>(c)</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9,500</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8080" w:type="dxa"/>
            <w:vAlign w:val="bottom"/>
            <w:gridSpan w:val="2"/>
          </w:tcPr>
          <w:p>
            <w:pPr>
              <w:spacing w:after="0"/>
              <w:rPr>
                <w:sz w:val="20"/>
                <w:szCs w:val="20"/>
                <w:color w:val="auto"/>
              </w:rPr>
            </w:pPr>
            <w:r>
              <w:rPr>
                <w:rFonts w:ascii="Arial" w:cs="Arial" w:eastAsia="Arial" w:hAnsi="Arial"/>
                <w:sz w:val="18"/>
                <w:szCs w:val="18"/>
                <w:color w:val="auto"/>
              </w:rPr>
              <w:t>Non-GAAP gross profit</w:t>
            </w: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467,194</w:t>
            </w:r>
          </w:p>
        </w:tc>
        <w:tc>
          <w:tcPr>
            <w:tcW w:w="1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466,822</w:t>
            </w:r>
          </w:p>
        </w:tc>
        <w:tc>
          <w:tcPr>
            <w:tcW w:w="4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400,798</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0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8060" w:type="dxa"/>
            <w:vAlign w:val="bottom"/>
            <w:shd w:val="clear" w:color="auto" w:fill="CCEEFF"/>
          </w:tcPr>
          <w:p>
            <w:pPr>
              <w:spacing w:after="0"/>
              <w:rPr>
                <w:sz w:val="20"/>
                <w:szCs w:val="20"/>
                <w:color w:val="auto"/>
              </w:rPr>
            </w:pPr>
            <w:r>
              <w:rPr>
                <w:rFonts w:ascii="Arial" w:cs="Arial" w:eastAsia="Arial" w:hAnsi="Arial"/>
                <w:sz w:val="18"/>
                <w:szCs w:val="18"/>
                <w:color w:val="auto"/>
              </w:rPr>
              <w:t>GAAP gross margin</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48.4%</w:t>
            </w: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48.8%</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54.3%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tcPr>
          <w:p>
            <w:pPr>
              <w:ind w:left="340"/>
              <w:spacing w:after="0"/>
              <w:rPr>
                <w:sz w:val="20"/>
                <w:szCs w:val="20"/>
                <w:color w:val="auto"/>
              </w:rPr>
            </w:pPr>
            <w:r>
              <w:rPr>
                <w:rFonts w:ascii="Arial" w:cs="Arial" w:eastAsia="Arial" w:hAnsi="Arial"/>
                <w:sz w:val="18"/>
                <w:szCs w:val="18"/>
                <w:color w:val="auto"/>
              </w:rPr>
              <w:t>Share-based compensation</w:t>
            </w:r>
          </w:p>
        </w:tc>
        <w:tc>
          <w:tcPr>
            <w:tcW w:w="100" w:type="dxa"/>
            <w:vAlign w:val="bottom"/>
          </w:tcPr>
          <w:p>
            <w:pPr>
              <w:spacing w:after="0"/>
              <w:rPr>
                <w:sz w:val="18"/>
                <w:szCs w:val="18"/>
                <w:color w:val="auto"/>
              </w:rPr>
            </w:pPr>
          </w:p>
        </w:tc>
        <w:tc>
          <w:tcPr>
            <w:tcW w:w="780" w:type="dxa"/>
            <w:vAlign w:val="bottom"/>
            <w:gridSpan w:val="2"/>
          </w:tcPr>
          <w:p>
            <w:pPr>
              <w:jc w:val="right"/>
              <w:ind w:right="40"/>
              <w:spacing w:after="0"/>
              <w:rPr>
                <w:sz w:val="20"/>
                <w:szCs w:val="20"/>
                <w:color w:val="auto"/>
              </w:rPr>
            </w:pPr>
            <w:r>
              <w:rPr>
                <w:rFonts w:ascii="Arial" w:cs="Arial" w:eastAsia="Arial" w:hAnsi="Arial"/>
                <w:sz w:val="18"/>
                <w:szCs w:val="18"/>
                <w:color w:val="auto"/>
              </w:rPr>
              <w:t>0.3%</w:t>
            </w: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gridSpan w:val="2"/>
          </w:tcPr>
          <w:p>
            <w:pPr>
              <w:jc w:val="right"/>
              <w:ind w:right="260"/>
              <w:spacing w:after="0"/>
              <w:rPr>
                <w:sz w:val="20"/>
                <w:szCs w:val="20"/>
                <w:color w:val="auto"/>
              </w:rPr>
            </w:pPr>
            <w:r>
              <w:rPr>
                <w:rFonts w:ascii="Arial" w:cs="Arial" w:eastAsia="Arial" w:hAnsi="Arial"/>
                <w:sz w:val="18"/>
                <w:szCs w:val="18"/>
                <w:color w:val="auto"/>
              </w:rPr>
              <w:t>0.3%</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60"/>
              <w:spacing w:after="0"/>
              <w:rPr>
                <w:sz w:val="20"/>
                <w:szCs w:val="20"/>
                <w:color w:val="auto"/>
              </w:rPr>
            </w:pPr>
            <w:r>
              <w:rPr>
                <w:rFonts w:ascii="Arial" w:cs="Arial" w:eastAsia="Arial" w:hAnsi="Arial"/>
                <w:sz w:val="18"/>
                <w:szCs w:val="18"/>
                <w:color w:val="auto"/>
              </w:rPr>
              <w:t>0.3%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Amortization of acquired intangible assets</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0.1%</w:t>
            </w: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0.0%</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tcPr>
          <w:p>
            <w:pPr>
              <w:ind w:left="340"/>
              <w:spacing w:after="0"/>
              <w:rPr>
                <w:sz w:val="20"/>
                <w:szCs w:val="20"/>
                <w:color w:val="auto"/>
              </w:rPr>
            </w:pPr>
            <w:r>
              <w:rPr>
                <w:rFonts w:ascii="Arial" w:cs="Arial" w:eastAsia="Arial" w:hAnsi="Arial"/>
                <w:sz w:val="18"/>
                <w:szCs w:val="18"/>
                <w:color w:val="auto"/>
              </w:rPr>
              <w:t xml:space="preserve">Legal/Tax related matters </w:t>
            </w:r>
            <w:r>
              <w:rPr>
                <w:rFonts w:ascii="Arial" w:cs="Arial" w:eastAsia="Arial" w:hAnsi="Arial"/>
                <w:sz w:val="18"/>
                <w:szCs w:val="18"/>
                <w:i w:val="1"/>
                <w:iCs w:val="1"/>
                <w:color w:val="auto"/>
              </w:rPr>
              <w:t>(c)</w:t>
            </w:r>
          </w:p>
        </w:tc>
        <w:tc>
          <w:tcPr>
            <w:tcW w:w="100" w:type="dxa"/>
            <w:vAlign w:val="bottom"/>
          </w:tcPr>
          <w:p>
            <w:pPr>
              <w:spacing w:after="0"/>
              <w:rPr>
                <w:sz w:val="18"/>
                <w:szCs w:val="18"/>
                <w:color w:val="auto"/>
              </w:rPr>
            </w:pPr>
          </w:p>
        </w:tc>
        <w:tc>
          <w:tcPr>
            <w:tcW w:w="600" w:type="dxa"/>
            <w:vAlign w:val="bottom"/>
          </w:tcPr>
          <w:p>
            <w:pPr>
              <w:jc w:val="right"/>
              <w:ind w:right="11"/>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gridSpan w:val="2"/>
          </w:tcPr>
          <w:p>
            <w:pPr>
              <w:jc w:val="right"/>
              <w:ind w:right="260"/>
              <w:spacing w:after="0"/>
              <w:rPr>
                <w:sz w:val="20"/>
                <w:szCs w:val="20"/>
                <w:color w:val="auto"/>
              </w:rPr>
            </w:pPr>
            <w:r>
              <w:rPr>
                <w:rFonts w:ascii="Arial" w:cs="Arial" w:eastAsia="Arial" w:hAnsi="Arial"/>
                <w:sz w:val="18"/>
                <w:szCs w:val="18"/>
                <w:color w:val="auto"/>
              </w:rPr>
              <w:t>1.0%</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80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8060" w:type="dxa"/>
            <w:vAlign w:val="bottom"/>
            <w:shd w:val="clear" w:color="auto" w:fill="CCEEFF"/>
          </w:tcPr>
          <w:p>
            <w:pPr>
              <w:spacing w:after="0"/>
              <w:rPr>
                <w:sz w:val="20"/>
                <w:szCs w:val="20"/>
                <w:color w:val="auto"/>
              </w:rPr>
            </w:pPr>
            <w:r>
              <w:rPr>
                <w:rFonts w:ascii="Arial" w:cs="Arial" w:eastAsia="Arial" w:hAnsi="Arial"/>
                <w:sz w:val="18"/>
                <w:szCs w:val="18"/>
                <w:color w:val="auto"/>
              </w:rPr>
              <w:t>Non-GAAP gross margin</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48.8%</w:t>
            </w: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50.1%</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54.6%</w:t>
            </w:r>
          </w:p>
        </w:tc>
        <w:tc>
          <w:tcPr>
            <w:tcW w:w="0" w:type="dxa"/>
            <w:vAlign w:val="bottom"/>
          </w:tcPr>
          <w:p>
            <w:pPr>
              <w:spacing w:after="0"/>
              <w:rPr>
                <w:sz w:val="1"/>
                <w:szCs w:val="1"/>
                <w:color w:val="auto"/>
              </w:rPr>
            </w:pPr>
          </w:p>
        </w:tc>
      </w:tr>
      <w:tr>
        <w:trPr>
          <w:trHeight w:val="20"/>
        </w:trPr>
        <w:tc>
          <w:tcPr>
            <w:tcW w:w="8080" w:type="dxa"/>
            <w:vAlign w:val="bottom"/>
            <w:gridSpan w:val="2"/>
            <w:vMerge w:val="restart"/>
          </w:tcPr>
          <w:p>
            <w:pPr>
              <w:spacing w:after="0"/>
              <w:rPr>
                <w:sz w:val="20"/>
                <w:szCs w:val="20"/>
                <w:color w:val="auto"/>
              </w:rPr>
            </w:pPr>
            <w:r>
              <w:rPr>
                <w:rFonts w:ascii="Arial" w:cs="Arial" w:eastAsia="Arial" w:hAnsi="Arial"/>
                <w:sz w:val="18"/>
                <w:szCs w:val="18"/>
                <w:color w:val="auto"/>
              </w:rPr>
              <w:t>GAAP research and development:</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8080" w:type="dxa"/>
            <w:vAlign w:val="bottom"/>
            <w:gridSpan w:val="2"/>
            <w:vMerge w:val="continue"/>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89"/>
              </w:rPr>
              <w:t>295,363</w:t>
            </w:r>
          </w:p>
        </w:tc>
        <w:tc>
          <w:tcPr>
            <w:tcW w:w="1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620" w:type="dxa"/>
            <w:vAlign w:val="bottom"/>
          </w:tcPr>
          <w:p>
            <w:pPr>
              <w:jc w:val="right"/>
              <w:spacing w:after="0"/>
              <w:rPr>
                <w:sz w:val="20"/>
                <w:szCs w:val="20"/>
                <w:color w:val="auto"/>
              </w:rPr>
            </w:pPr>
            <w:r>
              <w:rPr>
                <w:rFonts w:ascii="Arial" w:cs="Arial" w:eastAsia="Arial" w:hAnsi="Arial"/>
                <w:sz w:val="18"/>
                <w:szCs w:val="18"/>
                <w:color w:val="auto"/>
                <w:w w:val="92"/>
              </w:rPr>
              <w:t>288,900</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89"/>
              </w:rPr>
              <w:t>279,052</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Share-based compensation</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5"/>
              </w:rPr>
              <w:t>(20,368)</w:t>
            </w: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w w:val="98"/>
              </w:rPr>
              <w:t>(27,087)</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5"/>
              </w:rPr>
              <w:t>(23,279)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tcPr>
          <w:p>
            <w:pPr>
              <w:ind w:left="34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100" w:type="dxa"/>
            <w:vAlign w:val="bottom"/>
          </w:tcPr>
          <w:p>
            <w:pPr>
              <w:spacing w:after="0"/>
              <w:rPr>
                <w:sz w:val="18"/>
                <w:szCs w:val="18"/>
                <w:color w:val="auto"/>
              </w:rPr>
            </w:pPr>
          </w:p>
        </w:tc>
        <w:tc>
          <w:tcPr>
            <w:tcW w:w="78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gridSpan w:val="2"/>
          </w:tcPr>
          <w:p>
            <w:pPr>
              <w:jc w:val="right"/>
              <w:ind w:right="340"/>
              <w:spacing w:after="0"/>
              <w:rPr>
                <w:sz w:val="20"/>
                <w:szCs w:val="20"/>
                <w:color w:val="auto"/>
              </w:rPr>
            </w:pPr>
            <w:r>
              <w:rPr>
                <w:rFonts w:ascii="Arial" w:cs="Arial" w:eastAsia="Arial" w:hAnsi="Arial"/>
                <w:sz w:val="18"/>
                <w:szCs w:val="18"/>
                <w:color w:val="auto"/>
              </w:rPr>
              <w:t>(116)</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140"/>
              <w:spacing w:after="0"/>
              <w:rPr>
                <w:sz w:val="20"/>
                <w:szCs w:val="20"/>
                <w:color w:val="auto"/>
              </w:rPr>
            </w:pPr>
            <w:r>
              <w:rPr>
                <w:rFonts w:ascii="Arial" w:cs="Arial" w:eastAsia="Arial" w:hAnsi="Arial"/>
                <w:sz w:val="18"/>
                <w:szCs w:val="18"/>
                <w:color w:val="auto"/>
              </w:rPr>
              <w:t>(400)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Restructuring and other exit-related costs </w:t>
            </w:r>
            <w:r>
              <w:rPr>
                <w:rFonts w:ascii="Arial" w:cs="Arial" w:eastAsia="Arial" w:hAnsi="Arial"/>
                <w:sz w:val="18"/>
                <w:szCs w:val="18"/>
                <w:i w:val="1"/>
                <w:iCs w:val="1"/>
                <w:color w:val="auto"/>
              </w:rPr>
              <w:t>(b)</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(4,682)</w:t>
            </w: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(829)</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8080" w:type="dxa"/>
            <w:vAlign w:val="bottom"/>
            <w:gridSpan w:val="2"/>
          </w:tcPr>
          <w:p>
            <w:pPr>
              <w:spacing w:after="0"/>
              <w:rPr>
                <w:sz w:val="20"/>
                <w:szCs w:val="20"/>
                <w:color w:val="auto"/>
              </w:rPr>
            </w:pPr>
            <w:r>
              <w:rPr>
                <w:rFonts w:ascii="Arial" w:cs="Arial" w:eastAsia="Arial" w:hAnsi="Arial"/>
                <w:sz w:val="18"/>
                <w:szCs w:val="18"/>
                <w:color w:val="auto"/>
              </w:rPr>
              <w:t>Non-GAAP research and development</w:t>
            </w: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270,313</w:t>
            </w:r>
          </w:p>
        </w:tc>
        <w:tc>
          <w:tcPr>
            <w:tcW w:w="1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260,868</w:t>
            </w:r>
          </w:p>
        </w:tc>
        <w:tc>
          <w:tcPr>
            <w:tcW w:w="4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255,373</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0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8060" w:type="dxa"/>
            <w:vAlign w:val="bottom"/>
            <w:shd w:val="clear" w:color="auto" w:fill="CCEEFF"/>
          </w:tcPr>
          <w:p>
            <w:pPr>
              <w:spacing w:after="0"/>
              <w:rPr>
                <w:sz w:val="20"/>
                <w:szCs w:val="20"/>
                <w:color w:val="auto"/>
              </w:rPr>
            </w:pPr>
            <w:r>
              <w:rPr>
                <w:rFonts w:ascii="Arial" w:cs="Arial" w:eastAsia="Arial" w:hAnsi="Arial"/>
                <w:sz w:val="18"/>
                <w:szCs w:val="18"/>
                <w:color w:val="auto"/>
              </w:rPr>
              <w:t>GAAP selling and marketing:</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38,358</w:t>
            </w:r>
          </w:p>
        </w:tc>
        <w:tc>
          <w:tcPr>
            <w:tcW w:w="44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99"/>
              </w:rPr>
              <w:t>$</w:t>
            </w:r>
          </w:p>
        </w:tc>
        <w:tc>
          <w:tcPr>
            <w:tcW w:w="10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36,665</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39,989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tcPr>
          <w:p>
            <w:pPr>
              <w:ind w:left="340"/>
              <w:spacing w:after="0"/>
              <w:rPr>
                <w:sz w:val="20"/>
                <w:szCs w:val="20"/>
                <w:color w:val="auto"/>
              </w:rPr>
            </w:pPr>
            <w:r>
              <w:rPr>
                <w:rFonts w:ascii="Arial" w:cs="Arial" w:eastAsia="Arial" w:hAnsi="Arial"/>
                <w:sz w:val="18"/>
                <w:szCs w:val="18"/>
                <w:color w:val="auto"/>
              </w:rPr>
              <w:t>Share-based compensation</w:t>
            </w:r>
          </w:p>
        </w:tc>
        <w:tc>
          <w:tcPr>
            <w:tcW w:w="100" w:type="dxa"/>
            <w:vAlign w:val="bottom"/>
          </w:tcPr>
          <w:p>
            <w:pPr>
              <w:spacing w:after="0"/>
              <w:rPr>
                <w:sz w:val="18"/>
                <w:szCs w:val="18"/>
                <w:color w:val="auto"/>
              </w:rPr>
            </w:pPr>
          </w:p>
        </w:tc>
        <w:tc>
          <w:tcPr>
            <w:tcW w:w="780" w:type="dxa"/>
            <w:vAlign w:val="bottom"/>
            <w:gridSpan w:val="2"/>
          </w:tcPr>
          <w:p>
            <w:pPr>
              <w:jc w:val="right"/>
              <w:ind w:right="120"/>
              <w:spacing w:after="0"/>
              <w:rPr>
                <w:sz w:val="20"/>
                <w:szCs w:val="20"/>
                <w:color w:val="auto"/>
              </w:rPr>
            </w:pPr>
            <w:r>
              <w:rPr>
                <w:rFonts w:ascii="Arial" w:cs="Arial" w:eastAsia="Arial" w:hAnsi="Arial"/>
                <w:sz w:val="18"/>
                <w:szCs w:val="18"/>
                <w:color w:val="auto"/>
              </w:rPr>
              <w:t>(2,928)</w:t>
            </w: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gridSpan w:val="2"/>
          </w:tcPr>
          <w:p>
            <w:pPr>
              <w:jc w:val="right"/>
              <w:ind w:right="340"/>
              <w:spacing w:after="0"/>
              <w:rPr>
                <w:sz w:val="20"/>
                <w:szCs w:val="20"/>
                <w:color w:val="auto"/>
              </w:rPr>
            </w:pPr>
            <w:r>
              <w:rPr>
                <w:rFonts w:ascii="Arial" w:cs="Arial" w:eastAsia="Arial" w:hAnsi="Arial"/>
                <w:sz w:val="18"/>
                <w:szCs w:val="18"/>
                <w:color w:val="auto"/>
              </w:rPr>
              <w:t>(3,162)</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140"/>
              <w:spacing w:after="0"/>
              <w:rPr>
                <w:sz w:val="20"/>
                <w:szCs w:val="20"/>
                <w:color w:val="auto"/>
              </w:rPr>
            </w:pPr>
            <w:r>
              <w:rPr>
                <w:rFonts w:ascii="Arial" w:cs="Arial" w:eastAsia="Arial" w:hAnsi="Arial"/>
                <w:sz w:val="18"/>
                <w:szCs w:val="18"/>
                <w:color w:val="auto"/>
              </w:rPr>
              <w:t>(3,392)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(45)</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8060" w:type="dxa"/>
            <w:vAlign w:val="bottom"/>
          </w:tcPr>
          <w:p>
            <w:pPr>
              <w:ind w:left="340"/>
              <w:spacing w:after="0"/>
              <w:rPr>
                <w:sz w:val="20"/>
                <w:szCs w:val="20"/>
                <w:color w:val="auto"/>
              </w:rPr>
            </w:pPr>
            <w:r>
              <w:rPr>
                <w:rFonts w:ascii="Arial" w:cs="Arial" w:eastAsia="Arial" w:hAnsi="Arial"/>
                <w:sz w:val="18"/>
                <w:szCs w:val="18"/>
                <w:color w:val="auto"/>
              </w:rPr>
              <w:t xml:space="preserve">Restructuring and other exit-related costs </w:t>
            </w:r>
            <w:r>
              <w:rPr>
                <w:rFonts w:ascii="Arial" w:cs="Arial" w:eastAsia="Arial" w:hAnsi="Arial"/>
                <w:sz w:val="18"/>
                <w:szCs w:val="18"/>
                <w:i w:val="1"/>
                <w:iCs w:val="1"/>
                <w:color w:val="auto"/>
              </w:rPr>
              <w:t>(b)</w:t>
            </w:r>
          </w:p>
        </w:tc>
        <w:tc>
          <w:tcPr>
            <w:tcW w:w="100" w:type="dxa"/>
            <w:vAlign w:val="bottom"/>
          </w:tcPr>
          <w:p>
            <w:pPr>
              <w:spacing w:after="0"/>
              <w:rPr>
                <w:sz w:val="19"/>
                <w:szCs w:val="19"/>
                <w:color w:val="auto"/>
              </w:rPr>
            </w:pPr>
          </w:p>
        </w:tc>
        <w:tc>
          <w:tcPr>
            <w:tcW w:w="780" w:type="dxa"/>
            <w:vAlign w:val="bottom"/>
            <w:gridSpan w:val="2"/>
          </w:tcPr>
          <w:p>
            <w:pPr>
              <w:jc w:val="right"/>
              <w:ind w:right="120"/>
              <w:spacing w:after="0"/>
              <w:rPr>
                <w:sz w:val="20"/>
                <w:szCs w:val="20"/>
                <w:color w:val="auto"/>
              </w:rPr>
            </w:pPr>
            <w:r>
              <w:rPr>
                <w:rFonts w:ascii="Arial" w:cs="Arial" w:eastAsia="Arial" w:hAnsi="Arial"/>
                <w:sz w:val="18"/>
                <w:szCs w:val="18"/>
                <w:color w:val="auto"/>
              </w:rPr>
              <w:t>(48)</w:t>
            </w:r>
          </w:p>
        </w:tc>
        <w:tc>
          <w:tcPr>
            <w:tcW w:w="3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20" w:type="dxa"/>
            <w:vAlign w:val="bottom"/>
            <w:gridSpan w:val="2"/>
          </w:tcPr>
          <w:p>
            <w:pPr>
              <w:jc w:val="right"/>
              <w:ind w:right="5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shd w:val="clear" w:color="auto" w:fill="CCEEFF"/>
          </w:tcPr>
          <w:p>
            <w:pPr>
              <w:spacing w:after="0"/>
              <w:rPr>
                <w:sz w:val="20"/>
                <w:szCs w:val="20"/>
                <w:color w:val="auto"/>
              </w:rPr>
            </w:pPr>
            <w:r>
              <w:rPr>
                <w:rFonts w:ascii="Arial" w:cs="Arial" w:eastAsia="Arial" w:hAnsi="Arial"/>
                <w:sz w:val="18"/>
                <w:szCs w:val="18"/>
                <w:color w:val="auto"/>
              </w:rPr>
              <w:t>Non-GAAP selling and marketing</w:t>
            </w: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35,382</w:t>
            </w:r>
          </w:p>
        </w:tc>
        <w:tc>
          <w:tcPr>
            <w:tcW w:w="1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33,503</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36,552</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8080" w:type="dxa"/>
            <w:vAlign w:val="bottom"/>
            <w:gridSpan w:val="2"/>
            <w:vMerge w:val="restart"/>
          </w:tcPr>
          <w:p>
            <w:pPr>
              <w:spacing w:after="0"/>
              <w:rPr>
                <w:sz w:val="20"/>
                <w:szCs w:val="20"/>
                <w:color w:val="auto"/>
              </w:rPr>
            </w:pPr>
            <w:r>
              <w:rPr>
                <w:rFonts w:ascii="Arial" w:cs="Arial" w:eastAsia="Arial" w:hAnsi="Arial"/>
                <w:sz w:val="18"/>
                <w:szCs w:val="18"/>
                <w:color w:val="auto"/>
              </w:rPr>
              <w:t>GAAP general and administrative:</w:t>
            </w:r>
          </w:p>
        </w:tc>
        <w:tc>
          <w:tcPr>
            <w:tcW w:w="100" w:type="dxa"/>
            <w:vAlign w:val="bottom"/>
          </w:tcPr>
          <w:p>
            <w:pPr>
              <w:spacing w:after="0" w:line="20" w:lineRule="exact"/>
              <w:rPr>
                <w:sz w:val="1"/>
                <w:szCs w:val="1"/>
                <w:color w:val="auto"/>
              </w:rPr>
            </w:pPr>
          </w:p>
        </w:tc>
        <w:tc>
          <w:tcPr>
            <w:tcW w:w="780" w:type="dxa"/>
            <w:vAlign w:val="bottom"/>
            <w:gridSpan w:val="2"/>
          </w:tcPr>
          <w:p>
            <w:pPr>
              <w:spacing w:after="0" w:line="20" w:lineRule="exact"/>
              <w:rPr>
                <w:sz w:val="1"/>
                <w:szCs w:val="1"/>
                <w:color w:val="auto"/>
              </w:rPr>
            </w:pPr>
          </w:p>
        </w:tc>
        <w:tc>
          <w:tcPr>
            <w:tcW w:w="440" w:type="dxa"/>
            <w:vAlign w:val="bottom"/>
            <w:gridSpan w:val="2"/>
          </w:tcPr>
          <w:p>
            <w:pPr>
              <w:spacing w:after="0" w:line="20" w:lineRule="exact"/>
              <w:rPr>
                <w:sz w:val="1"/>
                <w:szCs w:val="1"/>
                <w:color w:val="auto"/>
              </w:rPr>
            </w:pPr>
          </w:p>
        </w:tc>
        <w:tc>
          <w:tcPr>
            <w:tcW w:w="1020" w:type="dxa"/>
            <w:vAlign w:val="bottom"/>
            <w:gridSpan w:val="2"/>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8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8080" w:type="dxa"/>
            <w:vAlign w:val="bottom"/>
            <w:gridSpan w:val="2"/>
            <w:vMerge w:val="continue"/>
          </w:tcPr>
          <w:p>
            <w:pPr>
              <w:spacing w:after="0"/>
              <w:rPr>
                <w:sz w:val="18"/>
                <w:szCs w:val="18"/>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30,573</w:t>
            </w:r>
          </w:p>
        </w:tc>
        <w:tc>
          <w:tcPr>
            <w:tcW w:w="1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0" w:type="dxa"/>
            <w:vAlign w:val="bottom"/>
            <w:tcBorders>
              <w:top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26,367</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26,323</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Share-based compensation</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(4,374)</w:t>
            </w: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(5,222)</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(4,975)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tcPr>
          <w:p>
            <w:pPr>
              <w:ind w:left="34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100" w:type="dxa"/>
            <w:vAlign w:val="bottom"/>
          </w:tcPr>
          <w:p>
            <w:pPr>
              <w:spacing w:after="0"/>
              <w:rPr>
                <w:sz w:val="18"/>
                <w:szCs w:val="18"/>
                <w:color w:val="auto"/>
              </w:rPr>
            </w:pPr>
          </w:p>
        </w:tc>
        <w:tc>
          <w:tcPr>
            <w:tcW w:w="78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gridSpan w:val="2"/>
          </w:tcPr>
          <w:p>
            <w:pPr>
              <w:jc w:val="right"/>
              <w:ind w:right="340"/>
              <w:spacing w:after="0"/>
              <w:rPr>
                <w:sz w:val="20"/>
                <w:szCs w:val="20"/>
                <w:color w:val="auto"/>
              </w:rPr>
            </w:pPr>
            <w:r>
              <w:rPr>
                <w:rFonts w:ascii="Arial" w:cs="Arial" w:eastAsia="Arial" w:hAnsi="Arial"/>
                <w:sz w:val="18"/>
                <w:szCs w:val="18"/>
                <w:color w:val="auto"/>
              </w:rPr>
              <w:t>(5)</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140"/>
              <w:spacing w:after="0"/>
              <w:rPr>
                <w:sz w:val="20"/>
                <w:szCs w:val="20"/>
                <w:color w:val="auto"/>
              </w:rPr>
            </w:pPr>
            <w:r>
              <w:rPr>
                <w:rFonts w:ascii="Arial" w:cs="Arial" w:eastAsia="Arial" w:hAnsi="Arial"/>
                <w:sz w:val="18"/>
                <w:szCs w:val="18"/>
                <w:color w:val="auto"/>
              </w:rPr>
              <w:t>(20)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Restructuring and other exit-related costs </w:t>
            </w:r>
            <w:r>
              <w:rPr>
                <w:rFonts w:ascii="Arial" w:cs="Arial" w:eastAsia="Arial" w:hAnsi="Arial"/>
                <w:sz w:val="18"/>
                <w:szCs w:val="18"/>
                <w:i w:val="1"/>
                <w:iCs w:val="1"/>
                <w:color w:val="auto"/>
              </w:rPr>
              <w:t>(b)</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(358)</w:t>
            </w: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(118)</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(228)</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8060" w:type="dxa"/>
            <w:vAlign w:val="bottom"/>
          </w:tcPr>
          <w:p>
            <w:pPr>
              <w:ind w:left="340"/>
              <w:spacing w:after="0"/>
              <w:rPr>
                <w:sz w:val="20"/>
                <w:szCs w:val="20"/>
                <w:color w:val="auto"/>
              </w:rPr>
            </w:pPr>
            <w:r>
              <w:rPr>
                <w:rFonts w:ascii="Arial" w:cs="Arial" w:eastAsia="Arial" w:hAnsi="Arial"/>
                <w:sz w:val="18"/>
                <w:szCs w:val="18"/>
                <w:color w:val="auto"/>
              </w:rPr>
              <w:t xml:space="preserve">Legal/Tax related matters </w:t>
            </w:r>
            <w:r>
              <w:rPr>
                <w:rFonts w:ascii="Arial" w:cs="Arial" w:eastAsia="Arial" w:hAnsi="Arial"/>
                <w:sz w:val="18"/>
                <w:szCs w:val="18"/>
                <w:i w:val="1"/>
                <w:iCs w:val="1"/>
                <w:color w:val="auto"/>
              </w:rPr>
              <w:t>(c)</w:t>
            </w:r>
          </w:p>
        </w:tc>
        <w:tc>
          <w:tcPr>
            <w:tcW w:w="100" w:type="dxa"/>
            <w:vAlign w:val="bottom"/>
          </w:tcPr>
          <w:p>
            <w:pPr>
              <w:spacing w:after="0"/>
              <w:rPr>
                <w:sz w:val="19"/>
                <w:szCs w:val="19"/>
                <w:color w:val="auto"/>
              </w:rPr>
            </w:pPr>
          </w:p>
        </w:tc>
        <w:tc>
          <w:tcPr>
            <w:tcW w:w="780" w:type="dxa"/>
            <w:vAlign w:val="bottom"/>
            <w:gridSpan w:val="2"/>
          </w:tcPr>
          <w:p>
            <w:pPr>
              <w:jc w:val="right"/>
              <w:ind w:right="120"/>
              <w:spacing w:after="0"/>
              <w:rPr>
                <w:sz w:val="20"/>
                <w:szCs w:val="20"/>
                <w:color w:val="auto"/>
              </w:rPr>
            </w:pPr>
            <w:r>
              <w:rPr>
                <w:rFonts w:ascii="Arial" w:cs="Arial" w:eastAsia="Arial" w:hAnsi="Arial"/>
                <w:sz w:val="18"/>
                <w:szCs w:val="18"/>
                <w:color w:val="auto"/>
              </w:rPr>
              <w:t>(2,000)</w:t>
            </w:r>
          </w:p>
        </w:tc>
        <w:tc>
          <w:tcPr>
            <w:tcW w:w="3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20" w:type="dxa"/>
            <w:vAlign w:val="bottom"/>
            <w:gridSpan w:val="2"/>
          </w:tcPr>
          <w:p>
            <w:pPr>
              <w:jc w:val="right"/>
              <w:ind w:right="5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shd w:val="clear" w:color="auto" w:fill="CCEEFF"/>
          </w:tcPr>
          <w:p>
            <w:pPr>
              <w:spacing w:after="0"/>
              <w:rPr>
                <w:sz w:val="20"/>
                <w:szCs w:val="20"/>
                <w:color w:val="auto"/>
              </w:rPr>
            </w:pPr>
            <w:r>
              <w:rPr>
                <w:rFonts w:ascii="Arial" w:cs="Arial" w:eastAsia="Arial" w:hAnsi="Arial"/>
                <w:sz w:val="18"/>
                <w:szCs w:val="18"/>
                <w:color w:val="auto"/>
              </w:rPr>
              <w:t>Non-GAAP general and administrative</w:t>
            </w: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23,841</w:t>
            </w:r>
          </w:p>
        </w:tc>
        <w:tc>
          <w:tcPr>
            <w:tcW w:w="1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21,022</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21,100</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0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ind w:left="460" w:hanging="452"/>
        <w:spacing w:after="0"/>
        <w:tabs>
          <w:tab w:leader="none" w:pos="460" w:val="left"/>
        </w:tabs>
        <w:numPr>
          <w:ilvl w:val="0"/>
          <w:numId w:val="10"/>
        </w:numPr>
        <w:rPr>
          <w:rFonts w:ascii="Arial" w:cs="Arial" w:eastAsia="Arial" w:hAnsi="Arial"/>
          <w:sz w:val="18"/>
          <w:szCs w:val="18"/>
          <w:i w:val="1"/>
          <w:iCs w:val="1"/>
          <w:color w:val="auto"/>
        </w:rPr>
      </w:pPr>
      <w:r>
        <w:rPr>
          <w:rFonts w:ascii="Arial" w:cs="Arial" w:eastAsia="Arial" w:hAnsi="Arial"/>
          <w:sz w:val="18"/>
          <w:szCs w:val="18"/>
          <w:color w:val="auto"/>
        </w:rPr>
        <w:t>Acquisition-related costs include the amortization of retention bonuses required by the terms of an acquisition.</w:t>
      </w:r>
    </w:p>
    <w:p>
      <w:pPr>
        <w:spacing w:after="0" w:line="130" w:lineRule="exact"/>
        <w:rPr>
          <w:rFonts w:ascii="Arial" w:cs="Arial" w:eastAsia="Arial" w:hAnsi="Arial"/>
          <w:sz w:val="18"/>
          <w:szCs w:val="18"/>
          <w:i w:val="1"/>
          <w:iCs w:val="1"/>
          <w:color w:val="auto"/>
        </w:rPr>
      </w:pPr>
    </w:p>
    <w:p>
      <w:pPr>
        <w:ind w:left="460" w:right="300" w:hanging="452"/>
        <w:spacing w:after="0" w:line="277" w:lineRule="auto"/>
        <w:tabs>
          <w:tab w:leader="none" w:pos="460" w:val="left"/>
        </w:tabs>
        <w:numPr>
          <w:ilvl w:val="0"/>
          <w:numId w:val="10"/>
        </w:numPr>
        <w:rPr>
          <w:rFonts w:ascii="Arial" w:cs="Arial" w:eastAsia="Arial" w:hAnsi="Arial"/>
          <w:sz w:val="18"/>
          <w:szCs w:val="18"/>
          <w:i w:val="1"/>
          <w:iCs w:val="1"/>
          <w:color w:val="auto"/>
        </w:rPr>
      </w:pPr>
      <w:r>
        <w:rPr>
          <w:rFonts w:ascii="Arial" w:cs="Arial" w:eastAsia="Arial" w:hAnsi="Arial"/>
          <w:sz w:val="18"/>
          <w:szCs w:val="18"/>
          <w:color w:val="auto"/>
        </w:rPr>
        <w:t>Restructuring and other exit-related costs include costs that qualify under U.S. GAAP as restructuring costs, as well as operating expenses related to assets classified as held-for-sale that did not qualify as discontinued operations.</w:t>
      </w:r>
    </w:p>
    <w:p>
      <w:pPr>
        <w:spacing w:after="0" w:line="75" w:lineRule="exact"/>
        <w:rPr>
          <w:rFonts w:ascii="Arial" w:cs="Arial" w:eastAsia="Arial" w:hAnsi="Arial"/>
          <w:sz w:val="18"/>
          <w:szCs w:val="18"/>
          <w:i w:val="1"/>
          <w:iCs w:val="1"/>
          <w:color w:val="auto"/>
        </w:rPr>
      </w:pPr>
    </w:p>
    <w:p>
      <w:pPr>
        <w:ind w:left="460" w:right="140" w:hanging="452"/>
        <w:spacing w:after="0" w:line="277" w:lineRule="auto"/>
        <w:tabs>
          <w:tab w:leader="none" w:pos="460" w:val="left"/>
        </w:tabs>
        <w:numPr>
          <w:ilvl w:val="0"/>
          <w:numId w:val="10"/>
        </w:numPr>
        <w:rPr>
          <w:rFonts w:ascii="Arial" w:cs="Arial" w:eastAsia="Arial" w:hAnsi="Arial"/>
          <w:sz w:val="18"/>
          <w:szCs w:val="18"/>
          <w:i w:val="1"/>
          <w:iCs w:val="1"/>
          <w:color w:val="auto"/>
        </w:rPr>
      </w:pPr>
      <w:r>
        <w:rPr>
          <w:rFonts w:ascii="Arial" w:cs="Arial" w:eastAsia="Arial" w:hAnsi="Arial"/>
          <w:sz w:val="18"/>
          <w:szCs w:val="18"/>
          <w:color w:val="auto"/>
        </w:rPr>
        <w:t>Legal/Tax related matters include settlement fees related to litigation matters. The amounts recorded do not relate to Marvell's litigation with Carnegie Mellon University.</w:t>
      </w:r>
    </w:p>
    <w:p>
      <w:pPr>
        <w:spacing w:after="0" w:line="75" w:lineRule="exact"/>
        <w:rPr>
          <w:rFonts w:ascii="Arial" w:cs="Arial" w:eastAsia="Arial" w:hAnsi="Arial"/>
          <w:sz w:val="18"/>
          <w:szCs w:val="18"/>
          <w:i w:val="1"/>
          <w:iCs w:val="1"/>
          <w:color w:val="auto"/>
        </w:rPr>
      </w:pPr>
    </w:p>
    <w:p>
      <w:pPr>
        <w:ind w:left="460" w:right="100" w:hanging="452"/>
        <w:spacing w:after="0" w:line="342" w:lineRule="auto"/>
        <w:tabs>
          <w:tab w:leader="none" w:pos="460" w:val="left"/>
        </w:tabs>
        <w:numPr>
          <w:ilvl w:val="0"/>
          <w:numId w:val="10"/>
        </w:numPr>
        <w:rPr>
          <w:rFonts w:ascii="Arial" w:cs="Arial" w:eastAsia="Arial" w:hAnsi="Arial"/>
          <w:sz w:val="16"/>
          <w:szCs w:val="16"/>
          <w:i w:val="1"/>
          <w:iCs w:val="1"/>
          <w:color w:val="auto"/>
        </w:rPr>
      </w:pPr>
      <w:r>
        <w:rPr>
          <w:rFonts w:ascii="Arial" w:cs="Arial" w:eastAsia="Arial" w:hAnsi="Arial"/>
          <w:sz w:val="16"/>
          <w:szCs w:val="16"/>
          <w:color w:val="auto"/>
        </w:rPr>
        <w:t>For purposes of calculating non-GAAP diluted net income per share, the GAAP diluted weighted average shares outstanding is adjusted to exclude the potential benefits of share-based compensation costs expected to be incurred in future periods but not yet recognized in the financial statements.</w:t>
      </w:r>
    </w:p>
    <w:p>
      <w:pPr>
        <w:sectPr>
          <w:pgSz w:w="11900" w:h="16838" w:orient="portrait"/>
          <w:cols w:equalWidth="0" w:num="1">
            <w:col w:w="11420"/>
          </w:cols>
          <w:pgMar w:left="240" w:top="270" w:right="239" w:bottom="1440" w:gutter="0" w:footer="0" w:header="0"/>
        </w:sectPr>
      </w:pPr>
    </w:p>
    <w:p>
      <w:pPr>
        <w:spacing w:after="0" w:line="56"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9</w:t>
      </w:r>
    </w:p>
    <w:p>
      <w:pPr>
        <w:sectPr>
          <w:pgSz w:w="11900" w:h="16838" w:orient="portrait"/>
          <w:cols w:equalWidth="0" w:num="1">
            <w:col w:w="11420"/>
          </w:cols>
          <w:pgMar w:left="240" w:top="270" w:right="239" w:bottom="1440" w:gutter="0" w:footer="0" w:header="0"/>
          <w:type w:val="continuous"/>
        </w:sectPr>
      </w:pPr>
    </w:p>
    <w:bookmarkStart w:id="15" w:name="page16"/>
    <w:bookmarkEnd w:id="15"/>
    <w:p>
      <w:pPr>
        <w:ind w:left="448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117" w:lineRule="exact"/>
        <w:rPr>
          <w:sz w:val="20"/>
          <w:szCs w:val="20"/>
          <w:color w:val="auto"/>
        </w:rPr>
      </w:pPr>
    </w:p>
    <w:p>
      <w:pPr>
        <w:ind w:left="3740"/>
        <w:spacing w:after="0"/>
        <w:rPr>
          <w:sz w:val="20"/>
          <w:szCs w:val="20"/>
          <w:color w:val="auto"/>
        </w:rPr>
      </w:pPr>
      <w:r>
        <w:rPr>
          <w:rFonts w:ascii="Arial" w:cs="Arial" w:eastAsia="Arial" w:hAnsi="Arial"/>
          <w:sz w:val="18"/>
          <w:szCs w:val="18"/>
          <w:b w:val="1"/>
          <w:bCs w:val="1"/>
          <w:color w:val="auto"/>
        </w:rPr>
        <w:t>Reconciliations from GAAP to Non-GAAP Outlook</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millions, except per share amounts)</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052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Note : Amounts represent the midpoint of the expected range</w:t>
            </w:r>
          </w:p>
        </w:tc>
        <w:tc>
          <w:tcPr>
            <w:tcW w:w="900" w:type="dxa"/>
            <w:vAlign w:val="bottom"/>
            <w:gridSpan w:val="3"/>
          </w:tcPr>
          <w:p>
            <w:pPr>
              <w:jc w:val="right"/>
              <w:ind w:right="200"/>
              <w:spacing w:after="0"/>
              <w:rPr>
                <w:sz w:val="20"/>
                <w:szCs w:val="20"/>
                <w:color w:val="auto"/>
              </w:rPr>
            </w:pPr>
            <w:r>
              <w:rPr>
                <w:rFonts w:ascii="Arial" w:cs="Arial" w:eastAsia="Arial" w:hAnsi="Arial"/>
                <w:sz w:val="14"/>
                <w:szCs w:val="14"/>
                <w:b w:val="1"/>
                <w:bCs w:val="1"/>
                <w:color w:val="auto"/>
                <w:w w:val="94"/>
              </w:rPr>
              <w:t>Q2 FY2015</w:t>
            </w:r>
          </w:p>
        </w:tc>
        <w:tc>
          <w:tcPr>
            <w:tcW w:w="0" w:type="dxa"/>
            <w:vAlign w:val="bottom"/>
          </w:tcPr>
          <w:p>
            <w:pPr>
              <w:spacing w:after="0"/>
              <w:rPr>
                <w:sz w:val="1"/>
                <w:szCs w:val="1"/>
                <w:color w:val="auto"/>
              </w:rPr>
            </w:pPr>
          </w:p>
        </w:tc>
      </w:tr>
      <w:tr>
        <w:trPr>
          <w:trHeight w:val="171"/>
        </w:trPr>
        <w:tc>
          <w:tcPr>
            <w:tcW w:w="10520" w:type="dxa"/>
            <w:vAlign w:val="bottom"/>
            <w:gridSpan w:val="2"/>
            <w:vMerge w:val="continue"/>
          </w:tcPr>
          <w:p>
            <w:pPr>
              <w:spacing w:after="0"/>
              <w:rPr>
                <w:sz w:val="14"/>
                <w:szCs w:val="14"/>
                <w:color w:val="auto"/>
              </w:rPr>
            </w:pPr>
          </w:p>
        </w:tc>
        <w:tc>
          <w:tcPr>
            <w:tcW w:w="80" w:type="dxa"/>
            <w:vAlign w:val="bottom"/>
          </w:tcPr>
          <w:p>
            <w:pPr>
              <w:spacing w:after="0"/>
              <w:rPr>
                <w:sz w:val="14"/>
                <w:szCs w:val="14"/>
                <w:color w:val="auto"/>
              </w:rPr>
            </w:pPr>
          </w:p>
        </w:tc>
        <w:tc>
          <w:tcPr>
            <w:tcW w:w="82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94"/>
              </w:rPr>
              <w:t>Outlook</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0500" w:type="dxa"/>
            <w:vAlign w:val="bottom"/>
            <w:vMerge w:val="restart"/>
            <w:shd w:val="clear" w:color="auto" w:fill="CCEEFF"/>
          </w:tcPr>
          <w:p>
            <w:pPr>
              <w:spacing w:after="0"/>
              <w:rPr>
                <w:sz w:val="20"/>
                <w:szCs w:val="20"/>
                <w:color w:val="auto"/>
              </w:rPr>
            </w:pPr>
            <w:r>
              <w:rPr>
                <w:rFonts w:ascii="Arial" w:cs="Arial" w:eastAsia="Arial" w:hAnsi="Arial"/>
                <w:sz w:val="18"/>
                <w:szCs w:val="18"/>
                <w:color w:val="auto"/>
              </w:rPr>
              <w:t>GAAP gross margin</w:t>
            </w:r>
          </w:p>
        </w:tc>
        <w:tc>
          <w:tcPr>
            <w:tcW w:w="8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10500" w:type="dxa"/>
            <w:vAlign w:val="bottom"/>
            <w:vMerge w:val="continue"/>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49.7%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500" w:type="dxa"/>
            <w:vAlign w:val="bottom"/>
          </w:tcPr>
          <w:p>
            <w:pPr>
              <w:ind w:left="340"/>
              <w:spacing w:after="0"/>
              <w:rPr>
                <w:sz w:val="20"/>
                <w:szCs w:val="20"/>
                <w:color w:val="auto"/>
              </w:rPr>
            </w:pPr>
            <w:r>
              <w:rPr>
                <w:rFonts w:ascii="Arial" w:cs="Arial" w:eastAsia="Arial" w:hAnsi="Arial"/>
                <w:sz w:val="18"/>
                <w:szCs w:val="18"/>
                <w:color w:val="auto"/>
              </w:rPr>
              <w:t>Share-based compensation, acquisition related costs, and other</w:t>
            </w:r>
          </w:p>
        </w:tc>
        <w:tc>
          <w:tcPr>
            <w:tcW w:w="80" w:type="dxa"/>
            <w:vAlign w:val="bottom"/>
          </w:tcPr>
          <w:p>
            <w:pPr>
              <w:spacing w:after="0"/>
              <w:rPr>
                <w:sz w:val="18"/>
                <w:szCs w:val="18"/>
                <w:color w:val="auto"/>
              </w:rPr>
            </w:pPr>
          </w:p>
        </w:tc>
        <w:tc>
          <w:tcPr>
            <w:tcW w:w="820" w:type="dxa"/>
            <w:vAlign w:val="bottom"/>
            <w:gridSpan w:val="2"/>
          </w:tcPr>
          <w:p>
            <w:pPr>
              <w:jc w:val="right"/>
              <w:ind w:right="60"/>
              <w:spacing w:after="0"/>
              <w:rPr>
                <w:sz w:val="20"/>
                <w:szCs w:val="20"/>
                <w:color w:val="auto"/>
              </w:rPr>
            </w:pPr>
            <w:r>
              <w:rPr>
                <w:rFonts w:ascii="Arial" w:cs="Arial" w:eastAsia="Arial" w:hAnsi="Arial"/>
                <w:sz w:val="18"/>
                <w:szCs w:val="18"/>
                <w:color w:val="auto"/>
              </w:rPr>
              <w:t>0.3%</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105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10500" w:type="dxa"/>
            <w:vAlign w:val="bottom"/>
            <w:shd w:val="clear" w:color="auto" w:fill="CCEEFF"/>
          </w:tcPr>
          <w:p>
            <w:pPr>
              <w:spacing w:after="0"/>
              <w:rPr>
                <w:sz w:val="20"/>
                <w:szCs w:val="20"/>
                <w:color w:val="auto"/>
              </w:rPr>
            </w:pPr>
            <w:r>
              <w:rPr>
                <w:rFonts w:ascii="Arial" w:cs="Arial" w:eastAsia="Arial" w:hAnsi="Arial"/>
                <w:sz w:val="18"/>
                <w:szCs w:val="18"/>
                <w:color w:val="auto"/>
              </w:rPr>
              <w:t>Non-GAAP gross margin</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50.0%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050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gridSpan w:val="2"/>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6"/>
        </w:trPr>
        <w:tc>
          <w:tcPr>
            <w:tcW w:w="20" w:type="dxa"/>
            <w:vAlign w:val="bottom"/>
          </w:tcPr>
          <w:p>
            <w:pPr>
              <w:spacing w:after="0"/>
              <w:rPr>
                <w:sz w:val="24"/>
                <w:szCs w:val="24"/>
                <w:color w:val="auto"/>
              </w:rPr>
            </w:pPr>
          </w:p>
        </w:tc>
        <w:tc>
          <w:tcPr>
            <w:tcW w:w="10500" w:type="dxa"/>
            <w:vAlign w:val="bottom"/>
          </w:tcPr>
          <w:p>
            <w:pPr>
              <w:spacing w:after="0"/>
              <w:rPr>
                <w:sz w:val="24"/>
                <w:szCs w:val="24"/>
                <w:color w:val="auto"/>
              </w:rPr>
            </w:pPr>
          </w:p>
        </w:tc>
        <w:tc>
          <w:tcPr>
            <w:tcW w:w="900" w:type="dxa"/>
            <w:vAlign w:val="bottom"/>
            <w:gridSpan w:val="3"/>
          </w:tcPr>
          <w:p>
            <w:pPr>
              <w:jc w:val="right"/>
              <w:ind w:right="200"/>
              <w:spacing w:after="0"/>
              <w:rPr>
                <w:sz w:val="20"/>
                <w:szCs w:val="20"/>
                <w:color w:val="auto"/>
              </w:rPr>
            </w:pPr>
            <w:r>
              <w:rPr>
                <w:rFonts w:ascii="Arial" w:cs="Arial" w:eastAsia="Arial" w:hAnsi="Arial"/>
                <w:sz w:val="14"/>
                <w:szCs w:val="14"/>
                <w:b w:val="1"/>
                <w:bCs w:val="1"/>
                <w:color w:val="auto"/>
                <w:w w:val="94"/>
              </w:rPr>
              <w:t>Q2 FY2015</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05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2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94"/>
              </w:rPr>
              <w:t>Outlook</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105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GAAP operating expenses</w:t>
            </w: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365</w:t>
            </w:r>
          </w:p>
        </w:tc>
        <w:tc>
          <w:tcPr>
            <w:tcW w:w="2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0500" w:type="dxa"/>
            <w:vAlign w:val="bottom"/>
          </w:tcPr>
          <w:p>
            <w:pPr>
              <w:ind w:left="340"/>
              <w:spacing w:after="0"/>
              <w:rPr>
                <w:sz w:val="20"/>
                <w:szCs w:val="20"/>
                <w:color w:val="auto"/>
              </w:rPr>
            </w:pPr>
            <w:r>
              <w:rPr>
                <w:rFonts w:ascii="Arial" w:cs="Arial" w:eastAsia="Arial" w:hAnsi="Arial"/>
                <w:sz w:val="18"/>
                <w:szCs w:val="18"/>
                <w:color w:val="auto"/>
              </w:rPr>
              <w:t>Share-based compensation, acquisition-related costs, restructuring, amortization of intangible assets and other</w:t>
            </w:r>
          </w:p>
        </w:tc>
        <w:tc>
          <w:tcPr>
            <w:tcW w:w="80" w:type="dxa"/>
            <w:vAlign w:val="bottom"/>
          </w:tcPr>
          <w:p>
            <w:pPr>
              <w:spacing w:after="0"/>
              <w:rPr>
                <w:sz w:val="19"/>
                <w:szCs w:val="19"/>
                <w:color w:val="auto"/>
              </w:rPr>
            </w:pP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rPr>
              <w:t>(35)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500" w:type="dxa"/>
            <w:vAlign w:val="bottom"/>
            <w:shd w:val="clear" w:color="auto" w:fill="CCEEFF"/>
          </w:tcPr>
          <w:p>
            <w:pPr>
              <w:spacing w:after="0"/>
              <w:rPr>
                <w:sz w:val="20"/>
                <w:szCs w:val="20"/>
                <w:color w:val="auto"/>
              </w:rPr>
            </w:pPr>
            <w:r>
              <w:rPr>
                <w:rFonts w:ascii="Arial" w:cs="Arial" w:eastAsia="Arial" w:hAnsi="Arial"/>
                <w:sz w:val="18"/>
                <w:szCs w:val="18"/>
                <w:color w:val="auto"/>
              </w:rPr>
              <w:t>Non-GAAP operating expenses</w:t>
            </w:r>
          </w:p>
        </w:tc>
        <w:tc>
          <w:tcPr>
            <w:tcW w:w="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330</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0500" w:type="dxa"/>
            <w:vAlign w:val="bottom"/>
          </w:tcPr>
          <w:p>
            <w:pPr>
              <w:spacing w:after="0" w:line="20" w:lineRule="exact"/>
              <w:rPr>
                <w:sz w:val="1"/>
                <w:szCs w:val="1"/>
                <w:color w:val="auto"/>
              </w:rPr>
            </w:pPr>
          </w:p>
        </w:tc>
        <w:tc>
          <w:tcPr>
            <w:tcW w:w="700" w:type="dxa"/>
            <w:vAlign w:val="bottom"/>
            <w:tcBorders>
              <w:bottom w:val="single" w:sz="8" w:color="auto"/>
            </w:tcBorders>
            <w:gridSpan w:val="2"/>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6"/>
        </w:trPr>
        <w:tc>
          <w:tcPr>
            <w:tcW w:w="20" w:type="dxa"/>
            <w:vAlign w:val="bottom"/>
          </w:tcPr>
          <w:p>
            <w:pPr>
              <w:spacing w:after="0"/>
              <w:rPr>
                <w:sz w:val="24"/>
                <w:szCs w:val="24"/>
                <w:color w:val="auto"/>
              </w:rPr>
            </w:pPr>
          </w:p>
        </w:tc>
        <w:tc>
          <w:tcPr>
            <w:tcW w:w="10500" w:type="dxa"/>
            <w:vAlign w:val="bottom"/>
          </w:tcPr>
          <w:p>
            <w:pPr>
              <w:spacing w:after="0"/>
              <w:rPr>
                <w:sz w:val="24"/>
                <w:szCs w:val="24"/>
                <w:color w:val="auto"/>
              </w:rPr>
            </w:pPr>
          </w:p>
        </w:tc>
        <w:tc>
          <w:tcPr>
            <w:tcW w:w="900" w:type="dxa"/>
            <w:vAlign w:val="bottom"/>
            <w:gridSpan w:val="3"/>
          </w:tcPr>
          <w:p>
            <w:pPr>
              <w:jc w:val="right"/>
              <w:ind w:right="200"/>
              <w:spacing w:after="0"/>
              <w:rPr>
                <w:sz w:val="20"/>
                <w:szCs w:val="20"/>
                <w:color w:val="auto"/>
              </w:rPr>
            </w:pPr>
            <w:r>
              <w:rPr>
                <w:rFonts w:ascii="Arial" w:cs="Arial" w:eastAsia="Arial" w:hAnsi="Arial"/>
                <w:sz w:val="14"/>
                <w:szCs w:val="14"/>
                <w:b w:val="1"/>
                <w:bCs w:val="1"/>
                <w:color w:val="auto"/>
                <w:w w:val="94"/>
              </w:rPr>
              <w:t>Q2 FY2015</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05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2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94"/>
              </w:rPr>
              <w:t>Outlook</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105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GAAP diluted earnings per share</w:t>
            </w: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0.21</w:t>
            </w:r>
          </w:p>
        </w:tc>
        <w:tc>
          <w:tcPr>
            <w:tcW w:w="2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0500" w:type="dxa"/>
            <w:vAlign w:val="bottom"/>
          </w:tcPr>
          <w:p>
            <w:pPr>
              <w:ind w:left="340"/>
              <w:spacing w:after="0"/>
              <w:rPr>
                <w:sz w:val="20"/>
                <w:szCs w:val="20"/>
                <w:color w:val="auto"/>
              </w:rPr>
            </w:pPr>
            <w:r>
              <w:rPr>
                <w:rFonts w:ascii="Arial" w:cs="Arial" w:eastAsia="Arial" w:hAnsi="Arial"/>
                <w:sz w:val="18"/>
                <w:szCs w:val="18"/>
                <w:color w:val="auto"/>
              </w:rPr>
              <w:t>Share-based compensation, acquisition-related costs, restructuring, amortization of intangible assets and other</w:t>
            </w:r>
          </w:p>
        </w:tc>
        <w:tc>
          <w:tcPr>
            <w:tcW w:w="80" w:type="dxa"/>
            <w:vAlign w:val="bottom"/>
            <w:tcBorders>
              <w:bottom w:val="single" w:sz="8" w:color="auto"/>
            </w:tcBorders>
          </w:tcPr>
          <w:p>
            <w:pPr>
              <w:spacing w:after="0"/>
              <w:rPr>
                <w:sz w:val="19"/>
                <w:szCs w:val="19"/>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0.07</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500" w:type="dxa"/>
            <w:vAlign w:val="bottom"/>
            <w:shd w:val="clear" w:color="auto" w:fill="CCEEFF"/>
          </w:tcPr>
          <w:p>
            <w:pPr>
              <w:spacing w:after="0"/>
              <w:rPr>
                <w:sz w:val="20"/>
                <w:szCs w:val="20"/>
                <w:color w:val="auto"/>
              </w:rPr>
            </w:pPr>
            <w:r>
              <w:rPr>
                <w:rFonts w:ascii="Arial" w:cs="Arial" w:eastAsia="Arial" w:hAnsi="Arial"/>
                <w:sz w:val="18"/>
                <w:szCs w:val="18"/>
                <w:color w:val="auto"/>
              </w:rPr>
              <w:t>Non-GAAP diluted earnings per share</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0.28</w:t>
            </w:r>
          </w:p>
        </w:tc>
        <w:tc>
          <w:tcPr>
            <w:tcW w:w="0" w:type="dxa"/>
            <w:vAlign w:val="bottom"/>
          </w:tcPr>
          <w:p>
            <w:pPr>
              <w:spacing w:after="0"/>
              <w:rPr>
                <w:sz w:val="1"/>
                <w:szCs w:val="1"/>
                <w:color w:val="auto"/>
              </w:rPr>
            </w:pPr>
          </w:p>
        </w:tc>
      </w:tr>
      <w:tr>
        <w:trPr>
          <w:trHeight w:val="20"/>
        </w:trPr>
        <w:tc>
          <w:tcPr>
            <w:tcW w:w="10520" w:type="dxa"/>
            <w:vAlign w:val="bottom"/>
            <w:gridSpan w:val="2"/>
            <w:vMerge w:val="restart"/>
          </w:tcPr>
          <w:p>
            <w:pPr>
              <w:jc w:val="right"/>
              <w:ind w:right="4630"/>
              <w:spacing w:after="0"/>
              <w:rPr>
                <w:sz w:val="20"/>
                <w:szCs w:val="20"/>
                <w:color w:val="auto"/>
              </w:rPr>
            </w:pPr>
            <w:r>
              <w:rPr>
                <w:rFonts w:ascii="Arial" w:cs="Arial" w:eastAsia="Arial" w:hAnsi="Arial"/>
                <w:sz w:val="18"/>
                <w:szCs w:val="18"/>
                <w:color w:val="auto"/>
              </w:rPr>
              <w:t>10</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10520" w:type="dxa"/>
            <w:vAlign w:val="bottom"/>
            <w:gridSpan w:val="2"/>
            <w:vMerge w:val="continue"/>
          </w:tcPr>
          <w:p>
            <w:pPr>
              <w:spacing w:after="0"/>
              <w:rPr>
                <w:sz w:val="24"/>
                <w:szCs w:val="24"/>
                <w:color w:val="auto"/>
              </w:rPr>
            </w:pPr>
          </w:p>
        </w:tc>
        <w:tc>
          <w:tcPr>
            <w:tcW w:w="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 w:lineRule="exact"/>
        <w:rPr>
          <w:sz w:val="20"/>
          <w:szCs w:val="20"/>
          <w:color w:val="auto"/>
        </w:rPr>
      </w:pPr>
    </w:p>
    <w:sectPr>
      <w:pgSz w:w="11900" w:h="16838" w:orient="portrait"/>
      <w:cols w:equalWidth="0" w:num="1">
        <w:col w:w="11420"/>
      </w:cols>
      <w:pgMar w:left="240" w:top="270"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D1B58BA"/>
    <w:multiLevelType w:val="hybridMultilevel"/>
    <w:lvl w:ilvl="0">
      <w:lvlJc w:val="left"/>
      <w:lvlText w:val="☐"/>
      <w:numFmt w:val="bullet"/>
      <w:start w:val="1"/>
    </w:lvl>
  </w:abstractNum>
  <w:abstractNum w:abstractNumId="1">
    <w:nsid w:val="507ED7AB"/>
    <w:multiLevelType w:val="hybridMultilevel"/>
    <w:lvl w:ilvl="0">
      <w:lvlJc w:val="left"/>
      <w:lvlText w:val="•"/>
      <w:numFmt w:val="bullet"/>
      <w:start w:val="1"/>
    </w:lvl>
  </w:abstractNum>
  <w:abstractNum w:abstractNumId="2">
    <w:nsid w:val="2EB141F2"/>
    <w:multiLevelType w:val="hybridMultilevel"/>
    <w:lvl w:ilvl="0">
      <w:lvlJc w:val="left"/>
      <w:lvlText w:val="•"/>
      <w:numFmt w:val="bullet"/>
      <w:start w:val="1"/>
    </w:lvl>
  </w:abstractNum>
  <w:abstractNum w:abstractNumId="3">
    <w:nsid w:val="41B71EFB"/>
    <w:multiLevelType w:val="hybridMultilevel"/>
    <w:lvl w:ilvl="0">
      <w:lvlJc w:val="left"/>
      <w:lvlText w:val="•"/>
      <w:numFmt w:val="bullet"/>
      <w:start w:val="1"/>
    </w:lvl>
  </w:abstractNum>
  <w:abstractNum w:abstractNumId="4">
    <w:nsid w:val="79E2A9E3"/>
    <w:multiLevelType w:val="hybridMultilevel"/>
    <w:lvl w:ilvl="0">
      <w:lvlJc w:val="left"/>
      <w:lvlText w:val="•"/>
      <w:numFmt w:val="bullet"/>
      <w:start w:val="1"/>
    </w:lvl>
  </w:abstractNum>
  <w:abstractNum w:abstractNumId="5">
    <w:nsid w:val="7545E146"/>
    <w:multiLevelType w:val="hybridMultilevel"/>
    <w:lvl w:ilvl="0">
      <w:lvlJc w:val="left"/>
      <w:lvlText w:val="(%1)"/>
      <w:numFmt w:val="lowerLetter"/>
      <w:start w:val="4"/>
    </w:lvl>
  </w:abstractNum>
  <w:abstractNum w:abstractNumId="6">
    <w:nsid w:val="515F007C"/>
    <w:multiLevelType w:val="hybridMultilevel"/>
    <w:lvl w:ilvl="0">
      <w:lvlJc w:val="left"/>
      <w:lvlText w:val="¡"/>
      <w:numFmt w:val="bullet"/>
      <w:start w:val="1"/>
    </w:lvl>
  </w:abstractNum>
  <w:abstractNum w:abstractNumId="7">
    <w:nsid w:val="5BD062C2"/>
    <w:multiLevelType w:val="hybridMultilevel"/>
    <w:lvl w:ilvl="0">
      <w:lvlJc w:val="left"/>
      <w:lvlText w:val="¡"/>
      <w:numFmt w:val="bullet"/>
      <w:start w:val="1"/>
    </w:lvl>
  </w:abstractNum>
  <w:abstractNum w:abstractNumId="8">
    <w:nsid w:val="12200854"/>
    <w:multiLevelType w:val="hybridMultilevel"/>
    <w:lvl w:ilvl="0">
      <w:lvlJc w:val="left"/>
      <w:lvlText w:val="(%1)"/>
      <w:numFmt w:val="lowerLetter"/>
      <w:start w:val="1"/>
    </w:lvl>
  </w:abstractNum>
  <w:abstractNum w:abstractNumId="9">
    <w:nsid w:val="4DB127F8"/>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jpe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2019-12-06T19:30:24Z</dcterms:created>
  <dcterms:modified xsi:type="dcterms:W3CDTF">2019-12-06T19:30:24Z</dcterms:modified>
</cp:coreProperties>
</file>