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67"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SCHEDULE 13G</w:t>
      </w:r>
    </w:p>
    <w:p>
      <w:pPr>
        <w:spacing w:after="0" w:line="253"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(Amendment No.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1" w:lineRule="exact"/>
        <w:rPr>
          <w:sz w:val="24"/>
          <w:szCs w:val="24"/>
          <w:color w:val="auto"/>
        </w:rPr>
      </w:pPr>
    </w:p>
    <w:p>
      <w:pPr>
        <w:jc w:val="center"/>
        <w:ind w:right="-15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(Name of Issuer)</w:t>
      </w:r>
    </w:p>
    <w:p>
      <w:pPr>
        <w:spacing w:after="0" w:line="313"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4"/>
          <w:szCs w:val="14"/>
          <w:b w:val="1"/>
          <w:bCs w:val="1"/>
          <w:color w:val="auto"/>
        </w:rPr>
        <w:t>(Title of Class of Securities)</w:t>
      </w:r>
    </w:p>
    <w:p>
      <w:pPr>
        <w:spacing w:after="0" w:line="299"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4"/>
          <w:szCs w:val="14"/>
          <w:b w:val="1"/>
          <w:bCs w:val="1"/>
          <w:color w:val="auto"/>
        </w:rPr>
        <w:t>(CUSIP Number)</w:t>
      </w:r>
    </w:p>
    <w:p>
      <w:pPr>
        <w:spacing w:after="0" w:line="299"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December 31, 2013</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224790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2"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171"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171"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171"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11" w:lineRule="exact"/>
        <w:rPr>
          <w:rFonts w:ascii="MS PGothic" w:cs="MS PGothic" w:eastAsia="MS PGothic" w:hAnsi="MS PGothic"/>
          <w:sz w:val="18"/>
          <w:szCs w:val="18"/>
          <w:color w:val="auto"/>
        </w:rPr>
      </w:pPr>
    </w:p>
    <w:p>
      <w:pPr>
        <w:ind w:left="460" w:hanging="44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14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85090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119380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Page 1 of 5</w:t>
      </w:r>
    </w:p>
    <w:p>
      <w:pPr>
        <w:sectPr>
          <w:pgSz w:w="11900" w:h="16838" w:orient="portrait"/>
          <w:cols w:equalWidth="0" w:num="1">
            <w:col w:w="11260"/>
          </w:cols>
          <w:pgMar w:left="240" w:top="422" w:right="39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62230</wp:posOffset>
            </wp:positionV>
            <wp:extent cx="7254875" cy="48964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4875" cy="4896485"/>
                    </a:xfrm>
                    <a:prstGeom prst="rect">
                      <a:avLst/>
                    </a:prstGeom>
                    <a:noFill/>
                  </pic:spPr>
                </pic:pic>
              </a:graphicData>
            </a:graphic>
          </wp:anchor>
        </w:drawing>
      </w:r>
    </w:p>
    <w:p>
      <w:pPr>
        <w:spacing w:after="0" w:line="84"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5"/>
          <w:szCs w:val="15"/>
          <w:color w:val="auto"/>
        </w:rPr>
        <w:t>Name of Reporting Person.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Dr. Pantas Sutardja</w:t>
            </w: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1102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1014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44"/>
        </w:trPr>
        <w:tc>
          <w:tcPr>
            <w:tcW w:w="36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11020" w:type="dxa"/>
            <w:vAlign w:val="bottom"/>
            <w:tcBorders>
              <w:bottom w:val="single" w:sz="8" w:color="auto"/>
            </w:tcBorders>
            <w:gridSpan w:val="4"/>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1020" w:type="dxa"/>
            <w:vAlign w:val="bottom"/>
            <w:tcBorders>
              <w:bottom w:val="single" w:sz="8" w:color="auto"/>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18"/>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415,500 shares</w:t>
            </w: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5"/>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100"/>
              <w:spacing w:after="0"/>
              <w:rPr>
                <w:sz w:val="20"/>
                <w:szCs w:val="20"/>
                <w:color w:val="auto"/>
              </w:rPr>
            </w:pPr>
            <w:r>
              <w:rPr>
                <w:rFonts w:ascii="Arial" w:cs="Arial" w:eastAsia="Arial" w:hAnsi="Arial"/>
                <w:sz w:val="22"/>
                <w:szCs w:val="22"/>
                <w:color w:val="auto"/>
              </w:rPr>
              <w:t>36,914,826 shares</w:t>
            </w: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1008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5"/>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1008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100"/>
              <w:spacing w:after="0"/>
              <w:rPr>
                <w:sz w:val="20"/>
                <w:szCs w:val="20"/>
                <w:color w:val="auto"/>
              </w:rPr>
            </w:pPr>
            <w:r>
              <w:rPr>
                <w:rFonts w:ascii="Arial" w:cs="Arial" w:eastAsia="Arial" w:hAnsi="Arial"/>
                <w:sz w:val="22"/>
                <w:szCs w:val="22"/>
                <w:color w:val="auto"/>
              </w:rPr>
              <w:t>415,500 shares</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5"/>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tcBorders>
              <w:right w:val="single" w:sz="8" w:color="auto"/>
            </w:tcBorders>
            <w:vMerge w:val="restart"/>
          </w:tcPr>
          <w:p>
            <w:pPr>
              <w:jc w:val="center"/>
              <w:ind w:right="225"/>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1008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36,914,826 shares</w:t>
            </w: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940" w:type="dxa"/>
            <w:vAlign w:val="bottom"/>
            <w:gridSpan w:val="3"/>
          </w:tcPr>
          <w:p>
            <w:pPr>
              <w:ind w:left="80"/>
              <w:spacing w:after="0"/>
              <w:rPr>
                <w:sz w:val="20"/>
                <w:szCs w:val="20"/>
                <w:color w:val="auto"/>
              </w:rPr>
            </w:pPr>
            <w:r>
              <w:rPr>
                <w:rFonts w:ascii="Arial" w:cs="Arial" w:eastAsia="Arial" w:hAnsi="Arial"/>
                <w:sz w:val="18"/>
                <w:szCs w:val="18"/>
                <w:color w:val="auto"/>
                <w:w w:val="98"/>
              </w:rPr>
              <w:t>Aggregate</w:t>
            </w:r>
          </w:p>
        </w:tc>
        <w:tc>
          <w:tcPr>
            <w:tcW w:w="10080" w:type="dxa"/>
            <w:vAlign w:val="bottom"/>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37,330,326 shares *</w:t>
            </w:r>
          </w:p>
        </w:tc>
        <w:tc>
          <w:tcPr>
            <w:tcW w:w="0" w:type="dxa"/>
            <w:vAlign w:val="bottom"/>
          </w:tcPr>
          <w:p>
            <w:pPr>
              <w:spacing w:after="0"/>
              <w:rPr>
                <w:sz w:val="1"/>
                <w:szCs w:val="1"/>
                <w:color w:val="auto"/>
              </w:rPr>
            </w:pPr>
          </w:p>
        </w:tc>
      </w:tr>
      <w:tr>
        <w:trPr>
          <w:trHeight w:val="270"/>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3"/>
                <w:szCs w:val="23"/>
                <w:color w:val="auto"/>
              </w:rPr>
            </w:pPr>
          </w:p>
        </w:tc>
        <w:tc>
          <w:tcPr>
            <w:tcW w:w="1102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420" w:type="dxa"/>
            <w:vAlign w:val="bottom"/>
            <w:tcBorders>
              <w:bottom w:val="single" w:sz="8" w:color="auto"/>
              <w:right w:val="single" w:sz="8" w:color="auto"/>
            </w:tcBorders>
            <w:gridSpan w:val="2"/>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280" w:type="dxa"/>
            <w:vAlign w:val="bottom"/>
            <w:tcBorders>
              <w:bottom w:val="single" w:sz="8" w:color="auto"/>
            </w:tcBorders>
            <w:gridSpan w:val="2"/>
          </w:tcPr>
          <w:p>
            <w:pPr>
              <w:spacing w:after="0"/>
              <w:rPr>
                <w:sz w:val="13"/>
                <w:szCs w:val="13"/>
                <w:color w:val="auto"/>
              </w:rPr>
            </w:pPr>
          </w:p>
        </w:tc>
        <w:tc>
          <w:tcPr>
            <w:tcW w:w="1008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7.5%</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ind w:left="220" w:right="200" w:hanging="212"/>
        <w:spacing w:after="0" w:line="268"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amounts reported consists of 36,914,826 shares held by the Sutardja Chuk Revocable Family Trust and 415,500 shares deemed to be beneficially owned pursuant to stock options exercisable on March 1, 2014.</w:t>
      </w:r>
    </w:p>
    <w:p>
      <w:pPr>
        <w:spacing w:after="0" w:line="26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2 of 5</w:t>
      </w:r>
    </w:p>
    <w:p>
      <w:pPr>
        <w:sectPr>
          <w:pgSz w:w="11900" w:h="16838" w:orient="portrait"/>
          <w:cols w:equalWidth="0" w:num="1">
            <w:col w:w="11440"/>
          </w:cols>
          <w:pgMar w:left="240" w:top="280" w:right="21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117" w:lineRule="exact"/>
        <w:rPr>
          <w:sz w:val="20"/>
          <w:szCs w:val="20"/>
          <w:color w:val="auto"/>
        </w:rPr>
      </w:pPr>
    </w:p>
    <w:p>
      <w:pPr>
        <w:ind w:left="1040" w:hanging="330"/>
        <w:spacing w:after="0"/>
        <w:tabs>
          <w:tab w:leader="none" w:pos="1040" w:val="left"/>
        </w:tabs>
        <w:numPr>
          <w:ilvl w:val="0"/>
          <w:numId w:val="4"/>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15"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51" w:lineRule="exact"/>
        <w:rPr>
          <w:rFonts w:ascii="Arial" w:cs="Arial" w:eastAsia="Arial" w:hAnsi="Arial"/>
          <w:sz w:val="18"/>
          <w:szCs w:val="18"/>
          <w:color w:val="auto"/>
        </w:rPr>
      </w:pPr>
    </w:p>
    <w:p>
      <w:pPr>
        <w:ind w:left="1480" w:right="5399" w:hanging="770"/>
        <w:spacing w:after="0" w:line="254"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ind w:left="148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80" w:right="7499"/>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665480</wp:posOffset>
            </wp:positionH>
            <wp:positionV relativeFrom="paragraph">
              <wp:posOffset>-936625</wp:posOffset>
            </wp:positionV>
            <wp:extent cx="65862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74930</wp:posOffset>
            </wp:positionV>
            <wp:extent cx="65862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17" w:lineRule="exact"/>
        <w:rPr>
          <w:sz w:val="20"/>
          <w:szCs w:val="20"/>
          <w:color w:val="auto"/>
        </w:rPr>
      </w:pPr>
    </w:p>
    <w:p>
      <w:pPr>
        <w:ind w:left="1040" w:right="7579" w:hanging="330"/>
        <w:spacing w:after="0" w:line="332" w:lineRule="auto"/>
        <w:tabs>
          <w:tab w:leader="none" w:pos="1040" w:val="left"/>
        </w:tabs>
        <w:numPr>
          <w:ilvl w:val="0"/>
          <w:numId w:val="5"/>
        </w:numPr>
        <w:rPr>
          <w:rFonts w:ascii="Arial" w:cs="Arial" w:eastAsia="Arial" w:hAnsi="Arial"/>
          <w:sz w:val="16"/>
          <w:szCs w:val="16"/>
          <w:color w:val="auto"/>
        </w:rPr>
      </w:pPr>
      <w:r>
        <w:rPr>
          <w:rFonts w:ascii="Arial" w:cs="Arial" w:eastAsia="Arial" w:hAnsi="Arial"/>
          <w:sz w:val="16"/>
          <w:szCs w:val="16"/>
          <w:color w:val="auto"/>
        </w:rPr>
        <w:t>Name of Person Filing Dr. Pantas Sutardja</w:t>
      </w:r>
    </w:p>
    <w:p>
      <w:pPr>
        <w:spacing w:after="0" w:line="71" w:lineRule="exact"/>
        <w:rPr>
          <w:rFonts w:ascii="Arial" w:cs="Arial" w:eastAsia="Arial" w:hAnsi="Arial"/>
          <w:sz w:val="16"/>
          <w:szCs w:val="16"/>
          <w:color w:val="auto"/>
        </w:rPr>
      </w:pPr>
    </w:p>
    <w:p>
      <w:pPr>
        <w:ind w:left="1480" w:right="4559" w:hanging="770"/>
        <w:spacing w:after="0" w:line="254" w:lineRule="auto"/>
        <w:tabs>
          <w:tab w:leader="none" w:pos="1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ind w:left="1480" w:right="711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204" w:lineRule="exact"/>
        <w:rPr>
          <w:rFonts w:ascii="Arial" w:cs="Arial" w:eastAsia="Arial" w:hAnsi="Arial"/>
          <w:sz w:val="18"/>
          <w:szCs w:val="18"/>
          <w:color w:val="auto"/>
        </w:rPr>
      </w:pPr>
    </w:p>
    <w:p>
      <w:pPr>
        <w:ind w:left="1040" w:right="8239" w:hanging="330"/>
        <w:spacing w:after="0" w:line="370" w:lineRule="auto"/>
        <w:tabs>
          <w:tab w:leader="none" w:pos="1040" w:val="left"/>
        </w:tabs>
        <w:numPr>
          <w:ilvl w:val="0"/>
          <w:numId w:val="5"/>
        </w:numPr>
        <w:rPr>
          <w:rFonts w:ascii="Arial" w:cs="Arial" w:eastAsia="Arial" w:hAnsi="Arial"/>
          <w:sz w:val="15"/>
          <w:szCs w:val="15"/>
          <w:color w:val="auto"/>
        </w:rPr>
      </w:pPr>
      <w:r>
        <w:rPr>
          <w:rFonts w:ascii="Arial" w:cs="Arial" w:eastAsia="Arial" w:hAnsi="Arial"/>
          <w:sz w:val="15"/>
          <w:szCs w:val="15"/>
          <w:color w:val="auto"/>
        </w:rPr>
        <w:t>Citizenship United States</w:t>
      </w:r>
    </w:p>
    <w:p>
      <w:pPr>
        <w:spacing w:after="0" w:line="48" w:lineRule="exact"/>
        <w:rPr>
          <w:rFonts w:ascii="Arial" w:cs="Arial" w:eastAsia="Arial" w:hAnsi="Arial"/>
          <w:sz w:val="15"/>
          <w:szCs w:val="15"/>
          <w:color w:val="auto"/>
        </w:rPr>
      </w:pPr>
    </w:p>
    <w:p>
      <w:pPr>
        <w:ind w:left="1040" w:hanging="330"/>
        <w:spacing w:after="0"/>
        <w:tabs>
          <w:tab w:leader="none" w:pos="10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5"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51" w:lineRule="exact"/>
        <w:rPr>
          <w:rFonts w:ascii="Arial" w:cs="Arial" w:eastAsia="Arial" w:hAnsi="Arial"/>
          <w:sz w:val="18"/>
          <w:szCs w:val="18"/>
          <w:color w:val="auto"/>
        </w:rPr>
      </w:pPr>
    </w:p>
    <w:p>
      <w:pPr>
        <w:ind w:left="1040" w:right="8059" w:hanging="330"/>
        <w:spacing w:after="0" w:line="332" w:lineRule="auto"/>
        <w:tabs>
          <w:tab w:leader="none" w:pos="1040" w:val="left"/>
        </w:tabs>
        <w:numPr>
          <w:ilvl w:val="0"/>
          <w:numId w:val="5"/>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665480</wp:posOffset>
            </wp:positionH>
            <wp:positionV relativeFrom="paragraph">
              <wp:posOffset>-1878330</wp:posOffset>
            </wp:positionV>
            <wp:extent cx="65862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-1140460</wp:posOffset>
            </wp:positionV>
            <wp:extent cx="65862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-771525</wp:posOffset>
            </wp:positionV>
            <wp:extent cx="65862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-403225</wp:posOffset>
            </wp:positionV>
            <wp:extent cx="658622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-34290</wp:posOffset>
            </wp:positionV>
            <wp:extent cx="658622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52"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5"/>
          <w:szCs w:val="15"/>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5"/>
          <w:szCs w:val="15"/>
          <w:color w:val="auto"/>
        </w:rPr>
        <w:t>Provide the following information regarding the aggregate number and percentage of the class of securities of the issuer identified in Item 1.</w:t>
      </w:r>
    </w:p>
    <w:p>
      <w:pPr>
        <w:spacing w:after="0" w:line="152" w:lineRule="exact"/>
        <w:rPr>
          <w:sz w:val="20"/>
          <w:szCs w:val="20"/>
          <w:color w:val="auto"/>
        </w:rPr>
      </w:pPr>
    </w:p>
    <w:p>
      <w:pPr>
        <w:ind w:left="1040" w:hanging="330"/>
        <w:spacing w:after="0"/>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15"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37,330,326 shares *</w:t>
      </w:r>
    </w:p>
    <w:p>
      <w:pPr>
        <w:spacing w:after="0" w:line="151" w:lineRule="exact"/>
        <w:rPr>
          <w:rFonts w:ascii="Arial" w:cs="Arial" w:eastAsia="Arial" w:hAnsi="Arial"/>
          <w:sz w:val="18"/>
          <w:szCs w:val="18"/>
          <w:color w:val="auto"/>
        </w:rPr>
      </w:pPr>
    </w:p>
    <w:p>
      <w:pPr>
        <w:ind w:left="1040" w:hanging="330"/>
        <w:spacing w:after="0"/>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15"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7.5%</w:t>
      </w:r>
    </w:p>
    <w:p>
      <w:pPr>
        <w:spacing w:after="0" w:line="151" w:lineRule="exact"/>
        <w:rPr>
          <w:rFonts w:ascii="Arial" w:cs="Arial" w:eastAsia="Arial" w:hAnsi="Arial"/>
          <w:sz w:val="18"/>
          <w:szCs w:val="18"/>
          <w:color w:val="auto"/>
        </w:rPr>
      </w:pPr>
    </w:p>
    <w:p>
      <w:pPr>
        <w:ind w:left="1040" w:hanging="330"/>
        <w:spacing w:after="0"/>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306" w:lineRule="exact"/>
        <w:rPr>
          <w:rFonts w:ascii="Arial" w:cs="Arial" w:eastAsia="Arial" w:hAnsi="Arial"/>
          <w:sz w:val="18"/>
          <w:szCs w:val="18"/>
          <w:color w:val="auto"/>
        </w:rPr>
      </w:pPr>
    </w:p>
    <w:p>
      <w:pPr>
        <w:ind w:left="1400" w:right="6039" w:hanging="352"/>
        <w:spacing w:after="0" w:line="268" w:lineRule="auto"/>
        <w:tabs>
          <w:tab w:leader="none" w:pos="1434" w:val="left"/>
        </w:tabs>
        <w:numPr>
          <w:ilvl w:val="1"/>
          <w:numId w:val="6"/>
        </w:numPr>
        <w:rPr>
          <w:rFonts w:ascii="Arial" w:cs="Arial" w:eastAsia="Arial" w:hAnsi="Arial"/>
          <w:sz w:val="18"/>
          <w:szCs w:val="18"/>
          <w:color w:val="auto"/>
        </w:rPr>
      </w:pPr>
      <w:r>
        <w:rPr>
          <w:rFonts w:ascii="Arial" w:cs="Arial" w:eastAsia="Arial" w:hAnsi="Arial"/>
          <w:sz w:val="18"/>
          <w:szCs w:val="18"/>
          <w:color w:val="auto"/>
        </w:rPr>
        <w:t>Sole power to vote or to direct the vote 415,500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665480</wp:posOffset>
            </wp:positionH>
            <wp:positionV relativeFrom="paragraph">
              <wp:posOffset>-1068070</wp:posOffset>
            </wp:positionV>
            <wp:extent cx="658622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-699135</wp:posOffset>
            </wp:positionV>
            <wp:extent cx="658622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-373380</wp:posOffset>
            </wp:positionV>
            <wp:extent cx="658622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-4445</wp:posOffset>
            </wp:positionV>
            <wp:extent cx="658622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139"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3 of 5</w:t>
      </w:r>
    </w:p>
    <w:p>
      <w:pPr>
        <w:sectPr>
          <w:pgSz w:w="11900" w:h="16838" w:orient="portrait"/>
          <w:cols w:equalWidth="0" w:num="1">
            <w:col w:w="10219"/>
          </w:cols>
          <w:pgMar w:left="240" w:top="280" w:right="1440" w:bottom="1440" w:gutter="0" w:footer="0" w:header="0"/>
        </w:sectPr>
      </w:pPr>
    </w:p>
    <w:bookmarkStart w:id="3" w:name="page4"/>
    <w:bookmarkEnd w:id="3"/>
    <w:p>
      <w:pPr>
        <w:ind w:left="1160" w:right="7120" w:hanging="511"/>
        <w:spacing w:after="0" w:line="268" w:lineRule="auto"/>
        <w:tabs>
          <w:tab w:leader="none" w:pos="1160" w:val="left"/>
        </w:tabs>
        <w:numPr>
          <w:ilvl w:val="1"/>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drawing>
          <wp:anchor simplePos="0" relativeHeight="251657728" behindDoc="1" locked="0" layoutInCell="0" allowOverlap="1">
            <wp:simplePos x="0" y="0"/>
            <wp:positionH relativeFrom="page">
              <wp:posOffset>886460</wp:posOffset>
            </wp:positionH>
            <wp:positionV relativeFrom="page">
              <wp:posOffset>191770</wp:posOffset>
            </wp:positionV>
            <wp:extent cx="651764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517640" cy="8890"/>
                    </a:xfrm>
                    <a:prstGeom prst="rect">
                      <a:avLst/>
                    </a:prstGeom>
                    <a:noFill/>
                  </pic:spPr>
                </pic:pic>
              </a:graphicData>
            </a:graphic>
          </wp:anchor>
        </w:drawing>
        <w:t>Shared power to vote or to direct the vote 36,914,826 shares</w:t>
      </w:r>
    </w:p>
    <w:p>
      <w:pPr>
        <w:spacing w:after="0" w:line="118" w:lineRule="exact"/>
        <w:rPr>
          <w:rFonts w:ascii="Arial" w:cs="Arial" w:eastAsia="Arial" w:hAnsi="Arial"/>
          <w:sz w:val="18"/>
          <w:szCs w:val="18"/>
          <w:color w:val="auto"/>
        </w:rPr>
      </w:pPr>
    </w:p>
    <w:p>
      <w:pPr>
        <w:ind w:left="1160" w:right="6420" w:hanging="560"/>
        <w:spacing w:after="0" w:line="268" w:lineRule="auto"/>
        <w:tabs>
          <w:tab w:leader="none" w:pos="1160" w:val="left"/>
        </w:tabs>
        <w:numPr>
          <w:ilvl w:val="1"/>
          <w:numId w:val="7"/>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415,500 shares</w:t>
      </w:r>
    </w:p>
    <w:p>
      <w:pPr>
        <w:spacing w:after="0" w:line="118" w:lineRule="exact"/>
        <w:rPr>
          <w:rFonts w:ascii="Arial" w:cs="Arial" w:eastAsia="Arial" w:hAnsi="Arial"/>
          <w:sz w:val="18"/>
          <w:szCs w:val="18"/>
          <w:color w:val="auto"/>
        </w:rPr>
      </w:pPr>
    </w:p>
    <w:p>
      <w:pPr>
        <w:ind w:left="1160" w:right="6240" w:hanging="550"/>
        <w:spacing w:after="0" w:line="268" w:lineRule="auto"/>
        <w:tabs>
          <w:tab w:leader="none" w:pos="1160" w:val="left"/>
        </w:tabs>
        <w:numPr>
          <w:ilvl w:val="1"/>
          <w:numId w:val="7"/>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36,914,826 shares</w:t>
      </w:r>
    </w:p>
    <w:p>
      <w:pPr>
        <w:spacing w:after="0" w:line="91" w:lineRule="exact"/>
        <w:rPr>
          <w:rFonts w:ascii="Arial" w:cs="Arial" w:eastAsia="Arial" w:hAnsi="Arial"/>
          <w:sz w:val="18"/>
          <w:szCs w:val="18"/>
          <w:color w:val="auto"/>
        </w:rPr>
      </w:pPr>
    </w:p>
    <w:p>
      <w:pPr>
        <w:ind w:left="240" w:right="40" w:hanging="224"/>
        <w:spacing w:after="0" w:line="268" w:lineRule="auto"/>
        <w:rPr>
          <w:rFonts w:ascii="Arial" w:cs="Arial" w:eastAsia="Arial" w:hAnsi="Arial"/>
          <w:sz w:val="18"/>
          <w:szCs w:val="18"/>
          <w:color w:val="auto"/>
        </w:rPr>
      </w:pPr>
      <w:r>
        <w:rPr>
          <w:rFonts w:ascii="Arial" w:cs="Arial" w:eastAsia="Arial" w:hAnsi="Arial"/>
          <w:sz w:val="18"/>
          <w:szCs w:val="18"/>
          <w:color w:val="auto"/>
        </w:rPr>
        <w:t>* The amounts reported consists of 36,914,826 shares held by the Sutardja Chuk Revocable Family Trust and 415,500 shares deemed to be beneficially owned pursuant to stock options exercisable on March 1, 2014.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734060</wp:posOffset>
            </wp:positionH>
            <wp:positionV relativeFrom="paragraph">
              <wp:posOffset>-1093470</wp:posOffset>
            </wp:positionV>
            <wp:extent cx="651764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517640" cy="8890"/>
                    </a:xfrm>
                    <a:prstGeom prst="rect">
                      <a:avLst/>
                    </a:prstGeom>
                    <a:noFill/>
                  </pic:spPr>
                </pic:pic>
              </a:graphicData>
            </a:graphic>
          </wp:anchor>
        </w:drawing>
        <w:drawing>
          <wp:anchor simplePos="0" relativeHeight="251657728" behindDoc="1" locked="0" layoutInCell="0" allowOverlap="1">
            <wp:simplePos x="0" y="0"/>
            <wp:positionH relativeFrom="column">
              <wp:posOffset>734060</wp:posOffset>
            </wp:positionH>
            <wp:positionV relativeFrom="paragraph">
              <wp:posOffset>-725170</wp:posOffset>
            </wp:positionV>
            <wp:extent cx="651764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517640" cy="8890"/>
                    </a:xfrm>
                    <a:prstGeom prst="rect">
                      <a:avLst/>
                    </a:prstGeom>
                    <a:noFill/>
                  </pic:spPr>
                </pic:pic>
              </a:graphicData>
            </a:graphic>
          </wp:anchor>
        </w:drawing>
        <w:drawing>
          <wp:anchor simplePos="0" relativeHeight="251657728" behindDoc="1" locked="0" layoutInCell="0" allowOverlap="1">
            <wp:simplePos x="0" y="0"/>
            <wp:positionH relativeFrom="column">
              <wp:posOffset>734060</wp:posOffset>
            </wp:positionH>
            <wp:positionV relativeFrom="paragraph">
              <wp:posOffset>-356235</wp:posOffset>
            </wp:positionV>
            <wp:extent cx="651764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517640" cy="8890"/>
                    </a:xfrm>
                    <a:prstGeom prst="rect">
                      <a:avLst/>
                    </a:prstGeom>
                    <a:noFill/>
                  </pic:spPr>
                </pic:pic>
              </a:graphicData>
            </a:graphic>
          </wp:anchor>
        </w:drawing>
      </w:r>
    </w:p>
    <w:p>
      <w:pPr>
        <w:spacing w:after="0" w:line="274"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5"/>
          <w:szCs w:val="15"/>
          <w:color w:val="auto"/>
        </w:rPr>
        <w:t>Ownership of Five Percent or Less of a Class</w:t>
      </w:r>
    </w:p>
    <w:p>
      <w:pPr>
        <w:spacing w:after="0" w:line="117" w:lineRule="exact"/>
        <w:rPr>
          <w:sz w:val="20"/>
          <w:szCs w:val="20"/>
          <w:color w:val="auto"/>
        </w:rPr>
      </w:pPr>
    </w:p>
    <w:p>
      <w:pPr>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299"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ind w:right="1200"/>
        <w:spacing w:after="0" w:line="393" w:lineRule="auto"/>
        <w:rPr>
          <w:sz w:val="20"/>
          <w:szCs w:val="20"/>
          <w:color w:val="auto"/>
        </w:rPr>
      </w:pPr>
      <w:r>
        <w:rPr>
          <w:rFonts w:ascii="Arial" w:cs="Arial" w:eastAsia="Arial" w:hAnsi="Arial"/>
          <w:sz w:val="18"/>
          <w:szCs w:val="18"/>
          <w:color w:val="auto"/>
        </w:rPr>
        <w:t>Item 7. Identification and Classification of the Subsidiary Which Acquired the Security Being Reported on By the Parent Holding Company Not Applicable</w:t>
      </w:r>
    </w:p>
    <w:p>
      <w:pPr>
        <w:spacing w:after="0" w:line="186"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Item 10. Certification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Page 4 of 5</w:t>
      </w:r>
    </w:p>
    <w:p>
      <w:pPr>
        <w:sectPr>
          <w:pgSz w:w="11900" w:h="16838" w:orient="portrait"/>
          <w:cols w:equalWidth="0" w:num="1">
            <w:col w:w="11200"/>
          </w:cols>
          <w:pgMar w:left="240" w:top="307" w:right="459" w:bottom="1440" w:gutter="0" w:footer="0" w:header="0"/>
        </w:sectPr>
      </w:pPr>
    </w:p>
    <w:bookmarkStart w:id="4" w:name="page5"/>
    <w:bookmarkEnd w:id="4"/>
    <w:p>
      <w:pPr>
        <w:ind w:left="53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7, 2014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5 of 5</w:t>
      </w:r>
    </w:p>
    <w:sectPr>
      <w:pgSz w:w="11900" w:h="16838" w:orient="portrait"/>
      <w:cols w:equalWidth="0" w:num="1">
        <w:col w:w="10780"/>
      </w:cols>
      <w:pgMar w:left="240" w:top="274" w:right="8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lvl w:ilvl="1">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1)"/>
      <w:numFmt w:val="lowerLetter"/>
      <w:start w:val="1"/>
    </w:lvl>
  </w:abstractNum>
  <w:abstractNum w:abstractNumId="4">
    <w:nsid w:val="507ED7AB"/>
    <w:multiLevelType w:val="hybridMultilevel"/>
    <w:lvl w:ilvl="0">
      <w:lvlJc w:val="left"/>
      <w:lvlText w:val="(%1)"/>
      <w:numFmt w:val="lowerLetter"/>
      <w:start w:val="1"/>
    </w:lvl>
  </w:abstractNum>
  <w:abstractNum w:abstractNumId="5">
    <w:nsid w:val="2EB141F2"/>
    <w:multiLevelType w:val="hybridMultilevel"/>
    <w:lvl w:ilvl="0">
      <w:lvlJc w:val="left"/>
      <w:lvlText w:val="(%1)"/>
      <w:numFmt w:val="lowerLetter"/>
      <w:start w:val="1"/>
    </w:lvl>
    <w:lvl w:ilvl="1">
      <w:lvlJc w:val="left"/>
      <w:lvlText w:val="(%2)"/>
      <w:numFmt w:val="lowerLetter"/>
      <w:start w:val="9"/>
    </w:lvl>
  </w:abstractNum>
  <w:abstractNum w:abstractNumId="6">
    <w:nsid w:val="41B71EFB"/>
    <w:multiLevelType w:val="hybridMultilevel"/>
    <w:lvl w:ilvl="0">
      <w:lvlJc w:val="left"/>
      <w:lvlText w:val="*"/>
      <w:numFmt w:val="bullet"/>
      <w:start w:val="1"/>
    </w:lvl>
    <w:lvl w:ilvl="1">
      <w:lvlJc w:val="left"/>
      <w:lvlText w:val="(%2)"/>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2019-12-06T18:49:23Z</dcterms:created>
  <dcterms:modified xsi:type="dcterms:W3CDTF">2019-12-06T18:49:23Z</dcterms:modified>
</cp:coreProperties>
</file>