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2)</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January 31, 2014</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14794998</w:t>
      </w:r>
    </w:p>
    <w:p>
      <w:pPr>
        <w:spacing w:after="0" w:line="11" w:lineRule="exact"/>
        <w:rPr>
          <w:rFonts w:ascii="Courier New" w:cs="Courier New" w:eastAsia="Courier New" w:hAnsi="Courier New"/>
          <w:sz w:val="18"/>
          <w:szCs w:val="18"/>
          <w:color w:val="auto"/>
        </w:rPr>
      </w:pPr>
    </w:p>
    <w:p>
      <w:pPr>
        <w:ind w:left="120" w:right="77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None</w:t>
      </w:r>
    </w:p>
    <w:p>
      <w:pPr>
        <w:spacing w:after="0" w:line="11" w:lineRule="exact"/>
        <w:rPr>
          <w:rFonts w:ascii="Courier New" w:cs="Courier New" w:eastAsia="Courier New" w:hAnsi="Courier New"/>
          <w:sz w:val="18"/>
          <w:szCs w:val="18"/>
          <w:color w:val="auto"/>
        </w:rPr>
      </w:pPr>
    </w:p>
    <w:p>
      <w:pPr>
        <w:ind w:left="120" w:right="74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17616503</w:t>
      </w:r>
    </w:p>
    <w:p>
      <w:pPr>
        <w:sectPr>
          <w:pgSz w:w="11900" w:h="16848" w:orient="portrait"/>
          <w:cols w:equalWidth="0" w:num="1">
            <w:col w:w="10219"/>
          </w:cols>
          <w:pgMar w:left="240" w:top="244" w:right="1440" w:bottom="0" w:gutter="0" w:footer="0" w:header="0"/>
        </w:sectPr>
      </w:pPr>
    </w:p>
    <w:bookmarkStart w:id="1" w:name="page2"/>
    <w:bookmarkEnd w:id="1"/>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None</w:t>
      </w:r>
    </w:p>
    <w:p>
      <w:pPr>
        <w:spacing w:after="0" w:line="206"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17616503</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3.6%</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Court-22 Victoria Street</w:t>
      </w:r>
    </w:p>
    <w:p>
      <w:pPr>
        <w:spacing w:after="0" w:line="238" w:lineRule="auto"/>
        <w:rPr>
          <w:sz w:val="20"/>
          <w:szCs w:val="20"/>
          <w:color w:val="auto"/>
        </w:rPr>
      </w:pPr>
      <w:r>
        <w:rPr>
          <w:rFonts w:ascii="Courier New" w:cs="Courier New" w:eastAsia="Courier New" w:hAnsi="Courier New"/>
          <w:sz w:val="18"/>
          <w:szCs w:val="18"/>
          <w:color w:val="auto"/>
        </w:rPr>
        <w:t>Hamilton HM 12 DO HM 12 DO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40 East 52nd Street</w:t>
      </w:r>
    </w:p>
    <w:p>
      <w:pPr>
        <w:spacing w:after="0" w:line="238" w:lineRule="auto"/>
        <w:rPr>
          <w:sz w:val="20"/>
          <w:szCs w:val="20"/>
          <w:color w:val="auto"/>
        </w:rPr>
      </w:pPr>
      <w:r>
        <w:rPr>
          <w:rFonts w:ascii="Courier New" w:cs="Courier New" w:eastAsia="Courier New" w:hAnsi="Courier New"/>
          <w:sz w:val="18"/>
          <w:szCs w:val="18"/>
          <w:color w:val="auto"/>
        </w:rPr>
        <w:t>New York, NY 10022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w:t>
      </w:r>
    </w:p>
    <w:p>
      <w:pPr>
        <w:sectPr>
          <w:pgSz w:w="11900" w:h="16838" w:orient="portrait"/>
          <w:cols w:equalWidth="0" w:num="1">
            <w:col w:w="10219"/>
          </w:cols>
          <w:pgMar w:left="240" w:top="136" w:right="1440" w:bottom="0" w:gutter="0" w:footer="0" w:header="0"/>
        </w:sectPr>
      </w:pPr>
    </w:p>
    <w:bookmarkStart w:id="2" w:name="page3"/>
    <w:bookmarkEnd w:id="2"/>
    <w:p>
      <w:pPr>
        <w:ind w:left="1280"/>
        <w:spacing w:after="0"/>
        <w:rPr>
          <w:sz w:val="20"/>
          <w:szCs w:val="20"/>
          <w:color w:val="auto"/>
        </w:rPr>
      </w:pPr>
      <w:r>
        <w:rPr>
          <w:rFonts w:ascii="Courier New" w:cs="Courier New" w:eastAsia="Courier New" w:hAnsi="Courier New"/>
          <w:sz w:val="18"/>
          <w:szCs w:val="18"/>
          <w:color w:val="auto"/>
        </w:rPr>
        <w:t>Rule 13d-1(b)(1)(ii)(F);</w:t>
      </w:r>
    </w:p>
    <w:p>
      <w:pPr>
        <w:spacing w:after="0" w:line="4" w:lineRule="exact"/>
        <w:rPr>
          <w:sz w:val="20"/>
          <w:szCs w:val="20"/>
          <w:color w:val="auto"/>
        </w:rPr>
      </w:pPr>
    </w:p>
    <w:p>
      <w:pPr>
        <w:ind w:left="1280" w:right="3359" w:hanging="1272"/>
        <w:spacing w:after="0" w:line="235" w:lineRule="auto"/>
        <w:tabs>
          <w:tab w:leader="none" w:pos="43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rPr>
          <w:sz w:val="20"/>
          <w:szCs w:val="20"/>
          <w:color w:val="auto"/>
        </w:rPr>
      </w:pPr>
      <w:r>
        <w:rPr>
          <w:rFonts w:ascii="Courier New" w:cs="Courier New" w:eastAsia="Courier New" w:hAnsi="Courier New"/>
          <w:sz w:val="18"/>
          <w:szCs w:val="18"/>
          <w:color w:val="auto"/>
        </w:rPr>
        <w:t>[ ] A non-U.S. institution in accordance with</w:t>
      </w:r>
    </w:p>
    <w:p>
      <w:pPr>
        <w:ind w:left="1280"/>
        <w:spacing w:after="0" w:line="238" w:lineRule="auto"/>
        <w:rPr>
          <w:sz w:val="20"/>
          <w:szCs w:val="20"/>
          <w:color w:val="auto"/>
        </w:rPr>
      </w:pPr>
      <w:r>
        <w:rPr>
          <w:rFonts w:ascii="Courier New" w:cs="Courier New" w:eastAsia="Courier New" w:hAnsi="Courier New"/>
          <w:sz w:val="18"/>
          <w:szCs w:val="18"/>
          <w:color w:val="auto"/>
        </w:rPr>
        <w:t>Rule 240.13d-1(b)(1)(ii)(J);</w:t>
      </w:r>
    </w:p>
    <w:p>
      <w:pPr>
        <w:spacing w:after="0" w:line="5" w:lineRule="exact"/>
        <w:rPr>
          <w:sz w:val="20"/>
          <w:szCs w:val="20"/>
          <w:color w:val="auto"/>
        </w:rPr>
      </w:pPr>
    </w:p>
    <w:p>
      <w:pPr>
        <w:ind w:left="1280" w:right="3039" w:hanging="1272"/>
        <w:spacing w:after="0" w:line="235" w:lineRule="auto"/>
        <w:tabs>
          <w:tab w:leader="none" w:pos="22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17616503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14794998</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17616503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X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ectPr>
          <w:pgSz w:w="11900" w:h="16838" w:orient="portrait"/>
          <w:cols w:equalWidth="0" w:num="1">
            <w:col w:w="10219"/>
          </w:cols>
          <w:pgMar w:left="240" w:top="136" w:right="1440" w:bottom="132"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06, 2014</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Matthew J. Fitzgerald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Name/Title</w:t>
        <w:tab/>
        <w:t>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(Luxembourg) S.A.</w:t>
      </w:r>
    </w:p>
    <w:p>
      <w:pPr>
        <w:spacing w:after="0" w:line="238" w:lineRule="auto"/>
        <w:rPr>
          <w:sz w:val="20"/>
          <w:szCs w:val="20"/>
          <w:color w:val="auto"/>
        </w:rPr>
      </w:pPr>
      <w:r>
        <w:rPr>
          <w:rFonts w:ascii="Courier New" w:cs="Courier New" w:eastAsia="Courier New" w:hAnsi="Courier New"/>
          <w:sz w:val="18"/>
          <w:szCs w:val="18"/>
          <w:color w:val="auto"/>
        </w:rPr>
        <w:t>BlackRock (Netherlands) B.V.</w:t>
      </w:r>
    </w:p>
    <w:p>
      <w:pPr>
        <w:spacing w:after="0"/>
        <w:rPr>
          <w:sz w:val="20"/>
          <w:szCs w:val="20"/>
          <w:color w:val="auto"/>
        </w:rPr>
      </w:pPr>
      <w:r>
        <w:rPr>
          <w:rFonts w:ascii="Courier New" w:cs="Courier New" w:eastAsia="Courier New" w:hAnsi="Courier New"/>
          <w:sz w:val="18"/>
          <w:szCs w:val="18"/>
          <w:color w:val="auto"/>
        </w:rPr>
        <w:t>BlackRock (Singapore) Limited</w:t>
      </w:r>
    </w:p>
    <w:p>
      <w:pPr>
        <w:spacing w:after="0" w:line="237" w:lineRule="auto"/>
        <w:rPr>
          <w:sz w:val="20"/>
          <w:szCs w:val="20"/>
          <w:color w:val="auto"/>
        </w:rPr>
      </w:pPr>
      <w:r>
        <w:rPr>
          <w:rFonts w:ascii="Courier New" w:cs="Courier New" w:eastAsia="Courier New" w:hAnsi="Courier New"/>
          <w:sz w:val="18"/>
          <w:szCs w:val="18"/>
          <w:color w:val="auto"/>
        </w:rPr>
        <w:t>BlackRock Advisors (UK) Limited</w:t>
      </w:r>
    </w:p>
    <w:p>
      <w:pPr>
        <w:spacing w:after="0" w:line="238" w:lineRule="auto"/>
        <w:rPr>
          <w:sz w:val="20"/>
          <w:szCs w:val="20"/>
          <w:color w:val="auto"/>
        </w:rPr>
      </w:pPr>
      <w:r>
        <w:rPr>
          <w:rFonts w:ascii="Courier New" w:cs="Courier New" w:eastAsia="Courier New" w:hAnsi="Courier New"/>
          <w:sz w:val="18"/>
          <w:szCs w:val="18"/>
          <w:color w:val="auto"/>
        </w:rPr>
        <w:t>BlackRock Advisors, LLC</w:t>
      </w:r>
    </w:p>
    <w:p>
      <w:pPr>
        <w:spacing w:after="0"/>
        <w:rPr>
          <w:sz w:val="20"/>
          <w:szCs w:val="20"/>
          <w:color w:val="auto"/>
        </w:rPr>
      </w:pPr>
      <w:r>
        <w:rPr>
          <w:rFonts w:ascii="Courier New" w:cs="Courier New" w:eastAsia="Courier New" w:hAnsi="Courier New"/>
          <w:sz w:val="18"/>
          <w:szCs w:val="18"/>
          <w:color w:val="auto"/>
        </w:rPr>
        <w:t>BlackRock Asset Management Canada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Ireland Limited</w:t>
      </w:r>
    </w:p>
    <w:p>
      <w:pPr>
        <w:spacing w:after="0"/>
        <w:rPr>
          <w:sz w:val="20"/>
          <w:szCs w:val="20"/>
          <w:color w:val="auto"/>
        </w:rPr>
      </w:pPr>
      <w:r>
        <w:rPr>
          <w:rFonts w:ascii="Courier New" w:cs="Courier New" w:eastAsia="Courier New" w:hAnsi="Courier New"/>
          <w:sz w:val="18"/>
          <w:szCs w:val="18"/>
          <w:color w:val="auto"/>
        </w:rPr>
        <w:t>BlackRock Asset Management North Asia Limited</w:t>
      </w:r>
    </w:p>
    <w:p>
      <w:pPr>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spacing w:after="0"/>
        <w:rPr>
          <w:sz w:val="20"/>
          <w:szCs w:val="20"/>
          <w:color w:val="auto"/>
        </w:rPr>
      </w:pPr>
      <w:r>
        <w:rPr>
          <w:rFonts w:ascii="Courier New" w:cs="Courier New" w:eastAsia="Courier New" w:hAnsi="Courier New"/>
          <w:sz w:val="18"/>
          <w:szCs w:val="18"/>
          <w:color w:val="auto"/>
        </w:rPr>
        <w:t>BlackRock Fund Advisors</w:t>
      </w:r>
    </w:p>
    <w:p>
      <w:pPr>
        <w:spacing w:after="0" w:line="237" w:lineRule="auto"/>
        <w:rPr>
          <w:sz w:val="20"/>
          <w:szCs w:val="20"/>
          <w:color w:val="auto"/>
        </w:rPr>
      </w:pPr>
      <w:r>
        <w:rPr>
          <w:rFonts w:ascii="Courier New" w:cs="Courier New" w:eastAsia="Courier New" w:hAnsi="Courier New"/>
          <w:sz w:val="18"/>
          <w:szCs w:val="18"/>
          <w:color w:val="auto"/>
        </w:rPr>
        <w:t>BlackRock Fund Management Ireland Limited</w:t>
      </w:r>
    </w:p>
    <w:p>
      <w:pPr>
        <w:spacing w:after="0" w:line="238" w:lineRule="auto"/>
        <w:rPr>
          <w:sz w:val="20"/>
          <w:szCs w:val="20"/>
          <w:color w:val="auto"/>
        </w:rPr>
      </w:pPr>
      <w:r>
        <w:rPr>
          <w:rFonts w:ascii="Courier New" w:cs="Courier New" w:eastAsia="Courier New" w:hAnsi="Courier New"/>
          <w:sz w:val="18"/>
          <w:szCs w:val="18"/>
          <w:color w:val="auto"/>
        </w:rPr>
        <w:t>BlackRock Fund Managers Ltd</w:t>
      </w:r>
    </w:p>
    <w:p>
      <w:pPr>
        <w:sectPr>
          <w:pgSz w:w="11900" w:h="16838" w:orient="portrait"/>
          <w:cols w:equalWidth="0" w:num="1">
            <w:col w:w="10219"/>
          </w:cols>
          <w:pgMar w:left="240" w:top="136" w:right="1440" w:bottom="0"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BlackRock Institutional Trust Company, N.A.</w:t>
      </w:r>
    </w:p>
    <w:p>
      <w:pPr>
        <w:spacing w:after="0" w:line="238" w:lineRule="auto"/>
        <w:rPr>
          <w:sz w:val="20"/>
          <w:szCs w:val="20"/>
          <w:color w:val="auto"/>
        </w:rPr>
      </w:pPr>
      <w:r>
        <w:rPr>
          <w:rFonts w:ascii="Courier New" w:cs="Courier New" w:eastAsia="Courier New" w:hAnsi="Courier New"/>
          <w:sz w:val="18"/>
          <w:szCs w:val="18"/>
          <w:color w:val="auto"/>
        </w:rPr>
        <w:t>BlackRock International Limited</w:t>
      </w:r>
    </w:p>
    <w:p>
      <w:pPr>
        <w:spacing w:after="0"/>
        <w:rPr>
          <w:sz w:val="20"/>
          <w:szCs w:val="20"/>
          <w:color w:val="auto"/>
        </w:rPr>
      </w:pPr>
      <w:r>
        <w:rPr>
          <w:rFonts w:ascii="Courier New" w:cs="Courier New" w:eastAsia="Courier New" w:hAnsi="Courier New"/>
          <w:sz w:val="18"/>
          <w:szCs w:val="18"/>
          <w:color w:val="auto"/>
        </w:rPr>
        <w:t>BlackRock Investment Management (Australia) Limited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(UK) Ltd</w:t>
      </w:r>
    </w:p>
    <w:p>
      <w:pPr>
        <w:spacing w:after="0" w:line="238" w:lineRule="auto"/>
        <w:rPr>
          <w:sz w:val="20"/>
          <w:szCs w:val="20"/>
          <w:color w:val="auto"/>
        </w:rPr>
      </w:pPr>
      <w:r>
        <w:rPr>
          <w:rFonts w:ascii="Courier New" w:cs="Courier New" w:eastAsia="Courier New" w:hAnsi="Courier New"/>
          <w:sz w:val="18"/>
          <w:szCs w:val="18"/>
          <w:color w:val="auto"/>
        </w:rPr>
        <w:t>BlackRock Investment Management, LLC</w:t>
      </w:r>
    </w:p>
    <w:p>
      <w:pPr>
        <w:spacing w:after="0"/>
        <w:rPr>
          <w:sz w:val="20"/>
          <w:szCs w:val="20"/>
          <w:color w:val="auto"/>
        </w:rPr>
      </w:pPr>
      <w:r>
        <w:rPr>
          <w:rFonts w:ascii="Courier New" w:cs="Courier New" w:eastAsia="Courier New" w:hAnsi="Courier New"/>
          <w:sz w:val="18"/>
          <w:szCs w:val="18"/>
          <w:color w:val="auto"/>
        </w:rPr>
        <w:t>BlackRock Japan Co Ltd</w:t>
      </w:r>
    </w:p>
    <w:p>
      <w:pPr>
        <w:spacing w:after="0" w:line="237" w:lineRule="auto"/>
        <w:rPr>
          <w:sz w:val="20"/>
          <w:szCs w:val="20"/>
          <w:color w:val="auto"/>
        </w:rPr>
      </w:pPr>
      <w:r>
        <w:rPr>
          <w:rFonts w:ascii="Courier New" w:cs="Courier New" w:eastAsia="Courier New" w:hAnsi="Courier New"/>
          <w:sz w:val="18"/>
          <w:szCs w:val="18"/>
          <w:color w:val="auto"/>
        </w:rPr>
        <w:t>BlackRock Life Limited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15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Matthew Mallow, Howard Surloff, Edward Baer, Bartholomew Battista,</w:t>
      </w:r>
    </w:p>
    <w:p>
      <w:pPr>
        <w:spacing w:after="0" w:line="1" w:lineRule="exact"/>
        <w:rPr>
          <w:sz w:val="20"/>
          <w:szCs w:val="20"/>
          <w:color w:val="auto"/>
        </w:rPr>
      </w:pPr>
    </w:p>
    <w:p>
      <w:pPr>
        <w:ind w:right="2619"/>
        <w:spacing w:after="0" w:line="268" w:lineRule="auto"/>
        <w:rPr>
          <w:sz w:val="20"/>
          <w:szCs w:val="20"/>
          <w:color w:val="auto"/>
        </w:rPr>
      </w:pPr>
      <w:r>
        <w:rPr>
          <w:rFonts w:ascii="Courier New" w:cs="Courier New" w:eastAsia="Courier New" w:hAnsi="Courier New"/>
          <w:sz w:val="16"/>
          <w:szCs w:val="16"/>
          <w:color w:val="auto"/>
        </w:rPr>
        <w:t>Dan Waltcher, Karen Clark, Daniel Ronnen, John Stelley, Brian Kindelan, John Blevins, Richard Froio, Matthew Fitzgerald and Con Tzatzakis acting severally, as its true and lawful attorneys-in-fact, for the purpose of, from time to time, executing in its name and on its behalf, whether the Company is acting individually or as representative of others, any and all documents, certificates, instruments, statements, other filings and amendments to the foregoing (collectively, "documents") determined by such person to be necessary or appropriate to comply with ownership or control-person reporting requirements imposed by any United States</w:t>
      </w:r>
    </w:p>
    <w:p>
      <w:pPr>
        <w:spacing w:after="0" w:line="2" w:lineRule="exact"/>
        <w:rPr>
          <w:sz w:val="20"/>
          <w:szCs w:val="20"/>
          <w:color w:val="auto"/>
        </w:rPr>
      </w:pPr>
    </w:p>
    <w:p>
      <w:pPr>
        <w:ind w:right="3039"/>
        <w:spacing w:after="0" w:line="270" w:lineRule="auto"/>
        <w:rPr>
          <w:sz w:val="20"/>
          <w:szCs w:val="20"/>
          <w:color w:val="auto"/>
        </w:rPr>
      </w:pPr>
      <w:r>
        <w:rPr>
          <w:rFonts w:ascii="Courier New" w:cs="Courier New" w:eastAsia="Courier New" w:hAnsi="Courier New"/>
          <w:sz w:val="16"/>
          <w:szCs w:val="16"/>
          <w:color w:val="auto"/>
        </w:rPr>
        <w:t>or non-United States governmental or regulatory authority, including without limitation Forms 3, 4, 5, 13D, 13F, 13G and 13H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189"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8"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30th day of November,2011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10" w:lineRule="exact"/>
        <w:rPr>
          <w:sz w:val="20"/>
          <w:szCs w:val="20"/>
          <w:color w:val="auto"/>
        </w:rPr>
      </w:pPr>
    </w:p>
    <w:p>
      <w:pPr>
        <w:ind w:right="389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10th day of July, 2012.</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Chris Leavy</w:t>
      </w:r>
    </w:p>
    <w:p>
      <w:pPr>
        <w:spacing w:after="0" w:line="238" w:lineRule="auto"/>
        <w:rPr>
          <w:sz w:val="20"/>
          <w:szCs w:val="20"/>
          <w:color w:val="auto"/>
        </w:rPr>
      </w:pPr>
      <w:r>
        <w:rPr>
          <w:rFonts w:ascii="Courier New" w:cs="Courier New" w:eastAsia="Courier New" w:hAnsi="Courier New"/>
          <w:sz w:val="18"/>
          <w:szCs w:val="18"/>
          <w:color w:val="auto"/>
        </w:rPr>
        <w:t>Name: Chris Leavy</w:t>
      </w:r>
    </w:p>
    <w:p>
      <w:pPr>
        <w:spacing w:after="0"/>
        <w:rPr>
          <w:sz w:val="20"/>
          <w:szCs w:val="20"/>
          <w:color w:val="auto"/>
        </w:rPr>
      </w:pPr>
      <w:r>
        <w:rPr>
          <w:rFonts w:ascii="Courier New" w:cs="Courier New" w:eastAsia="Courier New" w:hAnsi="Courier New"/>
          <w:sz w:val="18"/>
          <w:szCs w:val="18"/>
          <w:color w:val="auto"/>
        </w:rPr>
        <w:t>Title: Chief Investment Officer</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upperLetter"/>
      <w:start w:val="24"/>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5"/>
    </w:lvl>
  </w:abstractNum>
  <w:abstractNum w:abstractNumId="3">
    <w:nsid w:val="507ED7AB"/>
    <w:multiLevelType w:val="hybridMultilevel"/>
    <w:lvl w:ilvl="0">
      <w:lvlJc w:val="left"/>
      <w:lvlText w:val="(%1)"/>
      <w:numFmt w:val="decimal"/>
      <w:start w:val="8"/>
    </w:lvl>
  </w:abstractNum>
  <w:abstractNum w:abstractNumId="4">
    <w:nsid w:val="2EB141F2"/>
    <w:multiLevelType w:val="hybridMultilevel"/>
    <w:lvl w:ilvl="0">
      <w:lvlJc w:val="left"/>
      <w:lvlText w:val="(%1)"/>
      <w:numFmt w:val="decimal"/>
      <w:start w:val="12"/>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upperLetter"/>
      <w:start w:val="24"/>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2019-12-06T18:54:57Z</dcterms:created>
  <dcterms:modified xsi:type="dcterms:W3CDTF">2019-12-06T18:54:57Z</dcterms:modified>
</cp:coreProperties>
</file>