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167640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3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186690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81" w:lineRule="exact"/>
        <w:rPr>
          <w:sz w:val="24"/>
          <w:szCs w:val="24"/>
          <w:color w:val="auto"/>
        </w:rPr>
      </w:pPr>
    </w:p>
    <w:p>
      <w:pPr>
        <w:jc w:val="center"/>
        <w:ind w:right="-59"/>
        <w:spacing w:after="0"/>
        <w:rPr>
          <w:sz w:val="20"/>
          <w:szCs w:val="20"/>
          <w:color w:val="auto"/>
        </w:rPr>
      </w:pPr>
      <w:r>
        <w:rPr>
          <w:rFonts w:ascii="Arial" w:cs="Arial" w:eastAsia="Arial" w:hAnsi="Arial"/>
          <w:sz w:val="25"/>
          <w:szCs w:val="25"/>
          <w:b w:val="1"/>
          <w:bCs w:val="1"/>
          <w:color w:val="auto"/>
        </w:rPr>
        <w:t>CURRENT REPORT</w:t>
      </w:r>
    </w:p>
    <w:p>
      <w:pPr>
        <w:spacing w:after="0" w:line="22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February 20,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173990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40"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176530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3" w:lineRule="exact"/>
        <w:rPr>
          <w:sz w:val="24"/>
          <w:szCs w:val="24"/>
          <w:color w:val="auto"/>
        </w:rPr>
      </w:pPr>
    </w:p>
    <w:tbl>
      <w:tblPr>
        <w:tblLayout w:type="fixed"/>
        <w:tblInd w:w="1080" w:type="dxa"/>
        <w:tblCellMar>
          <w:top w:w="0" w:type="dxa"/>
          <w:left w:w="0" w:type="dxa"/>
          <w:bottom w:w="0" w:type="dxa"/>
          <w:right w:w="0" w:type="dxa"/>
        </w:tblCellMar>
      </w:tblPr>
      <w:tr>
        <w:trPr>
          <w:trHeight w:val="212"/>
        </w:trPr>
        <w:tc>
          <w:tcPr>
            <w:tcW w:w="218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5080" w:type="dxa"/>
            <w:vAlign w:val="bottom"/>
          </w:tcPr>
          <w:p>
            <w:pPr>
              <w:ind w:left="2140"/>
              <w:spacing w:after="0"/>
              <w:rPr>
                <w:sz w:val="20"/>
                <w:szCs w:val="20"/>
                <w:color w:val="auto"/>
              </w:rPr>
            </w:pPr>
            <w:r>
              <w:rPr>
                <w:rFonts w:ascii="Arial" w:cs="Arial" w:eastAsia="Arial" w:hAnsi="Arial"/>
                <w:sz w:val="18"/>
                <w:szCs w:val="18"/>
                <w:b w:val="1"/>
                <w:bCs w:val="1"/>
                <w:color w:val="auto"/>
              </w:rPr>
              <w:t>000-30877</w:t>
            </w:r>
          </w:p>
        </w:tc>
        <w:tc>
          <w:tcPr>
            <w:tcW w:w="1820" w:type="dxa"/>
            <w:vAlign w:val="bottom"/>
          </w:tcPr>
          <w:p>
            <w:pPr>
              <w:jc w:val="center"/>
              <w:ind w:left="622"/>
              <w:spacing w:after="0"/>
              <w:rPr>
                <w:sz w:val="20"/>
                <w:szCs w:val="20"/>
                <w:color w:val="auto"/>
              </w:rPr>
            </w:pPr>
            <w:r>
              <w:rPr>
                <w:rFonts w:ascii="Arial" w:cs="Arial" w:eastAsia="Arial" w:hAnsi="Arial"/>
                <w:sz w:val="18"/>
                <w:szCs w:val="18"/>
                <w:b w:val="1"/>
                <w:bCs w:val="1"/>
                <w:color w:val="auto"/>
                <w:w w:val="91"/>
              </w:rPr>
              <w:t>77-0481679</w:t>
            </w:r>
          </w:p>
        </w:tc>
      </w:tr>
      <w:tr>
        <w:trPr>
          <w:trHeight w:val="149"/>
        </w:trPr>
        <w:tc>
          <w:tcPr>
            <w:tcW w:w="2180" w:type="dxa"/>
            <w:vAlign w:val="bottom"/>
          </w:tcPr>
          <w:p>
            <w:pPr>
              <w:jc w:val="center"/>
              <w:ind w:right="46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5080" w:type="dxa"/>
            <w:vAlign w:val="bottom"/>
          </w:tcPr>
          <w:p>
            <w:pPr>
              <w:ind w:left="2120"/>
              <w:spacing w:after="0" w:line="149" w:lineRule="exact"/>
              <w:rPr>
                <w:sz w:val="20"/>
                <w:szCs w:val="20"/>
                <w:color w:val="auto"/>
              </w:rPr>
            </w:pPr>
            <w:r>
              <w:rPr>
                <w:rFonts w:ascii="Arial" w:cs="Arial" w:eastAsia="Arial" w:hAnsi="Arial"/>
                <w:sz w:val="14"/>
                <w:szCs w:val="14"/>
                <w:b w:val="1"/>
                <w:bCs w:val="1"/>
                <w:color w:val="auto"/>
              </w:rPr>
              <w:t>(Commission</w:t>
            </w:r>
          </w:p>
        </w:tc>
        <w:tc>
          <w:tcPr>
            <w:tcW w:w="1820" w:type="dxa"/>
            <w:vAlign w:val="bottom"/>
          </w:tcPr>
          <w:p>
            <w:pPr>
              <w:jc w:val="center"/>
              <w:ind w:left="62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218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of incorporation)</w:t>
            </w:r>
          </w:p>
        </w:tc>
        <w:tc>
          <w:tcPr>
            <w:tcW w:w="5080" w:type="dxa"/>
            <w:vAlign w:val="bottom"/>
          </w:tcPr>
          <w:p>
            <w:pPr>
              <w:ind w:left="2100"/>
              <w:spacing w:after="0"/>
              <w:rPr>
                <w:sz w:val="20"/>
                <w:szCs w:val="20"/>
                <w:color w:val="auto"/>
              </w:rPr>
            </w:pPr>
            <w:r>
              <w:rPr>
                <w:rFonts w:ascii="Arial" w:cs="Arial" w:eastAsia="Arial" w:hAnsi="Arial"/>
                <w:sz w:val="14"/>
                <w:szCs w:val="14"/>
                <w:b w:val="1"/>
                <w:bCs w:val="1"/>
                <w:color w:val="auto"/>
              </w:rPr>
              <w:t>File Number)</w:t>
            </w:r>
          </w:p>
        </w:tc>
        <w:tc>
          <w:tcPr>
            <w:tcW w:w="1820" w:type="dxa"/>
            <w:vAlign w:val="bottom"/>
          </w:tcPr>
          <w:p>
            <w:pPr>
              <w:jc w:val="center"/>
              <w:ind w:left="622"/>
              <w:spacing w:after="0"/>
              <w:rPr>
                <w:sz w:val="20"/>
                <w:szCs w:val="20"/>
                <w:color w:val="auto"/>
              </w:rPr>
            </w:pPr>
            <w:r>
              <w:rPr>
                <w:rFonts w:ascii="Arial" w:cs="Arial" w:eastAsia="Arial" w:hAnsi="Arial"/>
                <w:sz w:val="14"/>
                <w:szCs w:val="14"/>
                <w:b w:val="1"/>
                <w:bCs w:val="1"/>
                <w:color w:val="auto"/>
                <w:w w:val="94"/>
              </w:rPr>
              <w:t>Identification No.)</w:t>
            </w:r>
          </w:p>
        </w:tc>
      </w:tr>
      <w:tr>
        <w:trPr>
          <w:trHeight w:val="412"/>
        </w:trPr>
        <w:tc>
          <w:tcPr>
            <w:tcW w:w="2180" w:type="dxa"/>
            <w:vAlign w:val="bottom"/>
          </w:tcPr>
          <w:p>
            <w:pPr>
              <w:spacing w:after="0"/>
              <w:rPr>
                <w:sz w:val="24"/>
                <w:szCs w:val="24"/>
                <w:color w:val="auto"/>
              </w:rPr>
            </w:pPr>
          </w:p>
        </w:tc>
        <w:tc>
          <w:tcPr>
            <w:tcW w:w="508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Canon’s Court</w:t>
            </w:r>
          </w:p>
        </w:tc>
        <w:tc>
          <w:tcPr>
            <w:tcW w:w="1820" w:type="dxa"/>
            <w:vAlign w:val="bottom"/>
          </w:tcPr>
          <w:p>
            <w:pPr>
              <w:spacing w:after="0"/>
              <w:rPr>
                <w:sz w:val="24"/>
                <w:szCs w:val="24"/>
                <w:color w:val="auto"/>
              </w:rPr>
            </w:pPr>
          </w:p>
        </w:tc>
      </w:tr>
      <w:tr>
        <w:trPr>
          <w:trHeight w:val="216"/>
        </w:trPr>
        <w:tc>
          <w:tcPr>
            <w:tcW w:w="2180" w:type="dxa"/>
            <w:vAlign w:val="bottom"/>
          </w:tcPr>
          <w:p>
            <w:pPr>
              <w:spacing w:after="0"/>
              <w:rPr>
                <w:sz w:val="18"/>
                <w:szCs w:val="18"/>
                <w:color w:val="auto"/>
              </w:rPr>
            </w:pPr>
          </w:p>
        </w:tc>
        <w:tc>
          <w:tcPr>
            <w:tcW w:w="508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22 Victoria Street</w:t>
            </w:r>
          </w:p>
        </w:tc>
        <w:tc>
          <w:tcPr>
            <w:tcW w:w="1820" w:type="dxa"/>
            <w:vAlign w:val="bottom"/>
          </w:tcPr>
          <w:p>
            <w:pPr>
              <w:spacing w:after="0"/>
              <w:rPr>
                <w:sz w:val="18"/>
                <w:szCs w:val="18"/>
                <w:color w:val="auto"/>
              </w:rPr>
            </w:pPr>
          </w:p>
        </w:tc>
      </w:tr>
      <w:tr>
        <w:trPr>
          <w:trHeight w:val="216"/>
        </w:trPr>
        <w:tc>
          <w:tcPr>
            <w:tcW w:w="2180" w:type="dxa"/>
            <w:vAlign w:val="bottom"/>
          </w:tcPr>
          <w:p>
            <w:pPr>
              <w:spacing w:after="0"/>
              <w:rPr>
                <w:sz w:val="18"/>
                <w:szCs w:val="18"/>
                <w:color w:val="auto"/>
              </w:rPr>
            </w:pPr>
          </w:p>
        </w:tc>
        <w:tc>
          <w:tcPr>
            <w:tcW w:w="5080" w:type="dxa"/>
            <w:vAlign w:val="bottom"/>
          </w:tcPr>
          <w:p>
            <w:pPr>
              <w:jc w:val="center"/>
              <w:ind w:right="97"/>
              <w:spacing w:after="0"/>
              <w:rPr>
                <w:sz w:val="20"/>
                <w:szCs w:val="20"/>
                <w:color w:val="auto"/>
              </w:rPr>
            </w:pPr>
            <w:r>
              <w:rPr>
                <w:rFonts w:ascii="Arial" w:cs="Arial" w:eastAsia="Arial" w:hAnsi="Arial"/>
                <w:sz w:val="18"/>
                <w:szCs w:val="18"/>
                <w:b w:val="1"/>
                <w:bCs w:val="1"/>
                <w:color w:val="auto"/>
                <w:w w:val="96"/>
              </w:rPr>
              <w:t>Hamilton HM 12</w:t>
            </w:r>
          </w:p>
        </w:tc>
        <w:tc>
          <w:tcPr>
            <w:tcW w:w="1820" w:type="dxa"/>
            <w:vAlign w:val="bottom"/>
          </w:tcPr>
          <w:p>
            <w:pPr>
              <w:spacing w:after="0"/>
              <w:rPr>
                <w:sz w:val="18"/>
                <w:szCs w:val="18"/>
                <w:color w:val="auto"/>
              </w:rPr>
            </w:pPr>
          </w:p>
        </w:tc>
      </w:tr>
      <w:tr>
        <w:trPr>
          <w:trHeight w:val="212"/>
        </w:trPr>
        <w:tc>
          <w:tcPr>
            <w:tcW w:w="2180" w:type="dxa"/>
            <w:vAlign w:val="bottom"/>
          </w:tcPr>
          <w:p>
            <w:pPr>
              <w:spacing w:after="0"/>
              <w:rPr>
                <w:sz w:val="18"/>
                <w:szCs w:val="18"/>
                <w:color w:val="auto"/>
              </w:rPr>
            </w:pPr>
          </w:p>
        </w:tc>
        <w:tc>
          <w:tcPr>
            <w:tcW w:w="5080" w:type="dxa"/>
            <w:vAlign w:val="bottom"/>
          </w:tcPr>
          <w:p>
            <w:pPr>
              <w:jc w:val="center"/>
              <w:ind w:right="77"/>
              <w:spacing w:after="0"/>
              <w:rPr>
                <w:sz w:val="20"/>
                <w:szCs w:val="20"/>
                <w:color w:val="auto"/>
              </w:rPr>
            </w:pPr>
            <w:r>
              <w:rPr>
                <w:rFonts w:ascii="Arial" w:cs="Arial" w:eastAsia="Arial" w:hAnsi="Arial"/>
                <w:sz w:val="18"/>
                <w:szCs w:val="18"/>
                <w:b w:val="1"/>
                <w:bCs w:val="1"/>
                <w:color w:val="auto"/>
                <w:w w:val="92"/>
              </w:rPr>
              <w:t>Bermuda</w:t>
            </w:r>
          </w:p>
        </w:tc>
        <w:tc>
          <w:tcPr>
            <w:tcW w:w="1820" w:type="dxa"/>
            <w:vAlign w:val="bottom"/>
          </w:tcPr>
          <w:p>
            <w:pPr>
              <w:spacing w:after="0"/>
              <w:rPr>
                <w:sz w:val="18"/>
                <w:szCs w:val="18"/>
                <w:color w:val="auto"/>
              </w:rPr>
            </w:pPr>
          </w:p>
        </w:tc>
      </w:tr>
      <w:tr>
        <w:trPr>
          <w:trHeight w:val="186"/>
        </w:trPr>
        <w:tc>
          <w:tcPr>
            <w:tcW w:w="2180" w:type="dxa"/>
            <w:vAlign w:val="bottom"/>
          </w:tcPr>
          <w:p>
            <w:pPr>
              <w:spacing w:after="0"/>
              <w:rPr>
                <w:sz w:val="16"/>
                <w:szCs w:val="16"/>
                <w:color w:val="auto"/>
              </w:rPr>
            </w:pPr>
          </w:p>
        </w:tc>
        <w:tc>
          <w:tcPr>
            <w:tcW w:w="508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820" w:type="dxa"/>
            <w:vAlign w:val="bottom"/>
          </w:tcPr>
          <w:p>
            <w:pPr>
              <w:spacing w:after="0"/>
              <w:rPr>
                <w:sz w:val="16"/>
                <w:szCs w:val="16"/>
                <w:color w:val="auto"/>
              </w:rPr>
            </w:pPr>
          </w:p>
        </w:tc>
      </w:tr>
      <w:tr>
        <w:trPr>
          <w:trHeight w:val="394"/>
        </w:trPr>
        <w:tc>
          <w:tcPr>
            <w:tcW w:w="2180" w:type="dxa"/>
            <w:vAlign w:val="bottom"/>
          </w:tcPr>
          <w:p>
            <w:pPr>
              <w:spacing w:after="0"/>
              <w:rPr>
                <w:sz w:val="24"/>
                <w:szCs w:val="24"/>
                <w:color w:val="auto"/>
              </w:rPr>
            </w:pPr>
          </w:p>
        </w:tc>
        <w:tc>
          <w:tcPr>
            <w:tcW w:w="5080" w:type="dxa"/>
            <w:vAlign w:val="bottom"/>
          </w:tcPr>
          <w:p>
            <w:pPr>
              <w:jc w:val="center"/>
              <w:ind w:right="77"/>
              <w:spacing w:after="0"/>
              <w:rPr>
                <w:sz w:val="20"/>
                <w:szCs w:val="20"/>
                <w:color w:val="auto"/>
              </w:rPr>
            </w:pPr>
            <w:r>
              <w:rPr>
                <w:rFonts w:ascii="Arial" w:cs="Arial" w:eastAsia="Arial" w:hAnsi="Arial"/>
                <w:sz w:val="18"/>
                <w:szCs w:val="18"/>
                <w:b w:val="1"/>
                <w:bCs w:val="1"/>
                <w:color w:val="auto"/>
                <w:w w:val="90"/>
              </w:rPr>
              <w:t>(441) 296-6395</w:t>
            </w:r>
          </w:p>
        </w:tc>
        <w:tc>
          <w:tcPr>
            <w:tcW w:w="1820" w:type="dxa"/>
            <w:vAlign w:val="bottom"/>
          </w:tcPr>
          <w:p>
            <w:pPr>
              <w:spacing w:after="0"/>
              <w:rPr>
                <w:sz w:val="24"/>
                <w:szCs w:val="24"/>
                <w:color w:val="auto"/>
              </w:rPr>
            </w:pPr>
          </w:p>
        </w:tc>
      </w:tr>
      <w:tr>
        <w:trPr>
          <w:trHeight w:val="186"/>
        </w:trPr>
        <w:tc>
          <w:tcPr>
            <w:tcW w:w="2180" w:type="dxa"/>
            <w:vAlign w:val="bottom"/>
          </w:tcPr>
          <w:p>
            <w:pPr>
              <w:spacing w:after="0"/>
              <w:rPr>
                <w:sz w:val="16"/>
                <w:szCs w:val="16"/>
                <w:color w:val="auto"/>
              </w:rPr>
            </w:pPr>
          </w:p>
        </w:tc>
        <w:tc>
          <w:tcPr>
            <w:tcW w:w="508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820" w:type="dxa"/>
            <w:vAlign w:val="bottom"/>
          </w:tcPr>
          <w:p>
            <w:pPr>
              <w:spacing w:after="0"/>
              <w:rPr>
                <w:sz w:val="16"/>
                <w:szCs w:val="16"/>
                <w:color w:val="auto"/>
              </w:rPr>
            </w:pPr>
          </w:p>
        </w:tc>
      </w:tr>
      <w:tr>
        <w:trPr>
          <w:trHeight w:val="394"/>
        </w:trPr>
        <w:tc>
          <w:tcPr>
            <w:tcW w:w="2180" w:type="dxa"/>
            <w:vAlign w:val="bottom"/>
          </w:tcPr>
          <w:p>
            <w:pPr>
              <w:spacing w:after="0"/>
              <w:rPr>
                <w:sz w:val="24"/>
                <w:szCs w:val="24"/>
                <w:color w:val="auto"/>
              </w:rPr>
            </w:pPr>
          </w:p>
        </w:tc>
        <w:tc>
          <w:tcPr>
            <w:tcW w:w="5080" w:type="dxa"/>
            <w:vAlign w:val="bottom"/>
          </w:tcPr>
          <w:p>
            <w:pPr>
              <w:jc w:val="center"/>
              <w:ind w:right="97"/>
              <w:spacing w:after="0"/>
              <w:rPr>
                <w:sz w:val="20"/>
                <w:szCs w:val="20"/>
                <w:color w:val="auto"/>
              </w:rPr>
            </w:pPr>
            <w:r>
              <w:rPr>
                <w:rFonts w:ascii="Arial" w:cs="Arial" w:eastAsia="Arial" w:hAnsi="Arial"/>
                <w:sz w:val="18"/>
                <w:szCs w:val="18"/>
                <w:b w:val="1"/>
                <w:bCs w:val="1"/>
                <w:color w:val="auto"/>
                <w:w w:val="96"/>
              </w:rPr>
              <w:t>N/A</w:t>
            </w:r>
          </w:p>
        </w:tc>
        <w:tc>
          <w:tcPr>
            <w:tcW w:w="1820" w:type="dxa"/>
            <w:vAlign w:val="bottom"/>
          </w:tcPr>
          <w:p>
            <w:pPr>
              <w:spacing w:after="0"/>
              <w:rPr>
                <w:sz w:val="24"/>
                <w:szCs w:val="24"/>
                <w:color w:val="auto"/>
              </w:rPr>
            </w:pPr>
          </w:p>
        </w:tc>
      </w:tr>
      <w:tr>
        <w:trPr>
          <w:trHeight w:val="186"/>
        </w:trPr>
        <w:tc>
          <w:tcPr>
            <w:tcW w:w="2180" w:type="dxa"/>
            <w:vAlign w:val="bottom"/>
          </w:tcPr>
          <w:p>
            <w:pPr>
              <w:spacing w:after="0"/>
              <w:rPr>
                <w:sz w:val="16"/>
                <w:szCs w:val="16"/>
                <w:color w:val="auto"/>
              </w:rPr>
            </w:pPr>
          </w:p>
        </w:tc>
        <w:tc>
          <w:tcPr>
            <w:tcW w:w="5080" w:type="dxa"/>
            <w:vAlign w:val="bottom"/>
          </w:tcPr>
          <w:p>
            <w:pPr>
              <w:jc w:val="center"/>
              <w:ind w:right="77"/>
              <w:spacing w:after="0"/>
              <w:rPr>
                <w:sz w:val="20"/>
                <w:szCs w:val="20"/>
                <w:color w:val="auto"/>
              </w:rPr>
            </w:pPr>
            <w:r>
              <w:rPr>
                <w:rFonts w:ascii="Arial" w:cs="Arial" w:eastAsia="Arial" w:hAnsi="Arial"/>
                <w:sz w:val="14"/>
                <w:szCs w:val="14"/>
                <w:b w:val="1"/>
                <w:bCs w:val="1"/>
                <w:color w:val="auto"/>
                <w:w w:val="92"/>
              </w:rPr>
              <w:t>(Former name or former address, if changed since last report.)</w:t>
            </w:r>
          </w:p>
        </w:tc>
        <w:tc>
          <w:tcPr>
            <w:tcW w:w="182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161925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118110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bookmarkStart w:id="1" w:name="page2"/>
    <w:bookmarkEnd w:id="1"/>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Explanatory Note</w:t>
      </w:r>
    </w:p>
    <w:p>
      <w:pPr>
        <w:spacing w:after="0" w:line="229"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This amendment to the Current Report on Form 8-K (the “Original Form 8-K”) filed by Marvell Technology Group Ltd. (“Marvell”) with the Securities and Exchange Commission on February 20, 2014 is being filed solely to correct a typographical error in the record date set forth in the Original Form 8-K, which is correctly set forth in Item 8.01 below as March 13, 2014. No other changes are being made to the Original 8-K.</w:t>
      </w:r>
    </w:p>
    <w:p>
      <w:pPr>
        <w:spacing w:after="0" w:line="326"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On February 20, 2014, Marvell announced that it had declared the payment of its quarterly dividend of $0.06 per share to be paid on March 27, 2014 to all shareholders of record as of March 13, 2014. Developments in the CMU litigation could affect Marvell’s ability to pay the dividend on March 27, 2014 under Bermuda law, where Marvell is incorporated. In such event, the payment of the dividend could be delayed until such time as Marvell can meet statutory requirements under Bermuda law. The payment of future quarterly cash dividends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21,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-130810</wp:posOffset>
            </wp:positionV>
            <wp:extent cx="26930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3" w:lineRule="exact"/>
        <w:rPr>
          <w:sz w:val="20"/>
          <w:szCs w:val="20"/>
          <w:color w:val="auto"/>
        </w:rPr>
      </w:pPr>
    </w:p>
    <w:p>
      <w:pPr>
        <w:ind w:left="7280"/>
        <w:spacing w:after="0"/>
        <w:rPr>
          <w:sz w:val="20"/>
          <w:szCs w:val="20"/>
          <w:color w:val="auto"/>
        </w:rPr>
      </w:pPr>
      <w:r>
        <w:rPr>
          <w:rFonts w:ascii="Arial" w:cs="Arial" w:eastAsia="Arial" w:hAnsi="Arial"/>
          <w:sz w:val="18"/>
          <w:szCs w:val="18"/>
          <w:i w:val="1"/>
          <w:iCs w:val="1"/>
          <w:color w:val="auto"/>
        </w:rPr>
        <w:t>Chief Financial Officer</w:t>
      </w:r>
    </w:p>
    <w:p>
      <w:pPr>
        <w:spacing w:after="0" w:line="15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2019-12-06T19:18:34Z</dcterms:created>
  <dcterms:modified xsi:type="dcterms:W3CDTF">2019-12-06T19:18:34Z</dcterms:modified>
</cp:coreProperties>
</file>